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工廠智慧大腦內部營運與合規知識庫</w:t>
      </w:r>
    </w:p>
    <w:p>
      <w:pPr>
        <w:pStyle w:val="Heading1"/>
      </w:pPr>
      <w:r>
        <w:t>#Equipment_Failure (設備故障排除經驗)</w:t>
      </w:r>
    </w:p>
    <w:p>
      <w:r>
        <w:t>【資深師傅陳大明筆記】當 EQP-A03 機台的振動頻率超過 8.0Hz 且良率下滑時，通常是 X 軸軸承嚴重磨損。緊急處方：立刻通知 B 班人員停機，更換原廠 X 軸軸承，過往類似案例顯示可降低 90% 停機風險。詳細更換步驟請參閱機台原廠手冊第三章。對於 EQP-B01 與 EQP-C02 機台，振動大於 8.0Hz 時則需檢查主軸皮帶張力與聯軸器對中情況。</w:t>
      </w:r>
    </w:p>
    <w:p>
      <w:pPr>
        <w:pStyle w:val="Heading1"/>
      </w:pPr>
      <w:r>
        <w:t>#ISO9001_2015_Quality (品質稽核與 CAPA 流程)</w:t>
      </w:r>
    </w:p>
    <w:p>
      <w:r>
        <w:t>根據 ISO 9001:2015 品質管理體系要求，工廠建立以下 CAPA（糾正與預防措施）流程：當任何核心設備（EQP-A03, EQP-B01, EQP-C02）發生振動超標（紅燈風險，即 &gt;8.0Hz）時，必須立即觸發緊急停機與故障排除。操作人員需在 24 小時內填寫並提交『設備異常與維護保養紀錄表』。主管必須在 48 小時內完成原因分析，並制定預防再發措施，由現場主管及品質負責人雙重簽核後留存，以備外部品質稽核查審。</w:t>
      </w:r>
    </w:p>
    <w:p>
      <w:pPr>
        <w:pStyle w:val="Heading1"/>
      </w:pPr>
      <w:r>
        <w:t>#ISO14064_1_Carbon_Emission (碳排放與節能合規指引)</w:t>
      </w:r>
    </w:p>
    <w:p>
      <w:r>
        <w:t>本廠嚴格遵守 ISO 14064-1 溫室氣體量化與報告規範。當生產設備因磨損或異常導致單台能耗 Power_Consumption_kW 超過 150kW 時，會引發嚴重的碳排超標風險。管理階層在進行產能與供應鏈調度時，應優先分流至低能耗機台（如節能狀態下的 EQP-C02 設備）。所有能耗超標事件必須登錄於碳盤查系統中，並執行對應的節能減碳矯正計畫。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