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2.3. Distribution of participant characteristics by MVPA - Greenspace and Bluespace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80,139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 (89.6, 102.4)</w:t>
            </w:r>
          </w:p>
        </w:tc>
      </w:tr>
      <w:tr>
        <w:trPr>
          <w:trHeight w:val="6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79,855 (100)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2_years_survival_MI,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79,568 (99)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MVPA_Quant_PA1,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[1.83,319]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20,116 (25)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20,111 (25)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(464,642]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19,999 (25)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(642,2.39e+03]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19,913 (25)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MVPA_Quant_PA2,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19,998 (25)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20,207 (25)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20,010 (25)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(404,2.47e+03]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19,924 (25)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MVPA_Quant_PA3,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[0.978,372]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20,219 (25)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(372,586]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20,067 (25)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(586,853]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20,003 (25)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(853,3.37e+03]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19,850 (25)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462.8 (319.0, 640.2)</w:t>
            </w:r>
          </w:p>
        </w:tc>
      </w:tr>
      <w:tr>
        <w:trPr>
          <w:trHeight w:val="63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MVPA_100,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707.8 (515.8, 936.6)</w:t>
            </w:r>
          </w:p>
        </w:tc>
      </w:tr>
      <w:tr>
        <w:trPr>
          <w:trHeight w:val="63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MVPA_150,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304.8 (198.3, 443.5)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233.3 (115.0, 403.0)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583.7 (370.1, 849.9)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1,802 (2.2)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1,164 (1.5)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(56.1, 68.4)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45,988 (57)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34,151 (43)</w:t>
            </w:r>
          </w:p>
        </w:tc>
      </w:tr>
      <w:tr>
        <w:trPr>
          <w:trHeight w:val="63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6,332 (7.9)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20,164 (25)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18,921 (24)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34,722 (43)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 300m from residence,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(16.8, 50.3)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env. 300m from residence,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(6.0, 41.7)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2025-01-23T07:53:30Z</dcterms:modified>
  <cp:category/>
</cp:coreProperties>
</file>