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2.3. Distribution of participant characteristics by MVPA - Greenspace and Bluespace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  <w:gridCol w:w="2682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2,883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77,213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 (17.3, 72.8)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96.7 (90.3, 102.7)</w:t>
            </w:r>
          </w:p>
        </w:tc>
      </w:tr>
      <w:tr>
        <w:trPr>
          <w:trHeight w:val="6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2,599 (90)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77,213 (100)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2_years_survival_MI,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2,312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77,213 (100)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MVPA_Quant_PA1,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1,159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18,942 (25)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19,403 (25)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19,414 (25)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(641,2.39e+03]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19,454 (25)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MVPA_Quant_PA2,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19,046 (25)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19,461 (25)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19,406 (25)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19,300 (25)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MVPA_Quant_PA3,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1,155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19,055 (25)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19,324 (25)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19,425 (25)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(853,2.49e+03]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19,409 (25)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374.7 (235.3, 531.4)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465.8 (322.2, 643.1)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198.0 (81.5, 360.1)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234.6 (116.2, 404.0)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447.2 (267.1, 695.7)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588.5 (374.8, 854.5)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1,802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1,163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(62.7, 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 (55.9, 68.3)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1,084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44,870 (58)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1,799 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32,343 (42)</w:t>
            </w:r>
          </w:p>
        </w:tc>
      </w:tr>
      <w:tr>
        <w:trPr>
          <w:trHeight w:val="63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5,931 (7.7)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722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19,430 (25)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18,179 (24)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1,041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33,673 (44)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(18.9, 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 (16.7, 50.3)</w:t>
            </w:r>
          </w:p>
        </w:tc>
      </w:tr>
      <w:tr>
        <w:trPr>
          <w:trHeight w:val="607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 (7.6, 43.8)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 (6.0, 41.7)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2025-02-22T15:42:41Z</dcterms:modified>
  <cp:category/>
</cp:coreProperties>
</file>