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42"/>
        <w:gridCol w:w="3731"/>
        <w:gridCol w:w="3731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(29.4,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(27.1, 61.7)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(21.7, 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 (19.4, 60.7)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 absordance,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(9.2,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(9.2, 10.5)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Noise pollution,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 area population density (urban or rural),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(5.0,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(5.0, 5.0)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travelling from home to job,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 Biobank assessment centre,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(11,008.0, 11,016.0)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(11,007.0, 11,016.0)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body86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2025-04-22T19:53:22Z</dcterms:modified>
  <cp:category/>
</cp:coreProperties>
</file>