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2025-04-22T19:53:12Z</dcterms:modified>
  <cp:category/>
</cp:coreProperties>
</file>