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C8783" w14:textId="0AB78BDF" w:rsidR="0084630A" w:rsidRPr="00F44CC8" w:rsidRDefault="0084630A" w:rsidP="00F44CC8"/>
    <w:p>
      <w:pPr>
        <w:pStyle w:val="Heading1"/>
      </w:pPr>
      <w:r>
        <w:t>FLAT Index Response</w:t>
      </w:r>
    </w:p>
    <w:p>
      <w:r>
        <w:t>Based on the provided data, several key financial figures for LB Finance PLC show improvement over the years, although not consistently across all metrics.  Precise improvement is difficult to state without full data for each year, but trends are observable:</w:t>
        <w:br/>
        <w:br/>
        <w:br/>
        <w:t>* **Net Interest Margin (NIM):**  While fluctuating year-to-year, the NIM shows an overall upward trend from 10.91% (2016/17) to 13.70% (2023/24).</w:t>
        <w:br/>
        <w:br/>
        <w:t>* **Interest Spread:** Similar to NIM, the interest spread shows improvement from a low of 9.59% (2016/17) to 10.95% (2023/24), indicating better management of interest income and expenses.</w:t>
        <w:br/>
        <w:br/>
        <w:t>* **Cost to Income Ratio:** This ratio has generally decreased from 39.01% (2016/17) to 31.13% (2023/24), suggesting improved operational efficiency.</w:t>
        <w:br/>
        <w:br/>
        <w:t>* **Loans and Receivables:**  The company's lending base has significantly increased from Rs. 145.19 billion (2022/23) to Rs. 161.29 billion (2023/24), representing an 11.09% year-on-year growth.  Vehicle financing and gold loans specifically contributed to this increase.</w:t>
        <w:br/>
        <w:br/>
        <w:t>* **Highest Profit After Tax:**  The highest profit after tax increased significantly from an unspecified amount in 2022/23 to Rs. 9.56 billion in 2023/24.</w:t>
        <w:br/>
        <w:br/>
        <w:t>* **Return on Equity (ROE):**  The ROE shows a healthy increase, though the 2022/23 figure is not provided.</w:t>
        <w:br/>
        <w:br/>
        <w:br/>
        <w:t>**Figures that do not show consistent improvement:**</w:t>
        <w:br/>
        <w:br/>
        <w:t>* **Market Value Added (MVA):**  MVA remains negative in both 2022/23 and 2023/24, indicating that the market value of the company is lower than its book value.  However, the loss decreased from Rs. 7,642.60 million to Rs. 8,831.28 million.</w:t>
        <w:br/>
        <w:br/>
        <w:br/>
        <w:t>It's important to note that this analysis is based on the limited data provided. A complete picture would require the financial figures for all years between 2014/15 and 2023/24.</w:t>
      </w:r>
    </w:p>
    <w:p>
      <w:pPr>
        <w:pStyle w:val="Heading1"/>
      </w:pPr>
      <w:r>
        <w:t>HNSW Index Response</w:t>
      </w:r>
    </w:p>
    <w:p>
      <w:r>
        <w:t>Based on the provided excerpt, several key financial indicators show improvement over the 10-year period (2014/15 - 2023/24):</w:t>
        <w:br/>
        <w:br/>
        <w:t>* **Net Interest Margin (NIM):** While fluctuating year-to-year, the NIM in 2023/24 (13.70%) is higher than in most years, exceeding the 2014/15 level (12.67%).</w:t>
        <w:br/>
        <w:br/>
        <w:t>* **Interest Spread:** Similar to NIM, the interest spread shows improvement in 2023/24 (10.95%) compared to several previous years, though lower than the peak in 2021/22.</w:t>
        <w:br/>
        <w:br/>
        <w:t>* **Cost to Income Ratio:** This ratio has generally decreased over the decade, reaching its lowest point in 2021/22 (29.28%) before rising slightly to 31.13% in 2023/24.  Still, the 2023/24 figure is lower than several years in the earlier part of the decade.</w:t>
        <w:br/>
        <w:br/>
        <w:t>* **Highest Profit After Tax:** The report highlights a highest profit after tax of Rs. 9.56 Bn, but doesn't specify the year this was achieved.  Therefore, a year-over-year comparison cannot be made.</w:t>
        <w:br/>
        <w:br/>
        <w:t>* **Return on Equity (ROE):** The report mentions an ROE of 23.40%, but lacks the context of the year.  A comparison is not possible without knowing the year.</w:t>
        <w:br/>
        <w:br/>
        <w:t>* **Total Assets:** The report states Total Assets of Rs. 202 Bn, but does not specify the year.  A comparison is not possible.</w:t>
        <w:br/>
        <w:br/>
        <w:t>* **Gross NPL:** The report shows a Gross NPL of 3.54%, but lacks the year. A comparison is not possible.</w:t>
        <w:br/>
        <w:br/>
        <w:br/>
        <w:t>* **Market Capitalization:** Increased from Rs. 30,473.14 Million in 2022/23 to Rs. 34,794.79 Million in 2023/24.</w:t>
        <w:br/>
        <w:br/>
        <w:t>While some indicators show improvement in 2023/24 compared to the beginning of the decade,  a complete picture requires the full financial statements for each year, as the provided excerpt only offers selected data points and highlights.</w:t>
      </w:r>
    </w:p>
    <w:p>
      <w:pPr>
        <w:pStyle w:val="Heading1"/>
      </w:pPr>
      <w:r>
        <w:t>IVF Index Response</w:t>
      </w:r>
    </w:p>
    <w:p>
      <w:r>
        <w:t>Based on the provided data, several key financial indicators show improvement over the years, although not consistently across all periods:</w:t>
        <w:br/>
        <w:br/>
        <w:t>* **Net Interest Margin (NIM):** While fluctuating, the NIM generally shows an upward trend, increasing from 10.91% in 2016/17 to 13.70% in 2023/24.</w:t>
        <w:br/>
        <w:br/>
        <w:t>* **Interest Spread:** Similar to NIM, the interest spread shows an upward trend, rising from 9.59% in 2016/17 to 10.95% in 2023/24.</w:t>
        <w:br/>
        <w:br/>
        <w:t>* **Cost to Income Ratio:** This ratio has generally decreased over the period, indicating improved efficiency. It fell from 39.01% in 2016/17 to 31.13% in 2023/24.</w:t>
        <w:br/>
        <w:br/>
        <w:t>* **Return on Equity (ROE):**  The ROE fluctuated but generally remained strong, ranging from 22.23% to 25.61% over the period.</w:t>
        <w:br/>
        <w:br/>
        <w:t>* **Return on Assets (ROA):** The ROA also fluctuated, but generally remained above 4%, indicating consistent profitability relative to assets.</w:t>
        <w:br/>
        <w:br/>
        <w:t>* **Profit for the Year:**  While the "Profit for the Year" data is incomplete (some years are missing data and some are presented in different units), the available data shows fluctuations. The available data does not support a clear upward trend in the profit for the year.  More complete data would be needed for a definitive conclusion.</w:t>
        <w:br/>
        <w:br/>
        <w:t>* **NPL Ratio (Gross and Net):** The Non-Performing Loan (NPL) ratio (both gross and net) generally shows a downward trend, indicating improved asset quality.  However, there are some fluctuations.</w:t>
        <w:br/>
        <w:br/>
        <w:br/>
        <w:t>It's important to note that the data provided is not complete for all years and the presentation of "Profit for the Year" data is inconsistent, hindering a thorough analysis.  A complete dataset would allow for a more comprehensive comparison.</w:t>
      </w:r>
    </w:p>
    <w:sectPr w:rsidR="0084630A" w:rsidRPr="00F44C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7056139">
    <w:abstractNumId w:val="8"/>
  </w:num>
  <w:num w:numId="2" w16cid:durableId="705520918">
    <w:abstractNumId w:val="6"/>
  </w:num>
  <w:num w:numId="3" w16cid:durableId="57174488">
    <w:abstractNumId w:val="5"/>
  </w:num>
  <w:num w:numId="4" w16cid:durableId="549263663">
    <w:abstractNumId w:val="4"/>
  </w:num>
  <w:num w:numId="5" w16cid:durableId="1431582132">
    <w:abstractNumId w:val="7"/>
  </w:num>
  <w:num w:numId="6" w16cid:durableId="1251548060">
    <w:abstractNumId w:val="3"/>
  </w:num>
  <w:num w:numId="7" w16cid:durableId="804590223">
    <w:abstractNumId w:val="2"/>
  </w:num>
  <w:num w:numId="8" w16cid:durableId="904294205">
    <w:abstractNumId w:val="1"/>
  </w:num>
  <w:num w:numId="9" w16cid:durableId="56130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630A"/>
    <w:rsid w:val="00931FA4"/>
    <w:rsid w:val="00AA1D8D"/>
    <w:rsid w:val="00B47730"/>
    <w:rsid w:val="00CB0664"/>
    <w:rsid w:val="00F44CC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D769E6"/>
  <w14:defaultImageDpi w14:val="300"/>
  <w15:docId w15:val="{222BB258-CCCE-4F41-BF07-6D5F57BF3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Hiroshi Perera</cp:lastModifiedBy>
  <cp:revision>2</cp:revision>
  <dcterms:created xsi:type="dcterms:W3CDTF">2013-12-23T23:15:00Z</dcterms:created>
  <dcterms:modified xsi:type="dcterms:W3CDTF">2025-06-11T07:08:00Z</dcterms:modified>
  <cp:category/>
</cp:coreProperties>
</file>