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E2761"/>
          <w:sz w:val="44"/>
          <w:szCs w:val="44"/>
        </w:rPr>
        <w:t xml:space="preserve">社内稟議書（RFA）</w:t>
      </w:r>
    </w:p>
    <w:p>
      <w:pPr>
        <w:spacing w:after="60" w:before="0"/>
        <w:jc w:val="center"/>
      </w:pPr>
      <w:r>
        <w:rPr>
          <w:rFonts w:ascii="Arial" w:cs="Arial" w:eastAsia="Arial" w:hAnsi="Arial"/>
          <w:color w:val="6B7280"/>
          <w:sz w:val="26"/>
          <w:szCs w:val="26"/>
        </w:rPr>
        <w:t xml:space="preserve">ITOベンダー切替：移行プロジェクト契約</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1E2761" w:sz="6"/>
              <w:left w:val="single" w:color="1E2761" w:sz="6"/>
              <w:bottom w:val="single" w:color="1E2761" w:sz="6"/>
              <w:right w:val="single" w:color="1E2761" w:sz="6"/>
            </w:tcBorders>
            <w:shd w:fill="F4F6FB" w:val="clear"/>
            <w:tcMar>
              <w:top w:type="dxa" w:w="100"/>
              <w:left w:type="dxa" w:w="180"/>
              <w:bottom w:type="dxa" w:w="100"/>
              <w:right w:type="dxa" w:w="180"/>
            </w:tcMar>
          </w:tcPr>
          <w:p>
            <w:pPr>
              <w:spacing w:after="40" w:before="0"/>
            </w:pPr>
            <w:r>
              <w:rPr>
                <w:rFonts w:ascii="Arial" w:cs="Arial" w:eastAsia="Arial" w:hAnsi="Arial"/>
                <w:b/>
                <w:bCs/>
                <w:color w:val="1E2761"/>
                <w:sz w:val="20"/>
                <w:szCs w:val="20"/>
              </w:rPr>
              <w:t xml:space="preserve">【凡例】リスク顕在化の可能性</w:t>
            </w:r>
          </w:p>
          <w:p>
            <w:pPr>
              <w:spacing w:after="20" w:before="0"/>
            </w:pPr>
            <w:r>
              <w:rPr>
                <w:rFonts w:ascii="Arial" w:cs="Arial" w:eastAsia="Arial" w:hAnsi="Arial"/>
                <w:b/>
                <w:bCs/>
                <w:color w:val="D7263D"/>
                <w:sz w:val="20"/>
                <w:szCs w:val="20"/>
              </w:rPr>
              <w:t xml:space="preserve">● High　</w:t>
            </w:r>
            <w:r>
              <w:rPr>
                <w:rFonts w:ascii="Arial" w:cs="Arial" w:eastAsia="Arial" w:hAnsi="Arial"/>
                <w:color w:val="1A1A2E"/>
                <w:sz w:val="20"/>
                <w:szCs w:val="20"/>
              </w:rPr>
              <w:t xml:space="preserve">顕在化の可能性が高く、シグナル検知時は即時対応が必要</w:t>
            </w:r>
          </w:p>
          <w:p>
            <w:pPr>
              <w:spacing w:after="20" w:before="0"/>
            </w:pPr>
            <w:r>
              <w:rPr>
                <w:rFonts w:ascii="Arial" w:cs="Arial" w:eastAsia="Arial" w:hAnsi="Arial"/>
                <w:b/>
                <w:bCs/>
                <w:color w:val="C07A00"/>
                <w:sz w:val="20"/>
                <w:szCs w:val="20"/>
              </w:rPr>
              <w:t xml:space="preserve">● Medium　</w:t>
            </w:r>
            <w:r>
              <w:rPr>
                <w:rFonts w:ascii="Arial" w:cs="Arial" w:eastAsia="Arial" w:hAnsi="Arial"/>
                <w:color w:val="1A1A2E"/>
                <w:sz w:val="20"/>
                <w:szCs w:val="20"/>
              </w:rPr>
              <w:t xml:space="preserve">条件次第で顕在化。シグナルの定期モニタリングが必要</w:t>
            </w:r>
          </w:p>
          <w:p>
            <w:pPr>
              <w:spacing w:after="20" w:before="0"/>
            </w:pPr>
            <w:r>
              <w:rPr>
                <w:rFonts w:ascii="Arial" w:cs="Arial" w:eastAsia="Arial" w:hAnsi="Arial"/>
                <w:b/>
                <w:bCs/>
                <w:color w:val="1E7A4A"/>
                <w:sz w:val="20"/>
                <w:szCs w:val="20"/>
              </w:rPr>
              <w:t xml:space="preserve">● Low　</w:t>
            </w:r>
            <w:r>
              <w:rPr>
                <w:rFonts w:ascii="Arial" w:cs="Arial" w:eastAsia="Arial" w:hAnsi="Arial"/>
                <w:color w:val="1A1A2E"/>
                <w:sz w:val="20"/>
                <w:szCs w:val="20"/>
              </w:rPr>
              <w:t xml:space="preserve">現状では限定的。ただし残存リスクとして継続認識</w:t>
            </w:r>
          </w:p>
          <w:p>
            <w:pPr>
              <w:spacing w:after="0" w:before="20"/>
            </w:pPr>
            <w:r>
              <w:rPr>
                <w:rFonts w:ascii="Arial" w:cs="Arial" w:eastAsia="Arial" w:hAnsi="Arial"/>
                <w:b/>
                <w:bCs/>
                <w:color w:val="D7263D"/>
                <w:sz w:val="18"/>
                <w:szCs w:val="18"/>
              </w:rPr>
              <w:t xml:space="preserve">【記入】</w:t>
            </w:r>
            <w:r>
              <w:rPr>
                <w:rFonts w:ascii="Arial" w:cs="Arial" w:eastAsia="Arial" w:hAnsi="Arial"/>
                <w:color w:val="6B7280"/>
                <w:sz w:val="18"/>
                <w:szCs w:val="18"/>
              </w:rPr>
              <w:t xml:space="preserve">　申請者が記入　　</w:t>
            </w:r>
            <w:r>
              <w:rPr>
                <w:rFonts w:ascii="Arial" w:cs="Arial" w:eastAsia="Arial" w:hAnsi="Arial"/>
                <w:b/>
                <w:bCs/>
                <w:color w:val="6B7280"/>
                <w:sz w:val="18"/>
                <w:szCs w:val="18"/>
              </w:rPr>
              <w:t xml:space="preserve">（例：○○）</w:t>
            </w:r>
            <w:r>
              <w:rPr>
                <w:rFonts w:ascii="Arial" w:cs="Arial" w:eastAsia="Arial" w:hAnsi="Arial"/>
                <w:color w:val="6B7280"/>
                <w:sz w:val="18"/>
                <w:szCs w:val="18"/>
              </w:rPr>
              <w:t xml:space="preserve">　記入例（提出時に削除）</w:t>
            </w:r>
          </w:p>
        </w:tc>
      </w:tr>
    </w:tbl>
    <w:p>
      <w:pPr>
        <w:spacing w:after="160" w:before="0"/>
      </w:pPr>
    </w:p>
    <w:p>
      <w:pPr>
        <w:pStyle w:val="Heading1"/>
      </w:pPr>
      <w:r>
        <w:rPr>
          <w:rFonts w:ascii="Arial" w:cs="Arial" w:eastAsia="Arial" w:hAnsi="Arial"/>
          <w:b/>
          <w:bCs/>
          <w:color w:val="1E2761"/>
          <w:sz w:val="32"/>
          <w:szCs w:val="32"/>
        </w:rPr>
        <w:t xml:space="preserve">第1部：稟議ヘッダー</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件名</w:t>
            </w:r>
          </w:p>
        </w:tc>
        <w:tc>
          <w:tcPr>
            <w:tcW w:type="dxa" w:w="70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【記入】例：ITOベンダー切替に伴う移行プロジェクト契約の締結承認</w:t>
            </w:r>
          </w:p>
        </w:tc>
      </w:tr>
      <w:tr>
        <w:tc>
          <w:tcPr>
            <w:tcW w:type="dxa" w:w="22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申請日</w:t>
            </w:r>
          </w:p>
        </w:tc>
        <w:tc>
          <w:tcPr>
            <w:tcW w:type="dxa" w:w="70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r>
      <w:tr>
        <w:tc>
          <w:tcPr>
            <w:tcW w:type="dxa" w:w="22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申請部門</w:t>
            </w:r>
          </w:p>
        </w:tc>
        <w:tc>
          <w:tcPr>
            <w:tcW w:type="dxa" w:w="70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r>
      <w:tr>
        <w:tc>
          <w:tcPr>
            <w:tcW w:type="dxa" w:w="22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申請者</w:t>
            </w:r>
          </w:p>
        </w:tc>
        <w:tc>
          <w:tcPr>
            <w:tcW w:type="dxa" w:w="70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【記入】氏名・役職</w:t>
            </w:r>
          </w:p>
        </w:tc>
      </w:tr>
      <w:tr>
        <w:tc>
          <w:tcPr>
            <w:tcW w:type="dxa" w:w="22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承認ルート</w:t>
            </w:r>
          </w:p>
        </w:tc>
        <w:tc>
          <w:tcPr>
            <w:tcW w:type="dxa" w:w="70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IT部門責任者 → 法務部門責任者 → 【記入】必要に応じ経営層等</w:t>
            </w:r>
          </w:p>
        </w:tc>
      </w:tr>
      <w:tr>
        <w:tc>
          <w:tcPr>
            <w:tcW w:type="dxa" w:w="22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契約相手方</w:t>
            </w:r>
          </w:p>
        </w:tc>
        <w:tc>
          <w:tcPr>
            <w:tcW w:type="dxa" w:w="70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【記入】ベンダー正式名称・所在国</w:t>
            </w:r>
          </w:p>
        </w:tc>
      </w:tr>
      <w:tr>
        <w:tc>
          <w:tcPr>
            <w:tcW w:type="dxa" w:w="22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契約金額</w:t>
            </w:r>
          </w:p>
        </w:tc>
        <w:tc>
          <w:tcPr>
            <w:tcW w:type="dxa" w:w="70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【記入】総額○○万円（税別）</w:t>
            </w:r>
          </w:p>
        </w:tc>
      </w:tr>
      <w:tr>
        <w:tc>
          <w:tcPr>
            <w:tcW w:type="dxa" w:w="22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契約期間</w:t>
            </w:r>
          </w:p>
        </w:tc>
        <w:tc>
          <w:tcPr>
            <w:tcW w:type="dxa" w:w="70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【記入】○年○月○日 〜 ○年○月○日</w:t>
            </w:r>
          </w:p>
        </w:tc>
      </w:tr>
      <w:tr>
        <w:tc>
          <w:tcPr>
            <w:tcW w:type="dxa" w:w="22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添付書類</w:t>
            </w:r>
          </w:p>
        </w:tc>
        <w:tc>
          <w:tcPr>
            <w:tcW w:type="dxa" w:w="70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① SOW（英文原本）　② 契約サマリー（別紙1）　③ ベンダー比較表（別紙2）　④ 感応度分析（別紙3）</w:t>
            </w:r>
          </w:p>
        </w:tc>
      </w:tr>
    </w:tbl>
    <w:p>
      <w:pPr>
        <w:spacing w:after="160" w:before="0"/>
      </w:pPr>
    </w:p>
    <w:p>
      <w:pPr>
        <w:pStyle w:val="Heading1"/>
      </w:pPr>
      <w:r>
        <w:rPr>
          <w:rFonts w:ascii="Arial" w:cs="Arial" w:eastAsia="Arial" w:hAnsi="Arial"/>
          <w:b/>
          <w:bCs/>
          <w:color w:val="1E2761"/>
          <w:sz w:val="32"/>
          <w:szCs w:val="32"/>
        </w:rPr>
        <w:t xml:space="preserve">第2部：背景・目的</w:t>
      </w:r>
    </w:p>
    <w:p>
      <w:pPr>
        <w:pStyle w:val="Heading2"/>
      </w:pPr>
      <w:r>
        <w:rPr>
          <w:rFonts w:ascii="Arial" w:cs="Arial" w:eastAsia="Arial" w:hAnsi="Arial"/>
          <w:b/>
          <w:bCs/>
          <w:color w:val="1E2761"/>
          <w:sz w:val="26"/>
          <w:szCs w:val="26"/>
        </w:rPr>
        <w:t xml:space="preserve">2-1. 切替の背景</w:t>
      </w:r>
    </w:p>
    <w:p>
      <w:pPr>
        <w:spacing w:after="60" w:before="60"/>
        <w:jc w:val="left"/>
      </w:pPr>
      <w:r>
        <w:rPr>
          <w:rFonts w:ascii="Arial" w:cs="Arial" w:eastAsia="Arial" w:hAnsi="Arial"/>
          <w:b/>
          <w:bCs/>
          <w:color w:val="D7263D"/>
          <w:sz w:val="20"/>
          <w:szCs w:val="20"/>
        </w:rPr>
        <w:t xml:space="preserve">【記入】</w:t>
      </w:r>
      <w:r>
        <w:rPr>
          <w:rFonts w:ascii="Arial" w:cs="Arial" w:eastAsia="Arial" w:hAnsi="Arial"/>
          <w:color w:val="1A1A2E"/>
          <w:sz w:val="20"/>
          <w:szCs w:val="20"/>
        </w:rPr>
        <w:t xml:space="preserve">既存ベンダーからの切替理由を記載。コスト・品質・戦略的観点等。</w:t>
      </w:r>
    </w:p>
    <w:p>
      <w:pPr>
        <w:spacing w:after="60" w:before="60"/>
        <w:jc w:val="left"/>
      </w:pPr>
      <w:r>
        <w:rPr>
          <w:rFonts w:ascii="Arial" w:cs="Arial" w:eastAsia="Arial" w:hAnsi="Arial"/>
          <w:color w:val="1A1A2E"/>
          <w:sz w:val="20"/>
          <w:szCs w:val="20"/>
        </w:rPr>
        <w:t xml:space="preserve">（例：現行ベンダーとの契約は○年○月に期限を迎える。過去2年間の運用実績においてSLA達成率が目標値を下回る事象が複数回発生しており、サービス品質の改善が見込めないと判断した。）</w:t>
      </w:r>
    </w:p>
    <w:p>
      <w:pPr>
        <w:spacing w:after="80" w:before="0"/>
      </w:pPr>
    </w:p>
    <w:p>
      <w:pPr>
        <w:pStyle w:val="Heading2"/>
      </w:pPr>
      <w:r>
        <w:rPr>
          <w:rFonts w:ascii="Arial" w:cs="Arial" w:eastAsia="Arial" w:hAnsi="Arial"/>
          <w:b/>
          <w:bCs/>
          <w:color w:val="1E2761"/>
          <w:sz w:val="26"/>
          <w:szCs w:val="26"/>
        </w:rPr>
        <w:t xml:space="preserve">2-2. 今回の承認対象</w:t>
      </w:r>
    </w:p>
    <w:p>
      <w:pPr>
        <w:spacing w:after="60" w:before="60"/>
        <w:jc w:val="left"/>
      </w:pPr>
      <w:r>
        <w:rPr>
          <w:rFonts w:ascii="Arial" w:cs="Arial" w:eastAsia="Arial" w:hAnsi="Arial"/>
          <w:color w:val="1A1A2E"/>
          <w:sz w:val="20"/>
          <w:szCs w:val="20"/>
        </w:rPr>
        <w:t xml:space="preserve">本稟議は下記2契約のうち、①移行プロジェクト契約のみを対象とする。②ITサービス契約（SLA含む）は別途稟議にて申請予定。</w:t>
      </w:r>
    </w:p>
    <w:p>
      <w:pPr>
        <w:spacing w:after="6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360"/>
      </w:tblGrid>
      <w:tr>
        <w:tc>
          <w:tcPr>
            <w:tcW w:type="dxa" w:w="4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35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契約種別</w:t>
            </w:r>
          </w:p>
        </w:tc>
        <w:tc>
          <w:tcPr>
            <w:tcW w:type="dxa" w:w="536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本稟議との関係</w:t>
            </w:r>
          </w:p>
        </w:tc>
      </w:tr>
      <w:tr>
        <w:tc>
          <w:tcPr>
            <w:tcW w:type="dxa" w:w="4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①</w:t>
            </w:r>
          </w:p>
        </w:tc>
        <w:tc>
          <w:tcPr>
            <w:tcW w:type="dxa" w:w="35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ITOベンダー切替：移行プロジェクト契約（SOW）</w:t>
            </w:r>
          </w:p>
        </w:tc>
        <w:tc>
          <w:tcPr>
            <w:tcW w:type="dxa" w:w="536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D7263D"/>
                <w:sz w:val="20"/>
                <w:szCs w:val="20"/>
              </w:rPr>
              <w:t xml:space="preserve">本稟議の対象</w:t>
            </w:r>
          </w:p>
        </w:tc>
      </w:tr>
      <w:tr>
        <w:tc>
          <w:tcPr>
            <w:tcW w:type="dxa" w:w="40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②</w:t>
            </w:r>
          </w:p>
        </w:tc>
        <w:tc>
          <w:tcPr>
            <w:tcW w:type="dxa" w:w="350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ITサービス契約（SLA含む）</w:t>
            </w:r>
          </w:p>
        </w:tc>
        <w:tc>
          <w:tcPr>
            <w:tcW w:type="dxa" w:w="53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別途稟議（予定：○年○月）</w:t>
            </w:r>
          </w:p>
        </w:tc>
      </w:tr>
    </w:tbl>
    <w:p>
      <w:pPr>
        <w:spacing w:after="160" w:before="0"/>
      </w:pPr>
    </w:p>
    <w:p>
      <w:pPr>
        <w:pStyle w:val="Heading1"/>
      </w:pPr>
      <w:r>
        <w:rPr>
          <w:rFonts w:ascii="Arial" w:cs="Arial" w:eastAsia="Arial" w:hAnsi="Arial"/>
          <w:b/>
          <w:bCs/>
          <w:color w:val="1E2761"/>
          <w:sz w:val="32"/>
          <w:szCs w:val="32"/>
        </w:rPr>
        <w:t xml:space="preserve">第3部：契約サマリー（別紙1）</w:t>
      </w:r>
    </w:p>
    <w:p>
      <w:pPr>
        <w:spacing w:after="60" w:before="60"/>
        <w:jc w:val="left"/>
      </w:pPr>
      <w:r>
        <w:rPr>
          <w:rFonts w:ascii="Arial" w:cs="Arial" w:eastAsia="Arial" w:hAnsi="Arial"/>
          <w:color w:val="1A1A2E"/>
          <w:sz w:val="20"/>
          <w:szCs w:val="20"/>
        </w:rPr>
        <w:t xml:space="preserve">SOWの英文原本を読まずに要点を把握するための対照表。詳細はSOW原本の当該条項を参照。</w:t>
      </w:r>
    </w:p>
    <w:p>
      <w:pPr>
        <w:spacing w:after="6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100"/>
      </w:tblGrid>
      <w:tr>
        <w:tc>
          <w:tcPr>
            <w:tcW w:type="dxa" w:w="26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項目</w:t>
            </w:r>
          </w:p>
        </w:tc>
        <w:tc>
          <w:tcPr>
            <w:tcW w:type="dxa" w:w="556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内容</w:t>
            </w:r>
          </w:p>
        </w:tc>
        <w:tc>
          <w:tcPr>
            <w:tcW w:type="dxa" w:w="11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参照条項</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契約当事者</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自社：【記入】 ／ ベンダー：【記入】</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前文</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契約期間</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第○条</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契約金額・方式</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【記入】総額○○万円・固定価格（Lump Sum）方式</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第○条</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支払条件</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【記入】例：マイルストーン連動3回払い</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第○条</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主なスコープ</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【記入】移行対象システム・作業範囲の概要</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第○条</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主要マイルストーン</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【記入】フェーズ1：○月、フェーズ2：○月、最終検収：○月</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第○条・別紙</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検収条件（Acceptance Criteria）</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【記入】各フェーズ完了の合格基準</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第○条</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スコープ変更手続き</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Change Order（書面合意必須）。合意なしの費用増加なし</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第○条</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損害賠償上限</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【記入】契約総額の○%</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第○条</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知的財産帰属</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【記入】例：移行作業の成果物は自社に帰属</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第○条</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機密保持</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【記入】期間・対象範囲</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第○条</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解除条件</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マイルストーン未達連続2回で自社による書面解除可</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第○条</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準拠法・紛争解決</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日本法準拠・東京仲裁</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第○条</w:t>
            </w:r>
          </w:p>
        </w:tc>
      </w:tr>
      <w:tr>
        <w:tc>
          <w:tcPr>
            <w:tcW w:type="dxa" w:w="26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標準条文からの主な変更点</w:t>
            </w:r>
          </w:p>
        </w:tc>
        <w:tc>
          <w:tcPr>
            <w:tcW w:type="dxa" w:w="55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【記入】交渉により修正した条項と変更内容を記載</w:t>
            </w:r>
          </w:p>
        </w:tc>
        <w:tc>
          <w:tcPr>
            <w:tcW w:type="dxa" w:w="11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各条</w:t>
            </w:r>
          </w:p>
        </w:tc>
      </w:tr>
    </w:tbl>
    <w:p>
      <w:pPr>
        <w:spacing w:after="160" w:before="0"/>
      </w:pPr>
    </w:p>
    <w:p>
      <w:pPr>
        <w:pStyle w:val="Heading1"/>
      </w:pPr>
      <w:r>
        <w:rPr>
          <w:rFonts w:ascii="Arial" w:cs="Arial" w:eastAsia="Arial" w:hAnsi="Arial"/>
          <w:b/>
          <w:bCs/>
          <w:color w:val="1E2761"/>
          <w:sz w:val="32"/>
          <w:szCs w:val="32"/>
        </w:rPr>
        <w:t xml:space="preserve">第4部：ベンダー選定根拠（別紙2）</w:t>
      </w:r>
    </w:p>
    <w:p>
      <w:pPr>
        <w:pStyle w:val="Heading2"/>
      </w:pPr>
      <w:r>
        <w:rPr>
          <w:rFonts w:ascii="Arial" w:cs="Arial" w:eastAsia="Arial" w:hAnsi="Arial"/>
          <w:b/>
          <w:bCs/>
          <w:color w:val="1E2761"/>
          <w:sz w:val="26"/>
          <w:szCs w:val="26"/>
        </w:rPr>
        <w:t xml:space="preserve">4-1. 切替判断の根拠</w:t>
      </w:r>
    </w:p>
    <w:p>
      <w:pPr>
        <w:spacing w:after="60" w:before="60"/>
        <w:jc w:val="left"/>
      </w:pPr>
      <w:r>
        <w:rPr>
          <w:rFonts w:ascii="Arial" w:cs="Arial" w:eastAsia="Arial" w:hAnsi="Arial"/>
          <w:b/>
          <w:bCs/>
          <w:color w:val="D7263D"/>
          <w:sz w:val="20"/>
          <w:szCs w:val="20"/>
        </w:rPr>
        <w:t xml:space="preserve">【記入】</w:t>
      </w:r>
      <w:r>
        <w:rPr>
          <w:rFonts w:ascii="Arial" w:cs="Arial" w:eastAsia="Arial" w:hAnsi="Arial"/>
          <w:color w:val="1A1A2E"/>
          <w:sz w:val="20"/>
          <w:szCs w:val="20"/>
        </w:rPr>
        <w:t xml:space="preserve">定量・定性両面で記載。</w:t>
      </w:r>
    </w:p>
    <w:p>
      <w:pPr>
        <w:spacing w:after="60" w:before="60"/>
        <w:jc w:val="left"/>
      </w:pPr>
      <w:r>
        <w:rPr>
          <w:rFonts w:ascii="Arial" w:cs="Arial" w:eastAsia="Arial" w:hAnsi="Arial"/>
          <w:color w:val="1A1A2E"/>
          <w:sz w:val="20"/>
          <w:szCs w:val="20"/>
        </w:rPr>
        <w:t xml:space="preserve">（例：現行ベンダーの直近12ヶ月のSLA達成率は○%（目標：○%）。改善計画の提出を求めたが、根本原因の解消に至らなかった。）</w:t>
      </w:r>
    </w:p>
    <w:p>
      <w:pPr>
        <w:spacing w:after="80" w:before="0"/>
      </w:pPr>
    </w:p>
    <w:p>
      <w:pPr>
        <w:pStyle w:val="Heading2"/>
      </w:pPr>
      <w:r>
        <w:rPr>
          <w:rFonts w:ascii="Arial" w:cs="Arial" w:eastAsia="Arial" w:hAnsi="Arial"/>
          <w:b/>
          <w:bCs/>
          <w:color w:val="1E2761"/>
          <w:sz w:val="26"/>
          <w:szCs w:val="26"/>
        </w:rPr>
        <w:t xml:space="preserve">4-2. 選定プロセス</w:t>
      </w:r>
    </w:p>
    <w:p>
      <w:pPr>
        <w:spacing w:after="60" w:before="60"/>
        <w:jc w:val="left"/>
      </w:pPr>
      <w:r>
        <w:rPr>
          <w:rFonts w:ascii="Arial" w:cs="Arial" w:eastAsia="Arial" w:hAnsi="Arial"/>
          <w:b/>
          <w:bCs/>
          <w:color w:val="D7263D"/>
          <w:sz w:val="20"/>
          <w:szCs w:val="20"/>
        </w:rPr>
        <w:t xml:space="preserve">【記入】</w:t>
      </w:r>
      <w:r>
        <w:rPr>
          <w:rFonts w:ascii="Arial" w:cs="Arial" w:eastAsia="Arial" w:hAnsi="Arial"/>
          <w:color w:val="1A1A2E"/>
          <w:sz w:val="20"/>
          <w:szCs w:val="20"/>
        </w:rPr>
        <w:t xml:space="preserve">RFP配布先、評価プロセスの概要を記載。</w:t>
      </w:r>
    </w:p>
    <w:p>
      <w:pPr>
        <w:spacing w:after="60" w:before="60"/>
        <w:jc w:val="left"/>
      </w:pPr>
      <w:r>
        <w:rPr>
          <w:rFonts w:ascii="Arial" w:cs="Arial" w:eastAsia="Arial" w:hAnsi="Arial"/>
          <w:color w:val="1A1A2E"/>
          <w:sz w:val="20"/>
          <w:szCs w:val="20"/>
        </w:rPr>
        <w:t xml:space="preserve">（例：○社にRFPを配布し、○年○月〜○月にかけて評価委員会（IT部門・調達部門・法務部門）にて審査を実施。）</w:t>
      </w:r>
    </w:p>
    <w:p>
      <w:pPr>
        <w:spacing w:after="80" w:before="0"/>
      </w:pPr>
    </w:p>
    <w:p>
      <w:pPr>
        <w:pStyle w:val="Heading2"/>
      </w:pPr>
      <w:r>
        <w:rPr>
          <w:rFonts w:ascii="Arial" w:cs="Arial" w:eastAsia="Arial" w:hAnsi="Arial"/>
          <w:b/>
          <w:bCs/>
          <w:color w:val="1E2761"/>
          <w:sz w:val="26"/>
          <w:szCs w:val="26"/>
        </w:rPr>
        <w:t xml:space="preserve">4-3. 比較評価表</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400"/>
        <w:gridCol w:w="1420"/>
        <w:gridCol w:w="1420"/>
        <w:gridCol w:w="1420"/>
      </w:tblGrid>
      <w:tr>
        <w:tc>
          <w:tcPr>
            <w:tcW w:type="dxa" w:w="28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評価軸</w:t>
            </w:r>
          </w:p>
        </w:tc>
        <w:tc>
          <w:tcPr>
            <w:tcW w:type="dxa" w:w="8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配点</w:t>
            </w:r>
          </w:p>
        </w:tc>
        <w:tc>
          <w:tcPr>
            <w:tcW w:type="dxa" w:w="14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既存ベンダー</w:t>
            </w:r>
          </w:p>
        </w:tc>
        <w:tc>
          <w:tcPr>
            <w:tcW w:type="dxa" w:w="142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候補A（選定先）</w:t>
            </w:r>
          </w:p>
        </w:tc>
        <w:tc>
          <w:tcPr>
            <w:tcW w:type="dxa" w:w="142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候補B</w:t>
            </w:r>
          </w:p>
        </w:tc>
        <w:tc>
          <w:tcPr>
            <w:tcW w:type="dxa" w:w="142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候補C</w:t>
            </w:r>
          </w:p>
        </w:tc>
      </w:tr>
      <w:tr>
        <w:tc>
          <w:tcPr>
            <w:tcW w:type="dxa" w:w="28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E2761"/>
                <w:sz w:val="20"/>
                <w:szCs w:val="20"/>
              </w:rPr>
              <w:t xml:space="preserve">技術適合性</w:t>
            </w:r>
          </w:p>
        </w:tc>
        <w:tc>
          <w:tcPr>
            <w:tcW w:type="dxa" w:w="8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25点</w:t>
            </w:r>
          </w:p>
        </w:tc>
        <w:tc>
          <w:tcPr>
            <w:tcW w:type="dxa" w:w="140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r>
      <w:tr>
        <w:tc>
          <w:tcPr>
            <w:tcW w:type="dxa" w:w="28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E2761"/>
                <w:sz w:val="20"/>
                <w:szCs w:val="20"/>
              </w:rPr>
              <w:t xml:space="preserve">移行実績・経験</w:t>
            </w:r>
          </w:p>
        </w:tc>
        <w:tc>
          <w:tcPr>
            <w:tcW w:type="dxa" w:w="8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20点</w:t>
            </w:r>
          </w:p>
        </w:tc>
        <w:tc>
          <w:tcPr>
            <w:tcW w:type="dxa" w:w="140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r>
      <w:tr>
        <w:tc>
          <w:tcPr>
            <w:tcW w:type="dxa" w:w="28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E2761"/>
                <w:sz w:val="20"/>
                <w:szCs w:val="20"/>
              </w:rPr>
              <w:t xml:space="preserve">5年間TCO</w:t>
            </w:r>
          </w:p>
        </w:tc>
        <w:tc>
          <w:tcPr>
            <w:tcW w:type="dxa" w:w="8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25点</w:t>
            </w:r>
          </w:p>
        </w:tc>
        <w:tc>
          <w:tcPr>
            <w:tcW w:type="dxa" w:w="140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r>
      <w:tr>
        <w:tc>
          <w:tcPr>
            <w:tcW w:type="dxa" w:w="28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E2761"/>
                <w:sz w:val="20"/>
                <w:szCs w:val="20"/>
              </w:rPr>
              <w:t xml:space="preserve">セキュリティ認証（ISO27001等）</w:t>
            </w:r>
          </w:p>
        </w:tc>
        <w:tc>
          <w:tcPr>
            <w:tcW w:type="dxa" w:w="8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15点</w:t>
            </w:r>
          </w:p>
        </w:tc>
        <w:tc>
          <w:tcPr>
            <w:tcW w:type="dxa" w:w="140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r>
      <w:tr>
        <w:tc>
          <w:tcPr>
            <w:tcW w:type="dxa" w:w="28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E2761"/>
                <w:sz w:val="20"/>
                <w:szCs w:val="20"/>
              </w:rPr>
              <w:t xml:space="preserve">財務健全性・事業継続性</w:t>
            </w:r>
          </w:p>
        </w:tc>
        <w:tc>
          <w:tcPr>
            <w:tcW w:type="dxa" w:w="8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10点</w:t>
            </w:r>
          </w:p>
        </w:tc>
        <w:tc>
          <w:tcPr>
            <w:tcW w:type="dxa" w:w="140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r>
      <w:tr>
        <w:tc>
          <w:tcPr>
            <w:tcW w:type="dxa" w:w="28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E2761"/>
                <w:sz w:val="20"/>
                <w:szCs w:val="20"/>
              </w:rPr>
              <w:t xml:space="preserve">引継ぎ協力度</w:t>
            </w:r>
          </w:p>
        </w:tc>
        <w:tc>
          <w:tcPr>
            <w:tcW w:type="dxa" w:w="8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5点</w:t>
            </w:r>
          </w:p>
        </w:tc>
        <w:tc>
          <w:tcPr>
            <w:tcW w:type="dxa" w:w="140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r>
      <w:tr>
        <w:tc>
          <w:tcPr>
            <w:tcW w:type="dxa" w:w="2800"/>
            <w:tcBorders>
              <w:top w:val="single" w:color="CADCFC" w:sz="4"/>
              <w:left w:val="single" w:color="CADCFC" w:sz="4"/>
              <w:bottom w:val="single" w:color="CADCFC" w:sz="4"/>
              <w:right w:val="single" w:color="CADCFC" w:sz="4"/>
            </w:tcBorders>
            <w:shd w:fill="1E2761" w:val="clear"/>
            <w:tcMar>
              <w:top w:type="dxa" w:w="80"/>
              <w:left w:type="dxa" w:w="140"/>
              <w:bottom w:type="dxa" w:w="80"/>
              <w:right w:type="dxa" w:w="140"/>
            </w:tcMar>
            <w:vAlign w:val="top"/>
          </w:tcPr>
          <w:p>
            <w:r>
              <w:rPr>
                <w:rFonts w:ascii="Arial" w:cs="Arial" w:eastAsia="Arial" w:hAnsi="Arial"/>
                <w:b/>
                <w:bCs/>
                <w:color w:val="FFFFFF"/>
                <w:sz w:val="20"/>
                <w:szCs w:val="20"/>
              </w:rPr>
              <w:t xml:space="preserve">合計</w:t>
            </w:r>
          </w:p>
        </w:tc>
        <w:tc>
          <w:tcPr>
            <w:tcW w:type="dxa" w:w="800"/>
            <w:tcBorders>
              <w:top w:val="single" w:color="CADCFC" w:sz="4"/>
              <w:left w:val="single" w:color="CADCFC" w:sz="4"/>
              <w:bottom w:val="single" w:color="CADCFC" w:sz="4"/>
              <w:right w:val="single" w:color="CADCFC" w:sz="4"/>
            </w:tcBorders>
            <w:shd w:fill="1E2761" w:val="clear"/>
            <w:tcMar>
              <w:top w:type="dxa" w:w="80"/>
              <w:left w:type="dxa" w:w="140"/>
              <w:bottom w:type="dxa" w:w="80"/>
              <w:right w:type="dxa" w:w="140"/>
            </w:tcMar>
            <w:vAlign w:val="top"/>
          </w:tcPr>
          <w:p>
            <w:r>
              <w:rPr>
                <w:rFonts w:ascii="Arial" w:cs="Arial" w:eastAsia="Arial" w:hAnsi="Arial"/>
                <w:b/>
                <w:bCs/>
                <w:color w:val="FFFFFF"/>
                <w:sz w:val="20"/>
                <w:szCs w:val="20"/>
              </w:rPr>
              <w:t xml:space="preserve">100点</w:t>
            </w:r>
          </w:p>
        </w:tc>
        <w:tc>
          <w:tcPr>
            <w:tcW w:type="dxa" w:w="140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142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r>
    </w:tbl>
    <w:p>
      <w:pPr>
        <w:spacing w:after="80" w:before="0"/>
      </w:pPr>
    </w:p>
    <w:p>
      <w:pPr>
        <w:pStyle w:val="Heading2"/>
      </w:pPr>
      <w:r>
        <w:rPr>
          <w:rFonts w:ascii="Arial" w:cs="Arial" w:eastAsia="Arial" w:hAnsi="Arial"/>
          <w:b/>
          <w:bCs/>
          <w:color w:val="1E2761"/>
          <w:sz w:val="26"/>
          <w:szCs w:val="26"/>
        </w:rPr>
        <w:t xml:space="preserve">4-4. 選定理由の総括</w:t>
      </w:r>
    </w:p>
    <w:p>
      <w:pPr>
        <w:spacing w:after="60" w:before="60"/>
        <w:jc w:val="left"/>
      </w:pPr>
      <w:r>
        <w:rPr>
          <w:rFonts w:ascii="Arial" w:cs="Arial" w:eastAsia="Arial" w:hAnsi="Arial"/>
          <w:b/>
          <w:bCs/>
          <w:color w:val="D7263D"/>
          <w:sz w:val="20"/>
          <w:szCs w:val="20"/>
        </w:rPr>
        <w:t xml:space="preserve">【記入】</w:t>
      </w:r>
      <w:r>
        <w:rPr>
          <w:rFonts w:ascii="Arial" w:cs="Arial" w:eastAsia="Arial" w:hAnsi="Arial"/>
          <w:color w:val="1A1A2E"/>
          <w:sz w:val="20"/>
          <w:szCs w:val="20"/>
        </w:rPr>
        <w:t xml:space="preserve">評価結果を踏まえた選定理由を簡潔に記載。</w:t>
      </w:r>
    </w:p>
    <w:p>
      <w:pPr>
        <w:spacing w:after="160" w:before="0"/>
      </w:pPr>
    </w:p>
    <w:p>
      <w:pPr>
        <w:pStyle w:val="Heading1"/>
      </w:pPr>
      <w:r>
        <w:rPr>
          <w:rFonts w:ascii="Arial" w:cs="Arial" w:eastAsia="Arial" w:hAnsi="Arial"/>
          <w:b/>
          <w:bCs/>
          <w:color w:val="1E2761"/>
          <w:sz w:val="32"/>
          <w:szCs w:val="32"/>
        </w:rPr>
        <w:t xml:space="preserve">第5部：決裁ポイント</w:t>
      </w:r>
    </w:p>
    <w:p>
      <w:pPr>
        <w:spacing w:after="60" w:before="60"/>
        <w:jc w:val="left"/>
      </w:pPr>
      <w:r>
        <w:rPr>
          <w:rFonts w:ascii="Arial" w:cs="Arial" w:eastAsia="Arial" w:hAnsi="Arial"/>
          <w:color w:val="1A1A2E"/>
          <w:sz w:val="20"/>
          <w:szCs w:val="20"/>
        </w:rPr>
        <w:t xml:space="preserve">各ポイントは「契約上の根拠（事実）→ リスク → 対応策 → 残存リスクと検知シグナル」の順で記載する。リスクアイコンの定義は本文書冒頭の凡例を参照。契約上の数値・条項番号の詳細は第3部「契約サマリー」を参照。</w:t>
      </w:r>
    </w:p>
    <w:p>
      <w:pPr>
        <w:spacing w:after="80" w:before="0"/>
      </w:pPr>
    </w:p>
    <w:p>
      <w:pPr>
        <w:pStyle w:val="Heading2"/>
      </w:pPr>
      <w:r>
        <w:rPr>
          <w:rFonts w:ascii="Arial" w:cs="Arial" w:eastAsia="Arial" w:hAnsi="Arial"/>
          <w:b/>
          <w:bCs/>
          <w:color w:val="1E2761"/>
          <w:sz w:val="26"/>
          <w:szCs w:val="26"/>
        </w:rPr>
        <w:t xml:space="preserve">決裁ポイント①　移行期間中の業務継続性</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
        <w:gridCol w:w="9100"/>
      </w:tblGrid>
      <w:tr>
        <w:tc>
          <w:tcPr>
            <w:tcW w:type="dxa" w:w="160"/>
            <w:tcBorders>
              <w:top w:val="none" w:color="FFFFFF" w:sz="0"/>
              <w:left w:val="thick" w:color="1E2761" w:sz="20"/>
              <w:bottom w:val="none" w:color="FFFFFF" w:sz="0"/>
              <w:right w:val="none" w:color="FFFFFF" w:sz="0"/>
            </w:tcBorders>
            <w:shd w:fill="F4F6FB"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4F6FB" w:val="clear"/>
            <w:tcMar>
              <w:top w:type="dxa" w:w="100"/>
              <w:left w:type="dxa" w:w="160"/>
              <w:bottom w:type="dxa" w:w="100"/>
              <w:right w:type="dxa" w:w="160"/>
            </w:tcMar>
          </w:tcPr>
          <w:p>
            <w:pPr>
              <w:spacing w:after="40" w:before="0"/>
            </w:pPr>
            <w:r>
              <w:rPr>
                <w:rFonts w:ascii="Arial" w:cs="Arial" w:eastAsia="Arial" w:hAnsi="Arial"/>
                <w:b/>
                <w:bCs/>
                <w:color w:val="1E2761"/>
                <w:sz w:val="21"/>
                <w:szCs w:val="21"/>
              </w:rPr>
              <w:t xml:space="preserve">[事実] 契約上の根拠（事実）</w:t>
            </w:r>
          </w:p>
          <w:p>
            <w:pPr>
              <w:spacing w:after="0" w:before="0"/>
            </w:pPr>
            <w:r>
              <w:rPr>
                <w:rFonts w:ascii="Arial" w:cs="Arial" w:eastAsia="Arial" w:hAnsi="Arial"/>
                <w:color w:val="1A1A2E"/>
                <w:sz w:val="20"/>
                <w:szCs w:val="20"/>
              </w:rPr>
              <w:t xml:space="preserve">SOW第6条において、移行はフェーズ別に段階的に実施することが定められており、各フェーズの完了はAcceptance Criteriaへの合格をもって確認する。第6.4条にて移行完了確認後30日間の並行稼働期間が義務付けられている。</w:t>
            </w:r>
          </w:p>
        </w:tc>
      </w:tr>
      <w:tr>
        <w:tc>
          <w:tcPr>
            <w:tcW w:type="dxa" w:w="160"/>
            <w:tcBorders>
              <w:top w:val="none" w:color="FFFFFF" w:sz="0"/>
              <w:left w:val="thick" w:color="D7263D" w:sz="20"/>
              <w:bottom w:val="none" w:color="FFFFFF" w:sz="0"/>
              <w:right w:val="none" w:color="FFFFFF" w:sz="0"/>
            </w:tcBorders>
            <w:shd w:fill="FFFFFF"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FFFFF" w:val="clear"/>
            <w:tcMar>
              <w:top w:type="dxa" w:w="100"/>
              <w:left w:type="dxa" w:w="160"/>
              <w:bottom w:type="dxa" w:w="100"/>
              <w:right w:type="dxa" w:w="160"/>
            </w:tcMar>
          </w:tcPr>
          <w:p>
            <w:pPr>
              <w:spacing w:after="30" w:before="0"/>
            </w:pPr>
            <w:r>
              <w:rPr>
                <w:rFonts w:ascii="Arial" w:cs="Arial" w:eastAsia="Arial" w:hAnsi="Arial"/>
                <w:b/>
                <w:bCs/>
                <w:color w:val="D7263D"/>
                <w:sz w:val="21"/>
                <w:szCs w:val="21"/>
              </w:rPr>
              <w:t xml:space="preserve">[!] リスク　</w:t>
            </w:r>
            <w:r>
              <w:rPr>
                <w:rFonts w:ascii="Arial" w:cs="Arial" w:eastAsia="Arial" w:hAnsi="Arial"/>
                <w:b/>
                <w:bCs/>
                <w:color w:val="D7263D"/>
                <w:sz w:val="21"/>
                <w:szCs w:val="21"/>
              </w:rPr>
              <w:t xml:space="preserve">[●] High</w:t>
            </w:r>
          </w:p>
          <w:p>
            <w:pPr>
              <w:spacing w:after="0" w:before="0"/>
            </w:pPr>
            <w:r>
              <w:rPr>
                <w:rFonts w:ascii="Arial" w:cs="Arial" w:eastAsia="Arial" w:hAnsi="Arial"/>
                <w:color w:val="1A1A2E"/>
                <w:sz w:val="20"/>
                <w:szCs w:val="20"/>
              </w:rPr>
              <w:t xml:space="preserve">既存ベンダーの協力姿勢に依存する工程が存在し、引継ぎが遅延した場合、並行稼働期間が実質的に短縮される可能性がある。</w:t>
            </w:r>
          </w:p>
        </w:tc>
      </w:tr>
      <w:tr>
        <w:tc>
          <w:tcPr>
            <w:tcW w:type="dxa" w:w="160"/>
            <w:tcBorders>
              <w:top w:val="none" w:color="FFFFFF" w:sz="0"/>
              <w:left w:val="thick" w:color="1E7A4A" w:sz="20"/>
              <w:bottom w:val="none" w:color="FFFFFF" w:sz="0"/>
              <w:right w:val="none" w:color="FFFFFF" w:sz="0"/>
            </w:tcBorders>
            <w:shd w:fill="FFFFFF"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FFFFF" w:val="clear"/>
            <w:tcMar>
              <w:top w:type="dxa" w:w="100"/>
              <w:left w:type="dxa" w:w="160"/>
              <w:bottom w:type="dxa" w:w="100"/>
              <w:right w:type="dxa" w:w="160"/>
            </w:tcMar>
          </w:tcPr>
          <w:p>
            <w:pPr>
              <w:spacing w:after="30" w:before="0"/>
            </w:pPr>
            <w:r>
              <w:rPr>
                <w:rFonts w:ascii="Arial" w:cs="Arial" w:eastAsia="Arial" w:hAnsi="Arial"/>
                <w:b/>
                <w:bCs/>
                <w:color w:val="1E7A4A"/>
                <w:sz w:val="21"/>
                <w:szCs w:val="21"/>
              </w:rPr>
              <w:t xml:space="preserve">[対応] 対応策</w:t>
            </w:r>
          </w:p>
          <w:p>
            <w:pPr>
              <w:spacing w:after="0" w:before="0"/>
            </w:pPr>
            <w:r>
              <w:rPr>
                <w:rFonts w:ascii="Arial" w:cs="Arial" w:eastAsia="Arial" w:hAnsi="Arial"/>
                <w:color w:val="1A1A2E"/>
                <w:sz w:val="20"/>
                <w:szCs w:val="20"/>
              </w:rPr>
              <w:t xml:space="preserve">既存ベンダーとの現行契約に30日延長オプションを交渉済み。社内IT部門によるマニュアル運用手順書を移行開始前に整備する。</w:t>
            </w:r>
          </w:p>
        </w:tc>
      </w:tr>
      <w:tr>
        <w:tc>
          <w:tcPr>
            <w:tcW w:type="dxa" w:w="160"/>
            <w:tcBorders>
              <w:top w:val="none" w:color="FFFFFF" w:sz="0"/>
              <w:left w:val="thick" w:color="C07A00" w:sz="20"/>
              <w:bottom w:val="none" w:color="FFFFFF" w:sz="0"/>
              <w:right w:val="none" w:color="FFFFFF" w:sz="0"/>
            </w:tcBorders>
            <w:shd w:fill="FFF8E1" w:val="clear"/>
            <w:tcMar>
              <w:top w:type="dxa" w:w="0"/>
              <w:left w:type="dxa" w:w="0"/>
              <w:bottom w:type="dxa" w:w="0"/>
              <w:right w:type="dxa" w:w="0"/>
            </w:tcMar>
          </w:tcPr>
          <w:p/>
        </w:tc>
        <w:tc>
          <w:tcPr>
            <w:tcW w:type="dxa" w:w="9100"/>
            <w:tcBorders>
              <w:top w:val="none" w:color="FFFFFF" w:sz="0"/>
              <w:left w:val="none" w:color="FFFFFF" w:sz="0"/>
              <w:bottom w:val="none" w:color="FFFFFF" w:sz="0"/>
              <w:right w:val="none" w:color="FFFFFF" w:sz="0"/>
            </w:tcBorders>
            <w:shd w:fill="FFF8E1" w:val="clear"/>
            <w:tcMar>
              <w:top w:type="dxa" w:w="100"/>
              <w:left w:type="dxa" w:w="160"/>
              <w:bottom w:type="dxa" w:w="100"/>
              <w:right w:type="dxa" w:w="160"/>
            </w:tcMar>
          </w:tcPr>
          <w:p>
            <w:pPr>
              <w:spacing w:after="30" w:before="0"/>
            </w:pPr>
            <w:r>
              <w:rPr>
                <w:rFonts w:ascii="Arial" w:cs="Arial" w:eastAsia="Arial" w:hAnsi="Arial"/>
                <w:b/>
                <w:bCs/>
                <w:color w:val="7A5200"/>
                <w:sz w:val="21"/>
                <w:szCs w:val="21"/>
              </w:rPr>
              <w:t xml:space="preserve">▶ 残存リスクと検知シグナル</w:t>
            </w:r>
          </w:p>
          <w:p>
            <w:pPr>
              <w:spacing w:after="40" w:before="0"/>
            </w:pPr>
            <w:r>
              <w:rPr>
                <w:rFonts w:ascii="Arial" w:cs="Arial" w:eastAsia="Arial" w:hAnsi="Arial"/>
                <w:color w:val="1A1A2E"/>
                <w:sz w:val="20"/>
                <w:szCs w:val="20"/>
              </w:rPr>
              <w:t xml:space="preserve">延長交渉が不調に終わった場合、暫定対応期間中の工数負荷増大は許容が必要。</w:t>
            </w:r>
          </w:p>
          <w:p>
            <w:pPr>
              <w:spacing w:after="0" w:before="0"/>
            </w:pPr>
            <w:r>
              <w:rPr>
                <w:rFonts w:ascii="Arial" w:cs="Arial" w:eastAsia="Arial" w:hAnsi="Arial"/>
                <w:b/>
                <w:bCs/>
                <w:color w:val="7A5200"/>
                <w:sz w:val="20"/>
                <w:szCs w:val="20"/>
              </w:rPr>
              <w:t xml:space="preserve">[Signal] シグナル：　</w:t>
            </w:r>
            <w:r>
              <w:rPr>
                <w:rFonts w:ascii="Arial" w:cs="Arial" w:eastAsia="Arial" w:hAnsi="Arial"/>
                <w:color w:val="7A5200"/>
                <w:sz w:val="20"/>
                <w:szCs w:val="20"/>
              </w:rPr>
              <w:t xml:space="preserve">既存ベンダーからの延長合意書面が移行開始60日前までに取得できない場合、エスカレーション要。</w:t>
            </w:r>
          </w:p>
        </w:tc>
      </w:tr>
    </w:tbl>
    <w:p>
      <w:pPr>
        <w:spacing w:after="60" w:before="0"/>
      </w:pPr>
    </w:p>
    <w:p>
      <w:pPr>
        <w:spacing w:after="80" w:before="0"/>
      </w:pPr>
    </w:p>
    <w:p>
      <w:pPr>
        <w:pStyle w:val="Heading2"/>
      </w:pPr>
      <w:r>
        <w:rPr>
          <w:rFonts w:ascii="Arial" w:cs="Arial" w:eastAsia="Arial" w:hAnsi="Arial"/>
          <w:b/>
          <w:bCs/>
          <w:color w:val="1E2761"/>
          <w:sz w:val="26"/>
          <w:szCs w:val="26"/>
        </w:rPr>
        <w:t xml:space="preserve">決裁ポイント②　データ移行・セキュリティ</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
        <w:gridCol w:w="9100"/>
      </w:tblGrid>
      <w:tr>
        <w:tc>
          <w:tcPr>
            <w:tcW w:type="dxa" w:w="160"/>
            <w:tcBorders>
              <w:top w:val="none" w:color="FFFFFF" w:sz="0"/>
              <w:left w:val="thick" w:color="1E2761" w:sz="20"/>
              <w:bottom w:val="none" w:color="FFFFFF" w:sz="0"/>
              <w:right w:val="none" w:color="FFFFFF" w:sz="0"/>
            </w:tcBorders>
            <w:shd w:fill="F4F6FB"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4F6FB" w:val="clear"/>
            <w:tcMar>
              <w:top w:type="dxa" w:w="100"/>
              <w:left w:type="dxa" w:w="160"/>
              <w:bottom w:type="dxa" w:w="100"/>
              <w:right w:type="dxa" w:w="160"/>
            </w:tcMar>
          </w:tcPr>
          <w:p>
            <w:pPr>
              <w:spacing w:after="40" w:before="0"/>
            </w:pPr>
            <w:r>
              <w:rPr>
                <w:rFonts w:ascii="Arial" w:cs="Arial" w:eastAsia="Arial" w:hAnsi="Arial"/>
                <w:b/>
                <w:bCs/>
                <w:color w:val="1E2761"/>
                <w:sz w:val="21"/>
                <w:szCs w:val="21"/>
              </w:rPr>
              <w:t xml:space="preserve">[事実] 契約上の根拠（事実）</w:t>
            </w:r>
          </w:p>
          <w:p>
            <w:pPr>
              <w:spacing w:after="0" w:before="0"/>
            </w:pPr>
            <w:r>
              <w:rPr>
                <w:rFonts w:ascii="Arial" w:cs="Arial" w:eastAsia="Arial" w:hAnsi="Arial"/>
                <w:color w:val="1A1A2E"/>
                <w:sz w:val="20"/>
                <w:szCs w:val="20"/>
              </w:rPr>
              <w:t xml:space="preserve">SOW第8条において最小権限原則（Least Privilege）に基づくアクセス管理を義務付け。第8.3項にて移行完了後30日以内の旧環境データ消去と証跡提出を明文化。第8.5条にて重大インシデント時の24時間以内通知義務を規定。損害賠償上限はSOW第12条にて契約総額の100%と設定。</w:t>
            </w:r>
          </w:p>
        </w:tc>
      </w:tr>
      <w:tr>
        <w:tc>
          <w:tcPr>
            <w:tcW w:type="dxa" w:w="160"/>
            <w:tcBorders>
              <w:top w:val="none" w:color="FFFFFF" w:sz="0"/>
              <w:left w:val="thick" w:color="D7263D" w:sz="20"/>
              <w:bottom w:val="none" w:color="FFFFFF" w:sz="0"/>
              <w:right w:val="none" w:color="FFFFFF" w:sz="0"/>
            </w:tcBorders>
            <w:shd w:fill="FFFFFF"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FFFFF" w:val="clear"/>
            <w:tcMar>
              <w:top w:type="dxa" w:w="100"/>
              <w:left w:type="dxa" w:w="160"/>
              <w:bottom w:type="dxa" w:w="100"/>
              <w:right w:type="dxa" w:w="160"/>
            </w:tcMar>
          </w:tcPr>
          <w:p>
            <w:pPr>
              <w:spacing w:after="30" w:before="0"/>
            </w:pPr>
            <w:r>
              <w:rPr>
                <w:rFonts w:ascii="Arial" w:cs="Arial" w:eastAsia="Arial" w:hAnsi="Arial"/>
                <w:b/>
                <w:bCs/>
                <w:color w:val="D7263D"/>
                <w:sz w:val="21"/>
                <w:szCs w:val="21"/>
              </w:rPr>
              <w:t xml:space="preserve">[!] リスク　</w:t>
            </w:r>
            <w:r>
              <w:rPr>
                <w:rFonts w:ascii="Arial" w:cs="Arial" w:eastAsia="Arial" w:hAnsi="Arial"/>
                <w:b/>
                <w:bCs/>
                <w:color w:val="D7263D"/>
                <w:sz w:val="21"/>
                <w:szCs w:val="21"/>
              </w:rPr>
              <w:t xml:space="preserve">[●] High</w:t>
            </w:r>
          </w:p>
          <w:p>
            <w:pPr>
              <w:spacing w:after="0" w:before="0"/>
            </w:pPr>
            <w:r>
              <w:rPr>
                <w:rFonts w:ascii="Arial" w:cs="Arial" w:eastAsia="Arial" w:hAnsi="Arial"/>
                <w:color w:val="1A1A2E"/>
                <w:sz w:val="20"/>
                <w:szCs w:val="20"/>
              </w:rPr>
              <w:t xml:space="preserve">サードパーティ監査は本契約のスコープ外であり、データ消去の確認はベンダーの自己申告に依存する。損害賠償上限（契約総額の100%）が実損害を下回る可能性がある。</w:t>
            </w:r>
          </w:p>
        </w:tc>
      </w:tr>
      <w:tr>
        <w:tc>
          <w:tcPr>
            <w:tcW w:type="dxa" w:w="160"/>
            <w:tcBorders>
              <w:top w:val="none" w:color="FFFFFF" w:sz="0"/>
              <w:left w:val="thick" w:color="1E7A4A" w:sz="20"/>
              <w:bottom w:val="none" w:color="FFFFFF" w:sz="0"/>
              <w:right w:val="none" w:color="FFFFFF" w:sz="0"/>
            </w:tcBorders>
            <w:shd w:fill="FFFFFF"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FFFFF" w:val="clear"/>
            <w:tcMar>
              <w:top w:type="dxa" w:w="100"/>
              <w:left w:type="dxa" w:w="160"/>
              <w:bottom w:type="dxa" w:w="100"/>
              <w:right w:type="dxa" w:w="160"/>
            </w:tcMar>
          </w:tcPr>
          <w:p>
            <w:pPr>
              <w:spacing w:after="30" w:before="0"/>
            </w:pPr>
            <w:r>
              <w:rPr>
                <w:rFonts w:ascii="Arial" w:cs="Arial" w:eastAsia="Arial" w:hAnsi="Arial"/>
                <w:b/>
                <w:bCs/>
                <w:color w:val="1E7A4A"/>
                <w:sz w:val="21"/>
                <w:szCs w:val="21"/>
              </w:rPr>
              <w:t xml:space="preserve">[対応] 対応策</w:t>
            </w:r>
          </w:p>
          <w:p>
            <w:pPr>
              <w:spacing w:after="0" w:before="0"/>
            </w:pPr>
            <w:r>
              <w:rPr>
                <w:rFonts w:ascii="Arial" w:cs="Arial" w:eastAsia="Arial" w:hAnsi="Arial"/>
                <w:color w:val="1A1A2E"/>
                <w:sz w:val="20"/>
                <w:szCs w:val="20"/>
              </w:rPr>
              <w:t xml:space="preserve">データ消去証跡の書式を契約附属書として規定し、形式的な確認にとどまらない内容を要求。</w:t>
            </w:r>
          </w:p>
        </w:tc>
      </w:tr>
      <w:tr>
        <w:tc>
          <w:tcPr>
            <w:tcW w:type="dxa" w:w="160"/>
            <w:tcBorders>
              <w:top w:val="none" w:color="FFFFFF" w:sz="0"/>
              <w:left w:val="thick" w:color="C07A00" w:sz="20"/>
              <w:bottom w:val="none" w:color="FFFFFF" w:sz="0"/>
              <w:right w:val="none" w:color="FFFFFF" w:sz="0"/>
            </w:tcBorders>
            <w:shd w:fill="FFF8E1" w:val="clear"/>
            <w:tcMar>
              <w:top w:type="dxa" w:w="0"/>
              <w:left w:type="dxa" w:w="0"/>
              <w:bottom w:type="dxa" w:w="0"/>
              <w:right w:type="dxa" w:w="0"/>
            </w:tcMar>
          </w:tcPr>
          <w:p/>
        </w:tc>
        <w:tc>
          <w:tcPr>
            <w:tcW w:type="dxa" w:w="9100"/>
            <w:tcBorders>
              <w:top w:val="none" w:color="FFFFFF" w:sz="0"/>
              <w:left w:val="none" w:color="FFFFFF" w:sz="0"/>
              <w:bottom w:val="none" w:color="FFFFFF" w:sz="0"/>
              <w:right w:val="none" w:color="FFFFFF" w:sz="0"/>
            </w:tcBorders>
            <w:shd w:fill="FFF8E1" w:val="clear"/>
            <w:tcMar>
              <w:top w:type="dxa" w:w="100"/>
              <w:left w:type="dxa" w:w="160"/>
              <w:bottom w:type="dxa" w:w="100"/>
              <w:right w:type="dxa" w:w="160"/>
            </w:tcMar>
          </w:tcPr>
          <w:p>
            <w:pPr>
              <w:spacing w:after="30" w:before="0"/>
            </w:pPr>
            <w:r>
              <w:rPr>
                <w:rFonts w:ascii="Arial" w:cs="Arial" w:eastAsia="Arial" w:hAnsi="Arial"/>
                <w:b/>
                <w:bCs/>
                <w:color w:val="7A5200"/>
                <w:sz w:val="21"/>
                <w:szCs w:val="21"/>
              </w:rPr>
              <w:t xml:space="preserve">▶ 残存リスクと検知シグナル</w:t>
            </w:r>
          </w:p>
          <w:p>
            <w:pPr>
              <w:spacing w:after="40" w:before="0"/>
            </w:pPr>
            <w:r>
              <w:rPr>
                <w:rFonts w:ascii="Arial" w:cs="Arial" w:eastAsia="Arial" w:hAnsi="Arial"/>
                <w:color w:val="1A1A2E"/>
                <w:sz w:val="20"/>
                <w:szCs w:val="20"/>
              </w:rPr>
              <w:t xml:space="preserve">ベンダー内部の作業員レベルでの逸脱行為は契約上の管理に限界がある。実損害が賠償上限を超過した場合の回収は困難。この点は法務部門確認済み。</w:t>
            </w:r>
          </w:p>
          <w:p>
            <w:pPr>
              <w:spacing w:after="0" w:before="0"/>
            </w:pPr>
            <w:r>
              <w:rPr>
                <w:rFonts w:ascii="Arial" w:cs="Arial" w:eastAsia="Arial" w:hAnsi="Arial"/>
                <w:b/>
                <w:bCs/>
                <w:color w:val="7A5200"/>
                <w:sz w:val="20"/>
                <w:szCs w:val="20"/>
              </w:rPr>
              <w:t xml:space="preserve">[Signal] シグナル：　</w:t>
            </w:r>
            <w:r>
              <w:rPr>
                <w:rFonts w:ascii="Arial" w:cs="Arial" w:eastAsia="Arial" w:hAnsi="Arial"/>
                <w:color w:val="7A5200"/>
                <w:sz w:val="20"/>
                <w:szCs w:val="20"/>
              </w:rPr>
              <w:t xml:space="preserve">データ消去証跡の提出が完了後30日以内に行われない場合、または通知義務違反が1件でも発生した場合、Cure Period（第12.1条）を即時起動。</w:t>
            </w:r>
          </w:p>
        </w:tc>
      </w:tr>
    </w:tbl>
    <w:p>
      <w:pPr>
        <w:spacing w:after="60" w:before="0"/>
      </w:pPr>
    </w:p>
    <w:p>
      <w:pPr>
        <w:spacing w:after="80" w:before="0"/>
      </w:pPr>
    </w:p>
    <w:p>
      <w:pPr>
        <w:pStyle w:val="Heading2"/>
      </w:pPr>
      <w:r>
        <w:rPr>
          <w:rFonts w:ascii="Arial" w:cs="Arial" w:eastAsia="Arial" w:hAnsi="Arial"/>
          <w:b/>
          <w:bCs/>
          <w:color w:val="1E2761"/>
          <w:sz w:val="26"/>
          <w:szCs w:val="26"/>
        </w:rPr>
        <w:t xml:space="preserve">決裁ポイント③　費用の妥当性</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
        <w:gridCol w:w="9100"/>
      </w:tblGrid>
      <w:tr>
        <w:tc>
          <w:tcPr>
            <w:tcW w:type="dxa" w:w="160"/>
            <w:tcBorders>
              <w:top w:val="none" w:color="FFFFFF" w:sz="0"/>
              <w:left w:val="thick" w:color="1E2761" w:sz="20"/>
              <w:bottom w:val="none" w:color="FFFFFF" w:sz="0"/>
              <w:right w:val="none" w:color="FFFFFF" w:sz="0"/>
            </w:tcBorders>
            <w:shd w:fill="F4F6FB"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4F6FB" w:val="clear"/>
            <w:tcMar>
              <w:top w:type="dxa" w:w="100"/>
              <w:left w:type="dxa" w:w="160"/>
              <w:bottom w:type="dxa" w:w="100"/>
              <w:right w:type="dxa" w:w="160"/>
            </w:tcMar>
          </w:tcPr>
          <w:p>
            <w:pPr>
              <w:spacing w:after="40" w:before="0"/>
            </w:pPr>
            <w:r>
              <w:rPr>
                <w:rFonts w:ascii="Arial" w:cs="Arial" w:eastAsia="Arial" w:hAnsi="Arial"/>
                <w:b/>
                <w:bCs/>
                <w:color w:val="1E2761"/>
                <w:sz w:val="21"/>
                <w:szCs w:val="21"/>
              </w:rPr>
              <w:t xml:space="preserve">[事実] 契約上の根拠（事実）</w:t>
            </w:r>
          </w:p>
          <w:p>
            <w:pPr>
              <w:spacing w:after="0" w:before="0"/>
            </w:pPr>
            <w:r>
              <w:rPr>
                <w:rFonts w:ascii="Arial" w:cs="Arial" w:eastAsia="Arial" w:hAnsi="Arial"/>
                <w:color w:val="1A1A2E"/>
                <w:sz w:val="20"/>
                <w:szCs w:val="20"/>
              </w:rPr>
              <w:t xml:space="preserve">SOW第10条にて固定価格（Lump Sum）方式を採用。スコープ変更はChange Order手続きによる書面合意なしに費用が増加しない構造。3社比較による5年間TCOでは本ベンダーが最も有利（別紙2参照）。既存ベンダーとの解約違約金（○○万円）は本プロジェクト予算に織り込み済み。</w:t>
            </w:r>
          </w:p>
        </w:tc>
      </w:tr>
      <w:tr>
        <w:tc>
          <w:tcPr>
            <w:tcW w:type="dxa" w:w="160"/>
            <w:tcBorders>
              <w:top w:val="none" w:color="FFFFFF" w:sz="0"/>
              <w:left w:val="thick" w:color="C07A00" w:sz="20"/>
              <w:bottom w:val="none" w:color="FFFFFF" w:sz="0"/>
              <w:right w:val="none" w:color="FFFFFF" w:sz="0"/>
            </w:tcBorders>
            <w:shd w:fill="FFFFFF"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FFFFF" w:val="clear"/>
            <w:tcMar>
              <w:top w:type="dxa" w:w="100"/>
              <w:left w:type="dxa" w:w="160"/>
              <w:bottom w:type="dxa" w:w="100"/>
              <w:right w:type="dxa" w:w="160"/>
            </w:tcMar>
          </w:tcPr>
          <w:p>
            <w:pPr>
              <w:spacing w:after="30" w:before="0"/>
            </w:pPr>
            <w:r>
              <w:rPr>
                <w:rFonts w:ascii="Arial" w:cs="Arial" w:eastAsia="Arial" w:hAnsi="Arial"/>
                <w:b/>
                <w:bCs/>
                <w:color w:val="C07A00"/>
                <w:sz w:val="21"/>
                <w:szCs w:val="21"/>
              </w:rPr>
              <w:t xml:space="preserve">[!] リスク　</w:t>
            </w:r>
            <w:r>
              <w:rPr>
                <w:rFonts w:ascii="Arial" w:cs="Arial" w:eastAsia="Arial" w:hAnsi="Arial"/>
                <w:b/>
                <w:bCs/>
                <w:color w:val="C07A00"/>
                <w:sz w:val="21"/>
                <w:szCs w:val="21"/>
              </w:rPr>
              <w:t xml:space="preserve">[●] Medium</w:t>
            </w:r>
          </w:p>
          <w:p>
            <w:pPr>
              <w:spacing w:after="0" w:before="0"/>
            </w:pPr>
            <w:r>
              <w:rPr>
                <w:rFonts w:ascii="Arial" w:cs="Arial" w:eastAsia="Arial" w:hAnsi="Arial"/>
                <w:color w:val="1A1A2E"/>
                <w:sz w:val="20"/>
                <w:szCs w:val="20"/>
              </w:rPr>
              <w:t xml:space="preserve">TCO試算は現行業務量・為替レートを前提としており、業務量の大幅変動または円安進行により実コストが試算を超える可能性がある。移行遅延時には並行稼働コストが追加発生する。</w:t>
            </w:r>
          </w:p>
        </w:tc>
      </w:tr>
      <w:tr>
        <w:tc>
          <w:tcPr>
            <w:tcW w:type="dxa" w:w="160"/>
            <w:tcBorders>
              <w:top w:val="none" w:color="FFFFFF" w:sz="0"/>
              <w:left w:val="thick" w:color="1E7A4A" w:sz="20"/>
              <w:bottom w:val="none" w:color="FFFFFF" w:sz="0"/>
              <w:right w:val="none" w:color="FFFFFF" w:sz="0"/>
            </w:tcBorders>
            <w:shd w:fill="FFFFFF"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FFFFF" w:val="clear"/>
            <w:tcMar>
              <w:top w:type="dxa" w:w="100"/>
              <w:left w:type="dxa" w:w="160"/>
              <w:bottom w:type="dxa" w:w="100"/>
              <w:right w:type="dxa" w:w="160"/>
            </w:tcMar>
          </w:tcPr>
          <w:p>
            <w:pPr>
              <w:spacing w:after="30" w:before="0"/>
            </w:pPr>
            <w:r>
              <w:rPr>
                <w:rFonts w:ascii="Arial" w:cs="Arial" w:eastAsia="Arial" w:hAnsi="Arial"/>
                <w:b/>
                <w:bCs/>
                <w:color w:val="1E7A4A"/>
                <w:sz w:val="21"/>
                <w:szCs w:val="21"/>
              </w:rPr>
              <w:t xml:space="preserve">[対応] 対応策</w:t>
            </w:r>
          </w:p>
          <w:p>
            <w:pPr>
              <w:spacing w:after="0" w:before="0"/>
            </w:pPr>
            <w:r>
              <w:rPr>
                <w:rFonts w:ascii="Arial" w:cs="Arial" w:eastAsia="Arial" w:hAnsi="Arial"/>
                <w:color w:val="1A1A2E"/>
                <w:sz w:val="20"/>
                <w:szCs w:val="20"/>
              </w:rPr>
              <w:t xml:space="preserve">予備費として契約総額の10%を社内予算に計上。円安シナリオでの感応度分析を実施済み（別紙3参照）。</w:t>
            </w:r>
          </w:p>
        </w:tc>
      </w:tr>
      <w:tr>
        <w:tc>
          <w:tcPr>
            <w:tcW w:type="dxa" w:w="160"/>
            <w:tcBorders>
              <w:top w:val="none" w:color="FFFFFF" w:sz="0"/>
              <w:left w:val="thick" w:color="C07A00" w:sz="20"/>
              <w:bottom w:val="none" w:color="FFFFFF" w:sz="0"/>
              <w:right w:val="none" w:color="FFFFFF" w:sz="0"/>
            </w:tcBorders>
            <w:shd w:fill="FFF8E1" w:val="clear"/>
            <w:tcMar>
              <w:top w:type="dxa" w:w="0"/>
              <w:left w:type="dxa" w:w="0"/>
              <w:bottom w:type="dxa" w:w="0"/>
              <w:right w:type="dxa" w:w="0"/>
            </w:tcMar>
          </w:tcPr>
          <w:p/>
        </w:tc>
        <w:tc>
          <w:tcPr>
            <w:tcW w:type="dxa" w:w="9100"/>
            <w:tcBorders>
              <w:top w:val="none" w:color="FFFFFF" w:sz="0"/>
              <w:left w:val="none" w:color="FFFFFF" w:sz="0"/>
              <w:bottom w:val="none" w:color="FFFFFF" w:sz="0"/>
              <w:right w:val="none" w:color="FFFFFF" w:sz="0"/>
            </w:tcBorders>
            <w:shd w:fill="FFF8E1" w:val="clear"/>
            <w:tcMar>
              <w:top w:type="dxa" w:w="100"/>
              <w:left w:type="dxa" w:w="160"/>
              <w:bottom w:type="dxa" w:w="100"/>
              <w:right w:type="dxa" w:w="160"/>
            </w:tcMar>
          </w:tcPr>
          <w:p>
            <w:pPr>
              <w:spacing w:after="30" w:before="0"/>
            </w:pPr>
            <w:r>
              <w:rPr>
                <w:rFonts w:ascii="Arial" w:cs="Arial" w:eastAsia="Arial" w:hAnsi="Arial"/>
                <w:b/>
                <w:bCs/>
                <w:color w:val="7A5200"/>
                <w:sz w:val="21"/>
                <w:szCs w:val="21"/>
              </w:rPr>
              <w:t xml:space="preserve">▶ 残存リスクと検知シグナル</w:t>
            </w:r>
          </w:p>
          <w:p>
            <w:pPr>
              <w:spacing w:after="40" w:before="0"/>
            </w:pPr>
            <w:r>
              <w:rPr>
                <w:rFonts w:ascii="Arial" w:cs="Arial" w:eastAsia="Arial" w:hAnsi="Arial"/>
                <w:color w:val="1A1A2E"/>
                <w:sz w:val="20"/>
                <w:szCs w:val="20"/>
              </w:rPr>
              <w:t xml:space="preserve">予備費を超える追加コストが発生した場合は別途稟議が必要となる。</w:t>
            </w:r>
          </w:p>
          <w:p>
            <w:pPr>
              <w:spacing w:after="0" w:before="0"/>
            </w:pPr>
            <w:r>
              <w:rPr>
                <w:rFonts w:ascii="Arial" w:cs="Arial" w:eastAsia="Arial" w:hAnsi="Arial"/>
                <w:b/>
                <w:bCs/>
                <w:color w:val="7A5200"/>
                <w:sz w:val="20"/>
                <w:szCs w:val="20"/>
              </w:rPr>
              <w:t xml:space="preserve">[Signal] シグナル：　</w:t>
            </w:r>
            <w:r>
              <w:rPr>
                <w:rFonts w:ascii="Arial" w:cs="Arial" w:eastAsia="Arial" w:hAnsi="Arial"/>
                <w:color w:val="7A5200"/>
                <w:sz w:val="20"/>
                <w:szCs w:val="20"/>
              </w:rPr>
              <w:t xml:space="preserve">Change Order申請額の累計が予備費の50%に達した時点で、PMOより本稟議承認者へ中間報告を行う。</w:t>
            </w:r>
          </w:p>
        </w:tc>
      </w:tr>
    </w:tbl>
    <w:p>
      <w:pPr>
        <w:spacing w:after="60" w:before="0"/>
      </w:pPr>
    </w:p>
    <w:p>
      <w:pPr>
        <w:spacing w:after="80" w:before="0"/>
      </w:pPr>
    </w:p>
    <w:p>
      <w:pPr>
        <w:pStyle w:val="Heading2"/>
      </w:pPr>
      <w:r>
        <w:rPr>
          <w:rFonts w:ascii="Arial" w:cs="Arial" w:eastAsia="Arial" w:hAnsi="Arial"/>
          <w:b/>
          <w:bCs/>
          <w:color w:val="1E2761"/>
          <w:sz w:val="26"/>
          <w:szCs w:val="26"/>
        </w:rPr>
        <w:t xml:space="preserve">決裁ポイント④　責任分界点</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
        <w:gridCol w:w="9100"/>
      </w:tblGrid>
      <w:tr>
        <w:tc>
          <w:tcPr>
            <w:tcW w:type="dxa" w:w="160"/>
            <w:tcBorders>
              <w:top w:val="none" w:color="FFFFFF" w:sz="0"/>
              <w:left w:val="thick" w:color="1E2761" w:sz="20"/>
              <w:bottom w:val="none" w:color="FFFFFF" w:sz="0"/>
              <w:right w:val="none" w:color="FFFFFF" w:sz="0"/>
            </w:tcBorders>
            <w:shd w:fill="F4F6FB"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4F6FB" w:val="clear"/>
            <w:tcMar>
              <w:top w:type="dxa" w:w="100"/>
              <w:left w:type="dxa" w:w="160"/>
              <w:bottom w:type="dxa" w:w="100"/>
              <w:right w:type="dxa" w:w="160"/>
            </w:tcMar>
          </w:tcPr>
          <w:p>
            <w:pPr>
              <w:spacing w:after="40" w:before="0"/>
            </w:pPr>
            <w:r>
              <w:rPr>
                <w:rFonts w:ascii="Arial" w:cs="Arial" w:eastAsia="Arial" w:hAnsi="Arial"/>
                <w:b/>
                <w:bCs/>
                <w:color w:val="1E2761"/>
                <w:sz w:val="21"/>
                <w:szCs w:val="21"/>
              </w:rPr>
              <w:t xml:space="preserve">[事実] 契約上の根拠（事実）</w:t>
            </w:r>
          </w:p>
          <w:p>
            <w:pPr>
              <w:spacing w:after="0" w:before="0"/>
            </w:pPr>
            <w:r>
              <w:rPr>
                <w:rFonts w:ascii="Arial" w:cs="Arial" w:eastAsia="Arial" w:hAnsi="Arial"/>
                <w:color w:val="1A1A2E"/>
                <w:sz w:val="20"/>
                <w:szCs w:val="20"/>
              </w:rPr>
              <w:t xml:space="preserve">SOW第11条において自社側の責任範囲（仕様確定・環境提供・意思決定期限）が明文化されており、自社側の遅延に起因する工期延長はベンダー免責と規定。Change Order条項（第10条）により仕様変更は都度書面合意を要する。解釈齟齬発生時のエスカレーション先をSOW第13条に規定。準拠法は日本法、紛争解決は東京仲裁（第15条）。</w:t>
            </w:r>
          </w:p>
        </w:tc>
      </w:tr>
      <w:tr>
        <w:tc>
          <w:tcPr>
            <w:tcW w:type="dxa" w:w="160"/>
            <w:tcBorders>
              <w:top w:val="none" w:color="FFFFFF" w:sz="0"/>
              <w:left w:val="thick" w:color="C07A00" w:sz="20"/>
              <w:bottom w:val="none" w:color="FFFFFF" w:sz="0"/>
              <w:right w:val="none" w:color="FFFFFF" w:sz="0"/>
            </w:tcBorders>
            <w:shd w:fill="FFFFFF"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FFFFF" w:val="clear"/>
            <w:tcMar>
              <w:top w:type="dxa" w:w="100"/>
              <w:left w:type="dxa" w:w="160"/>
              <w:bottom w:type="dxa" w:w="100"/>
              <w:right w:type="dxa" w:w="160"/>
            </w:tcMar>
          </w:tcPr>
          <w:p>
            <w:pPr>
              <w:spacing w:after="30" w:before="0"/>
            </w:pPr>
            <w:r>
              <w:rPr>
                <w:rFonts w:ascii="Arial" w:cs="Arial" w:eastAsia="Arial" w:hAnsi="Arial"/>
                <w:b/>
                <w:bCs/>
                <w:color w:val="C07A00"/>
                <w:sz w:val="21"/>
                <w:szCs w:val="21"/>
              </w:rPr>
              <w:t xml:space="preserve">[!] リスク　</w:t>
            </w:r>
            <w:r>
              <w:rPr>
                <w:rFonts w:ascii="Arial" w:cs="Arial" w:eastAsia="Arial" w:hAnsi="Arial"/>
                <w:b/>
                <w:bCs/>
                <w:color w:val="C07A00"/>
                <w:sz w:val="21"/>
                <w:szCs w:val="21"/>
              </w:rPr>
              <w:t xml:space="preserve">[●] Medium</w:t>
            </w:r>
          </w:p>
          <w:p>
            <w:pPr>
              <w:spacing w:after="0" w:before="0"/>
            </w:pPr>
            <w:r>
              <w:rPr>
                <w:rFonts w:ascii="Arial" w:cs="Arial" w:eastAsia="Arial" w:hAnsi="Arial"/>
                <w:color w:val="1A1A2E"/>
                <w:sz w:val="20"/>
                <w:szCs w:val="20"/>
              </w:rPr>
              <w:t xml:space="preserve">「仕様変更か否か」の解釈が当事者間で齟齬を生じた場合、Change Order交渉が難航し意思決定が遅延するリスクがある。最終的には仲裁によらざるを得ない可能性があり、コスト・期間は相当程度になる。</w:t>
            </w:r>
          </w:p>
        </w:tc>
      </w:tr>
      <w:tr>
        <w:tc>
          <w:tcPr>
            <w:tcW w:type="dxa" w:w="160"/>
            <w:tcBorders>
              <w:top w:val="none" w:color="FFFFFF" w:sz="0"/>
              <w:left w:val="thick" w:color="1E7A4A" w:sz="20"/>
              <w:bottom w:val="none" w:color="FFFFFF" w:sz="0"/>
              <w:right w:val="none" w:color="FFFFFF" w:sz="0"/>
            </w:tcBorders>
            <w:shd w:fill="FFFFFF"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FFFFF" w:val="clear"/>
            <w:tcMar>
              <w:top w:type="dxa" w:w="100"/>
              <w:left w:type="dxa" w:w="160"/>
              <w:bottom w:type="dxa" w:w="100"/>
              <w:right w:type="dxa" w:w="160"/>
            </w:tcMar>
          </w:tcPr>
          <w:p>
            <w:pPr>
              <w:spacing w:after="30" w:before="0"/>
            </w:pPr>
            <w:r>
              <w:rPr>
                <w:rFonts w:ascii="Arial" w:cs="Arial" w:eastAsia="Arial" w:hAnsi="Arial"/>
                <w:b/>
                <w:bCs/>
                <w:color w:val="1E7A4A"/>
                <w:sz w:val="21"/>
                <w:szCs w:val="21"/>
              </w:rPr>
              <w:t xml:space="preserve">[対応] 対応策</w:t>
            </w:r>
          </w:p>
          <w:p>
            <w:pPr>
              <w:spacing w:after="0" w:before="0"/>
            </w:pPr>
            <w:r>
              <w:rPr>
                <w:rFonts w:ascii="Arial" w:cs="Arial" w:eastAsia="Arial" w:hAnsi="Arial"/>
                <w:color w:val="1A1A2E"/>
                <w:sz w:val="20"/>
                <w:szCs w:val="20"/>
              </w:rPr>
              <w:t xml:space="preserve">社内PMを専任でアサインし、仕様確定プロセスを週次で管理。</w:t>
            </w:r>
          </w:p>
        </w:tc>
      </w:tr>
      <w:tr>
        <w:tc>
          <w:tcPr>
            <w:tcW w:type="dxa" w:w="160"/>
            <w:tcBorders>
              <w:top w:val="none" w:color="FFFFFF" w:sz="0"/>
              <w:left w:val="thick" w:color="C07A00" w:sz="20"/>
              <w:bottom w:val="none" w:color="FFFFFF" w:sz="0"/>
              <w:right w:val="none" w:color="FFFFFF" w:sz="0"/>
            </w:tcBorders>
            <w:shd w:fill="FFF8E1" w:val="clear"/>
            <w:tcMar>
              <w:top w:type="dxa" w:w="0"/>
              <w:left w:type="dxa" w:w="0"/>
              <w:bottom w:type="dxa" w:w="0"/>
              <w:right w:type="dxa" w:w="0"/>
            </w:tcMar>
          </w:tcPr>
          <w:p/>
        </w:tc>
        <w:tc>
          <w:tcPr>
            <w:tcW w:type="dxa" w:w="9100"/>
            <w:tcBorders>
              <w:top w:val="none" w:color="FFFFFF" w:sz="0"/>
              <w:left w:val="none" w:color="FFFFFF" w:sz="0"/>
              <w:bottom w:val="none" w:color="FFFFFF" w:sz="0"/>
              <w:right w:val="none" w:color="FFFFFF" w:sz="0"/>
            </w:tcBorders>
            <w:shd w:fill="FFF8E1" w:val="clear"/>
            <w:tcMar>
              <w:top w:type="dxa" w:w="100"/>
              <w:left w:type="dxa" w:w="160"/>
              <w:bottom w:type="dxa" w:w="100"/>
              <w:right w:type="dxa" w:w="160"/>
            </w:tcMar>
          </w:tcPr>
          <w:p>
            <w:pPr>
              <w:spacing w:after="30" w:before="0"/>
            </w:pPr>
            <w:r>
              <w:rPr>
                <w:rFonts w:ascii="Arial" w:cs="Arial" w:eastAsia="Arial" w:hAnsi="Arial"/>
                <w:b/>
                <w:bCs/>
                <w:color w:val="7A5200"/>
                <w:sz w:val="21"/>
                <w:szCs w:val="21"/>
              </w:rPr>
              <w:t xml:space="preserve">▶ 残存リスクと検知シグナル</w:t>
            </w:r>
          </w:p>
          <w:p>
            <w:pPr>
              <w:spacing w:after="40" w:before="0"/>
            </w:pPr>
            <w:r>
              <w:rPr>
                <w:rFonts w:ascii="Arial" w:cs="Arial" w:eastAsia="Arial" w:hAnsi="Arial"/>
                <w:color w:val="1A1A2E"/>
                <w:sz w:val="20"/>
                <w:szCs w:val="20"/>
              </w:rPr>
              <w:t xml:space="preserve">仲裁に至った場合の費用負担・業務影響は本稟議の許容範囲を超える可能性がある。</w:t>
            </w:r>
          </w:p>
          <w:p>
            <w:pPr>
              <w:spacing w:after="0" w:before="0"/>
            </w:pPr>
            <w:r>
              <w:rPr>
                <w:rFonts w:ascii="Arial" w:cs="Arial" w:eastAsia="Arial" w:hAnsi="Arial"/>
                <w:b/>
                <w:bCs/>
                <w:color w:val="7A5200"/>
                <w:sz w:val="20"/>
                <w:szCs w:val="20"/>
              </w:rPr>
              <w:t xml:space="preserve">[Signal] シグナル：　</w:t>
            </w:r>
            <w:r>
              <w:rPr>
                <w:rFonts w:ascii="Arial" w:cs="Arial" w:eastAsia="Arial" w:hAnsi="Arial"/>
                <w:color w:val="7A5200"/>
                <w:sz w:val="20"/>
                <w:szCs w:val="20"/>
              </w:rPr>
              <w:t xml:space="preserve">Change Order交渉が申請から14日以内に合意に至らない案件が発生した場合、法務部門が即時関与。</w:t>
            </w:r>
          </w:p>
        </w:tc>
      </w:tr>
    </w:tbl>
    <w:p>
      <w:pPr>
        <w:spacing w:after="60" w:before="0"/>
      </w:pPr>
    </w:p>
    <w:p>
      <w:pPr>
        <w:spacing w:after="80" w:before="0"/>
      </w:pPr>
    </w:p>
    <w:p>
      <w:pPr>
        <w:pStyle w:val="Heading2"/>
      </w:pPr>
      <w:r>
        <w:rPr>
          <w:rFonts w:ascii="Arial" w:cs="Arial" w:eastAsia="Arial" w:hAnsi="Arial"/>
          <w:b/>
          <w:bCs/>
          <w:color w:val="1E2761"/>
          <w:sz w:val="26"/>
          <w:szCs w:val="26"/>
        </w:rPr>
        <w:t xml:space="preserve">決裁ポイント⑤　解除・出口戦略</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
        <w:gridCol w:w="9100"/>
      </w:tblGrid>
      <w:tr>
        <w:tc>
          <w:tcPr>
            <w:tcW w:type="dxa" w:w="160"/>
            <w:tcBorders>
              <w:top w:val="none" w:color="FFFFFF" w:sz="0"/>
              <w:left w:val="thick" w:color="1E2761" w:sz="20"/>
              <w:bottom w:val="none" w:color="FFFFFF" w:sz="0"/>
              <w:right w:val="none" w:color="FFFFFF" w:sz="0"/>
            </w:tcBorders>
            <w:shd w:fill="F4F6FB"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4F6FB" w:val="clear"/>
            <w:tcMar>
              <w:top w:type="dxa" w:w="100"/>
              <w:left w:type="dxa" w:w="160"/>
              <w:bottom w:type="dxa" w:w="100"/>
              <w:right w:type="dxa" w:w="160"/>
            </w:tcMar>
          </w:tcPr>
          <w:p>
            <w:pPr>
              <w:spacing w:after="40" w:before="0"/>
            </w:pPr>
            <w:r>
              <w:rPr>
                <w:rFonts w:ascii="Arial" w:cs="Arial" w:eastAsia="Arial" w:hAnsi="Arial"/>
                <w:b/>
                <w:bCs/>
                <w:color w:val="1E2761"/>
                <w:sz w:val="21"/>
                <w:szCs w:val="21"/>
              </w:rPr>
              <w:t xml:space="preserve">[事実] 契約上の根拠（事実）</w:t>
            </w:r>
          </w:p>
          <w:p>
            <w:pPr>
              <w:spacing w:after="0" w:before="0"/>
            </w:pPr>
            <w:r>
              <w:rPr>
                <w:rFonts w:ascii="Arial" w:cs="Arial" w:eastAsia="Arial" w:hAnsi="Arial"/>
                <w:color w:val="1A1A2E"/>
                <w:sz w:val="20"/>
                <w:szCs w:val="20"/>
              </w:rPr>
              <w:t xml:space="preserve">SOW第14条において、マイルストーン未達が連続2回に及んだ場合、書面通知によりプロジェクトを解除できる権利が自社に付与されている。解除時のデータ返還・作業引継ぎ義務がベンダーに課されており、引継ぎ期間は最低60日と規定されている。</w:t>
            </w:r>
          </w:p>
        </w:tc>
      </w:tr>
      <w:tr>
        <w:tc>
          <w:tcPr>
            <w:tcW w:type="dxa" w:w="160"/>
            <w:tcBorders>
              <w:top w:val="none" w:color="FFFFFF" w:sz="0"/>
              <w:left w:val="thick" w:color="C07A00" w:sz="20"/>
              <w:bottom w:val="none" w:color="FFFFFF" w:sz="0"/>
              <w:right w:val="none" w:color="FFFFFF" w:sz="0"/>
            </w:tcBorders>
            <w:shd w:fill="FFFFFF"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FFFFF" w:val="clear"/>
            <w:tcMar>
              <w:top w:type="dxa" w:w="100"/>
              <w:left w:type="dxa" w:w="160"/>
              <w:bottom w:type="dxa" w:w="100"/>
              <w:right w:type="dxa" w:w="160"/>
            </w:tcMar>
          </w:tcPr>
          <w:p>
            <w:pPr>
              <w:spacing w:after="30" w:before="0"/>
            </w:pPr>
            <w:r>
              <w:rPr>
                <w:rFonts w:ascii="Arial" w:cs="Arial" w:eastAsia="Arial" w:hAnsi="Arial"/>
                <w:b/>
                <w:bCs/>
                <w:color w:val="C07A00"/>
                <w:sz w:val="21"/>
                <w:szCs w:val="21"/>
              </w:rPr>
              <w:t xml:space="preserve">[!] リスク　</w:t>
            </w:r>
            <w:r>
              <w:rPr>
                <w:rFonts w:ascii="Arial" w:cs="Arial" w:eastAsia="Arial" w:hAnsi="Arial"/>
                <w:b/>
                <w:bCs/>
                <w:color w:val="C07A00"/>
                <w:sz w:val="21"/>
                <w:szCs w:val="21"/>
              </w:rPr>
              <w:t xml:space="preserve">[●] Medium</w:t>
            </w:r>
          </w:p>
          <w:p>
            <w:pPr>
              <w:spacing w:after="0" w:before="0"/>
            </w:pPr>
            <w:r>
              <w:rPr>
                <w:rFonts w:ascii="Arial" w:cs="Arial" w:eastAsia="Arial" w:hAnsi="Arial"/>
                <w:color w:val="1A1A2E"/>
                <w:sz w:val="20"/>
                <w:szCs w:val="20"/>
              </w:rPr>
              <w:t xml:space="preserve">解除後の後継ベンダー選定には3〜6ヶ月を要する見込みであり、その間の暫定運用コストおよびリソース負荷は相当程度になる。ベンダーの財務悪化や組織変更による履行能力低下は契約上の管理に限界がある。</w:t>
            </w:r>
          </w:p>
        </w:tc>
      </w:tr>
      <w:tr>
        <w:tc>
          <w:tcPr>
            <w:tcW w:type="dxa" w:w="160"/>
            <w:tcBorders>
              <w:top w:val="none" w:color="FFFFFF" w:sz="0"/>
              <w:left w:val="thick" w:color="1E7A4A" w:sz="20"/>
              <w:bottom w:val="none" w:color="FFFFFF" w:sz="0"/>
              <w:right w:val="none" w:color="FFFFFF" w:sz="0"/>
            </w:tcBorders>
            <w:shd w:fill="FFFFFF" w:val="clear"/>
            <w:tcMar>
              <w:top w:type="dxa" w:w="0"/>
              <w:left w:type="dxa" w:w="0"/>
              <w:bottom w:type="dxa" w:w="0"/>
              <w:right w:type="dxa" w:w="0"/>
            </w:tcMar>
          </w:tcPr>
          <w:p/>
        </w:tc>
        <w:tc>
          <w:tcPr>
            <w:tcW w:type="dxa" w:w="9100"/>
            <w:tcBorders>
              <w:top w:val="none" w:color="FFFFFF" w:sz="0"/>
              <w:left w:val="none" w:color="FFFFFF" w:sz="0"/>
              <w:bottom w:val="single" w:color="CADCFC" w:sz="2"/>
              <w:right w:val="none" w:color="FFFFFF" w:sz="0"/>
            </w:tcBorders>
            <w:shd w:fill="FFFFFF" w:val="clear"/>
            <w:tcMar>
              <w:top w:type="dxa" w:w="100"/>
              <w:left w:type="dxa" w:w="160"/>
              <w:bottom w:type="dxa" w:w="100"/>
              <w:right w:type="dxa" w:w="160"/>
            </w:tcMar>
          </w:tcPr>
          <w:p>
            <w:pPr>
              <w:spacing w:after="30" w:before="0"/>
            </w:pPr>
            <w:r>
              <w:rPr>
                <w:rFonts w:ascii="Arial" w:cs="Arial" w:eastAsia="Arial" w:hAnsi="Arial"/>
                <w:b/>
                <w:bCs/>
                <w:color w:val="1E7A4A"/>
                <w:sz w:val="21"/>
                <w:szCs w:val="21"/>
              </w:rPr>
              <w:t xml:space="preserve">[対応] 対応策</w:t>
            </w:r>
          </w:p>
          <w:p>
            <w:pPr>
              <w:spacing w:after="0" w:before="0"/>
            </w:pPr>
            <w:r>
              <w:rPr>
                <w:rFonts w:ascii="Arial" w:cs="Arial" w:eastAsia="Arial" w:hAnsi="Arial"/>
                <w:color w:val="1A1A2E"/>
                <w:sz w:val="20"/>
                <w:szCs w:val="20"/>
              </w:rPr>
              <w:t xml:space="preserve">解除はあくまで最終手段とし、第13条のエスカレーション条項による段階的問題解決を優先。代替ベンダーのロングリストを四半期ごとに更新し、有事への備えを維持。</w:t>
            </w:r>
          </w:p>
        </w:tc>
      </w:tr>
      <w:tr>
        <w:tc>
          <w:tcPr>
            <w:tcW w:type="dxa" w:w="160"/>
            <w:tcBorders>
              <w:top w:val="none" w:color="FFFFFF" w:sz="0"/>
              <w:left w:val="thick" w:color="C07A00" w:sz="20"/>
              <w:bottom w:val="none" w:color="FFFFFF" w:sz="0"/>
              <w:right w:val="none" w:color="FFFFFF" w:sz="0"/>
            </w:tcBorders>
            <w:shd w:fill="FFF8E1" w:val="clear"/>
            <w:tcMar>
              <w:top w:type="dxa" w:w="0"/>
              <w:left w:type="dxa" w:w="0"/>
              <w:bottom w:type="dxa" w:w="0"/>
              <w:right w:type="dxa" w:w="0"/>
            </w:tcMar>
          </w:tcPr>
          <w:p/>
        </w:tc>
        <w:tc>
          <w:tcPr>
            <w:tcW w:type="dxa" w:w="9100"/>
            <w:tcBorders>
              <w:top w:val="none" w:color="FFFFFF" w:sz="0"/>
              <w:left w:val="none" w:color="FFFFFF" w:sz="0"/>
              <w:bottom w:val="none" w:color="FFFFFF" w:sz="0"/>
              <w:right w:val="none" w:color="FFFFFF" w:sz="0"/>
            </w:tcBorders>
            <w:shd w:fill="FFF8E1" w:val="clear"/>
            <w:tcMar>
              <w:top w:type="dxa" w:w="100"/>
              <w:left w:type="dxa" w:w="160"/>
              <w:bottom w:type="dxa" w:w="100"/>
              <w:right w:type="dxa" w:w="160"/>
            </w:tcMar>
          </w:tcPr>
          <w:p>
            <w:pPr>
              <w:spacing w:after="30" w:before="0"/>
            </w:pPr>
            <w:r>
              <w:rPr>
                <w:rFonts w:ascii="Arial" w:cs="Arial" w:eastAsia="Arial" w:hAnsi="Arial"/>
                <w:b/>
                <w:bCs/>
                <w:color w:val="7A5200"/>
                <w:sz w:val="21"/>
                <w:szCs w:val="21"/>
              </w:rPr>
              <w:t xml:space="preserve">▶ 残存リスクと検知シグナル</w:t>
            </w:r>
          </w:p>
          <w:p>
            <w:pPr>
              <w:spacing w:after="40" w:before="0"/>
            </w:pPr>
            <w:r>
              <w:rPr>
                <w:rFonts w:ascii="Arial" w:cs="Arial" w:eastAsia="Arial" w:hAnsi="Arial"/>
                <w:color w:val="1A1A2E"/>
                <w:sz w:val="20"/>
                <w:szCs w:val="20"/>
              </w:rPr>
              <w:t xml:space="preserve">解除後の空白期間における業務影響は、暫定対応では完全に吸収できない可能性がある。</w:t>
            </w:r>
          </w:p>
          <w:p>
            <w:pPr>
              <w:spacing w:after="0" w:before="0"/>
            </w:pPr>
            <w:r>
              <w:rPr>
                <w:rFonts w:ascii="Arial" w:cs="Arial" w:eastAsia="Arial" w:hAnsi="Arial"/>
                <w:b/>
                <w:bCs/>
                <w:color w:val="7A5200"/>
                <w:sz w:val="20"/>
                <w:szCs w:val="20"/>
              </w:rPr>
              <w:t xml:space="preserve">[Signal] シグナル：　</w:t>
            </w:r>
            <w:r>
              <w:rPr>
                <w:rFonts w:ascii="Arial" w:cs="Arial" w:eastAsia="Arial" w:hAnsi="Arial"/>
                <w:color w:val="7A5200"/>
                <w:sz w:val="20"/>
                <w:szCs w:val="20"/>
              </w:rPr>
              <w:t xml:space="preserve">マイルストーン未達が1回発生した時点（連続2回に達する前）で、社内ステアリングコミッティへの報告を義務付け、解除準備の要否を協議する。</w:t>
            </w:r>
          </w:p>
        </w:tc>
      </w:tr>
    </w:tbl>
    <w:p>
      <w:pPr>
        <w:spacing w:after="60" w:before="0"/>
      </w:pPr>
    </w:p>
    <w:p>
      <w:pPr>
        <w:spacing w:after="160" w:before="0"/>
      </w:pPr>
    </w:p>
    <w:p>
      <w:pPr>
        <w:pStyle w:val="Heading1"/>
      </w:pPr>
      <w:r>
        <w:rPr>
          <w:rFonts w:ascii="Arial" w:cs="Arial" w:eastAsia="Arial" w:hAnsi="Arial"/>
          <w:b/>
          <w:bCs/>
          <w:color w:val="1E2761"/>
          <w:sz w:val="32"/>
          <w:szCs w:val="32"/>
        </w:rPr>
        <w:t xml:space="preserve">第6部：承認欄</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1980"/>
        <w:gridCol w:w="1980"/>
      </w:tblGrid>
      <w:tr>
        <w:tc>
          <w:tcPr>
            <w:tcW w:type="dxa" w:w="23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役割</w:t>
            </w:r>
          </w:p>
        </w:tc>
        <w:tc>
          <w:tcPr>
            <w:tcW w:type="dxa" w:w="30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氏名</w:t>
            </w:r>
          </w:p>
        </w:tc>
        <w:tc>
          <w:tcPr>
            <w:tcW w:type="dxa" w:w="198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承認日</w:t>
            </w:r>
          </w:p>
        </w:tc>
        <w:tc>
          <w:tcPr>
            <w:tcW w:type="dxa" w:w="198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署名・捺印</w:t>
            </w:r>
          </w:p>
        </w:tc>
      </w:tr>
      <w:tr>
        <w:tc>
          <w:tcPr>
            <w:tcW w:type="dxa" w:w="23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申請者</w:t>
            </w:r>
          </w:p>
        </w:tc>
        <w:tc>
          <w:tcPr>
            <w:tcW w:type="dxa" w:w="3000"/>
            <w:tcBorders>
              <w:top w:val="single" w:color="CADCFC" w:sz="4"/>
              <w:left w:val="single" w:color="CADCFC" w:sz="4"/>
              <w:bottom w:val="single" w:color="CADCFC" w:sz="4"/>
              <w:right w:val="single" w:color="CADCFC" w:sz="4"/>
            </w:tcBorders>
            <w:tcMar>
              <w:top w:type="dxa" w:w="200"/>
              <w:left w:type="dxa" w:w="140"/>
              <w:bottom w:type="dxa" w:w="200"/>
              <w:right w:type="dxa" w:w="140"/>
            </w:tcMar>
          </w:tcPr>
          <w:p/>
        </w:tc>
        <w:tc>
          <w:tcPr>
            <w:tcW w:type="dxa" w:w="1980"/>
            <w:tcBorders>
              <w:top w:val="single" w:color="CADCFC" w:sz="4"/>
              <w:left w:val="single" w:color="CADCFC" w:sz="4"/>
              <w:bottom w:val="single" w:color="CADCFC" w:sz="4"/>
              <w:right w:val="single" w:color="CADCFC" w:sz="4"/>
            </w:tcBorders>
            <w:tcMar>
              <w:top w:type="dxa" w:w="200"/>
              <w:left w:type="dxa" w:w="140"/>
              <w:bottom w:type="dxa" w:w="200"/>
              <w:right w:type="dxa" w:w="140"/>
            </w:tcMar>
          </w:tcPr>
          <w:p/>
        </w:tc>
        <w:tc>
          <w:tcPr>
            <w:tcW w:type="dxa" w:w="1980"/>
            <w:tcBorders>
              <w:top w:val="single" w:color="CADCFC" w:sz="4"/>
              <w:left w:val="single" w:color="CADCFC" w:sz="4"/>
              <w:bottom w:val="single" w:color="CADCFC" w:sz="4"/>
              <w:right w:val="single" w:color="CADCFC" w:sz="4"/>
            </w:tcBorders>
            <w:tcMar>
              <w:top w:type="dxa" w:w="200"/>
              <w:left w:type="dxa" w:w="140"/>
              <w:bottom w:type="dxa" w:w="200"/>
              <w:right w:type="dxa" w:w="140"/>
            </w:tcMar>
          </w:tcPr>
          <w:p/>
        </w:tc>
      </w:tr>
      <w:tr>
        <w:tc>
          <w:tcPr>
            <w:tcW w:type="dxa" w:w="23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IT部門責任者</w:t>
            </w:r>
          </w:p>
        </w:tc>
        <w:tc>
          <w:tcPr>
            <w:tcW w:type="dxa" w:w="3000"/>
            <w:tcBorders>
              <w:top w:val="single" w:color="CADCFC" w:sz="4"/>
              <w:left w:val="single" w:color="CADCFC" w:sz="4"/>
              <w:bottom w:val="single" w:color="CADCFC" w:sz="4"/>
              <w:right w:val="single" w:color="CADCFC" w:sz="4"/>
            </w:tcBorders>
            <w:tcMar>
              <w:top w:type="dxa" w:w="200"/>
              <w:left w:type="dxa" w:w="140"/>
              <w:bottom w:type="dxa" w:w="200"/>
              <w:right w:type="dxa" w:w="140"/>
            </w:tcMar>
          </w:tcPr>
          <w:p/>
        </w:tc>
        <w:tc>
          <w:tcPr>
            <w:tcW w:type="dxa" w:w="1980"/>
            <w:tcBorders>
              <w:top w:val="single" w:color="CADCFC" w:sz="4"/>
              <w:left w:val="single" w:color="CADCFC" w:sz="4"/>
              <w:bottom w:val="single" w:color="CADCFC" w:sz="4"/>
              <w:right w:val="single" w:color="CADCFC" w:sz="4"/>
            </w:tcBorders>
            <w:tcMar>
              <w:top w:type="dxa" w:w="200"/>
              <w:left w:type="dxa" w:w="140"/>
              <w:bottom w:type="dxa" w:w="200"/>
              <w:right w:type="dxa" w:w="140"/>
            </w:tcMar>
          </w:tcPr>
          <w:p/>
        </w:tc>
        <w:tc>
          <w:tcPr>
            <w:tcW w:type="dxa" w:w="1980"/>
            <w:tcBorders>
              <w:top w:val="single" w:color="CADCFC" w:sz="4"/>
              <w:left w:val="single" w:color="CADCFC" w:sz="4"/>
              <w:bottom w:val="single" w:color="CADCFC" w:sz="4"/>
              <w:right w:val="single" w:color="CADCFC" w:sz="4"/>
            </w:tcBorders>
            <w:tcMar>
              <w:top w:type="dxa" w:w="200"/>
              <w:left w:type="dxa" w:w="140"/>
              <w:bottom w:type="dxa" w:w="200"/>
              <w:right w:type="dxa" w:w="140"/>
            </w:tcMar>
          </w:tcPr>
          <w:p/>
        </w:tc>
      </w:tr>
      <w:tr>
        <w:tc>
          <w:tcPr>
            <w:tcW w:type="dxa" w:w="23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法務部門責任者</w:t>
            </w:r>
          </w:p>
        </w:tc>
        <w:tc>
          <w:tcPr>
            <w:tcW w:type="dxa" w:w="3000"/>
            <w:tcBorders>
              <w:top w:val="single" w:color="CADCFC" w:sz="4"/>
              <w:left w:val="single" w:color="CADCFC" w:sz="4"/>
              <w:bottom w:val="single" w:color="CADCFC" w:sz="4"/>
              <w:right w:val="single" w:color="CADCFC" w:sz="4"/>
            </w:tcBorders>
            <w:tcMar>
              <w:top w:type="dxa" w:w="200"/>
              <w:left w:type="dxa" w:w="140"/>
              <w:bottom w:type="dxa" w:w="200"/>
              <w:right w:type="dxa" w:w="140"/>
            </w:tcMar>
          </w:tcPr>
          <w:p/>
        </w:tc>
        <w:tc>
          <w:tcPr>
            <w:tcW w:type="dxa" w:w="1980"/>
            <w:tcBorders>
              <w:top w:val="single" w:color="CADCFC" w:sz="4"/>
              <w:left w:val="single" w:color="CADCFC" w:sz="4"/>
              <w:bottom w:val="single" w:color="CADCFC" w:sz="4"/>
              <w:right w:val="single" w:color="CADCFC" w:sz="4"/>
            </w:tcBorders>
            <w:tcMar>
              <w:top w:type="dxa" w:w="200"/>
              <w:left w:type="dxa" w:w="140"/>
              <w:bottom w:type="dxa" w:w="200"/>
              <w:right w:type="dxa" w:w="140"/>
            </w:tcMar>
          </w:tcPr>
          <w:p/>
        </w:tc>
        <w:tc>
          <w:tcPr>
            <w:tcW w:type="dxa" w:w="1980"/>
            <w:tcBorders>
              <w:top w:val="single" w:color="CADCFC" w:sz="4"/>
              <w:left w:val="single" w:color="CADCFC" w:sz="4"/>
              <w:bottom w:val="single" w:color="CADCFC" w:sz="4"/>
              <w:right w:val="single" w:color="CADCFC" w:sz="4"/>
            </w:tcBorders>
            <w:tcMar>
              <w:top w:type="dxa" w:w="200"/>
              <w:left w:type="dxa" w:w="140"/>
              <w:bottom w:type="dxa" w:w="200"/>
              <w:right w:type="dxa" w:w="140"/>
            </w:tcMar>
          </w:tcPr>
          <w:p/>
        </w:tc>
      </w:tr>
      <w:tr>
        <w:tc>
          <w:tcPr>
            <w:tcW w:type="dxa" w:w="2300"/>
            <w:tcBorders>
              <w:top w:val="single" w:color="CADCFC" w:sz="4"/>
              <w:left w:val="single" w:color="CADCFC" w:sz="4"/>
              <w:bottom w:val="single" w:color="CADCFC" w:sz="4"/>
              <w:right w:val="single" w:color="CADCFC" w:sz="4"/>
            </w:tcBorders>
            <w:shd w:fill="F4F6FB" w:val="clear"/>
            <w:tcMar>
              <w:top w:type="dxa" w:w="80"/>
              <w:left w:type="dxa" w:w="140"/>
              <w:bottom w:type="dxa" w:w="80"/>
              <w:right w:type="dxa" w:w="140"/>
            </w:tcMar>
            <w:vAlign w:val="top"/>
          </w:tcPr>
          <w:p>
            <w:r>
              <w:rPr>
                <w:rFonts w:ascii="Arial" w:cs="Arial" w:eastAsia="Arial" w:hAnsi="Arial"/>
                <w:b/>
                <w:bCs/>
                <w:color w:val="1A1A2E"/>
                <w:sz w:val="20"/>
                <w:szCs w:val="20"/>
              </w:rPr>
              <w:t xml:space="preserve">【記入】その他承認者</w:t>
            </w:r>
          </w:p>
        </w:tc>
        <w:tc>
          <w:tcPr>
            <w:tcW w:type="dxa" w:w="3000"/>
            <w:tcBorders>
              <w:top w:val="single" w:color="CADCFC" w:sz="4"/>
              <w:left w:val="single" w:color="CADCFC" w:sz="4"/>
              <w:bottom w:val="single" w:color="CADCFC" w:sz="4"/>
              <w:right w:val="single" w:color="CADCFC" w:sz="4"/>
            </w:tcBorders>
            <w:tcMar>
              <w:top w:type="dxa" w:w="200"/>
              <w:left w:type="dxa" w:w="140"/>
              <w:bottom w:type="dxa" w:w="200"/>
              <w:right w:type="dxa" w:w="140"/>
            </w:tcMar>
          </w:tcPr>
          <w:p/>
        </w:tc>
        <w:tc>
          <w:tcPr>
            <w:tcW w:type="dxa" w:w="1980"/>
            <w:tcBorders>
              <w:top w:val="single" w:color="CADCFC" w:sz="4"/>
              <w:left w:val="single" w:color="CADCFC" w:sz="4"/>
              <w:bottom w:val="single" w:color="CADCFC" w:sz="4"/>
              <w:right w:val="single" w:color="CADCFC" w:sz="4"/>
            </w:tcBorders>
            <w:tcMar>
              <w:top w:type="dxa" w:w="200"/>
              <w:left w:type="dxa" w:w="140"/>
              <w:bottom w:type="dxa" w:w="200"/>
              <w:right w:type="dxa" w:w="140"/>
            </w:tcMar>
          </w:tcPr>
          <w:p/>
        </w:tc>
        <w:tc>
          <w:tcPr>
            <w:tcW w:type="dxa" w:w="1980"/>
            <w:tcBorders>
              <w:top w:val="single" w:color="CADCFC" w:sz="4"/>
              <w:left w:val="single" w:color="CADCFC" w:sz="4"/>
              <w:bottom w:val="single" w:color="CADCFC" w:sz="4"/>
              <w:right w:val="single" w:color="CADCFC" w:sz="4"/>
            </w:tcBorders>
            <w:tcMar>
              <w:top w:type="dxa" w:w="200"/>
              <w:left w:type="dxa" w:w="140"/>
              <w:bottom w:type="dxa" w:w="200"/>
              <w:right w:type="dxa" w:w="140"/>
            </w:tcMar>
          </w:tcPr>
          <w:p/>
        </w:tc>
      </w:tr>
    </w:tbl>
    <w:p>
      <w:pPr>
        <w:spacing w:after="160" w:before="0"/>
      </w:pPr>
    </w:p>
    <w:p>
      <w:pPr>
        <w:pStyle w:val="Heading1"/>
      </w:pPr>
      <w:r>
        <w:rPr>
          <w:rFonts w:ascii="Arial" w:cs="Arial" w:eastAsia="Arial" w:hAnsi="Arial"/>
          <w:b/>
          <w:bCs/>
          <w:color w:val="1E2761"/>
          <w:sz w:val="32"/>
          <w:szCs w:val="32"/>
        </w:rPr>
        <w:t xml:space="preserve">改訂履歴</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260"/>
      </w:tblGrid>
      <w:tr>
        <w:tc>
          <w:tcPr>
            <w:tcW w:type="dxa" w:w="15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バージョン</w:t>
            </w:r>
          </w:p>
        </w:tc>
        <w:tc>
          <w:tcPr>
            <w:tcW w:type="dxa" w:w="20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日付</w:t>
            </w:r>
          </w:p>
        </w:tc>
        <w:tc>
          <w:tcPr>
            <w:tcW w:type="dxa" w:w="250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改訂者</w:t>
            </w:r>
          </w:p>
        </w:tc>
        <w:tc>
          <w:tcPr>
            <w:tcW w:type="dxa" w:w="3260"/>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内容</w:t>
            </w:r>
          </w:p>
        </w:tc>
      </w:tr>
      <w:tr>
        <w:tc>
          <w:tcPr>
            <w:tcW w:type="dxa" w:w="150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v1.0</w:t>
            </w:r>
          </w:p>
        </w:tc>
        <w:tc>
          <w:tcPr>
            <w:tcW w:type="dxa" w:w="200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250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【記入】</w:t>
            </w:r>
          </w:p>
        </w:tc>
        <w:tc>
          <w:tcPr>
            <w:tcW w:type="dxa" w:w="3260"/>
            <w:tcBorders>
              <w:top w:val="single" w:color="CADCFC" w:sz="4"/>
              <w:left w:val="single" w:color="CADCFC" w:sz="4"/>
              <w:bottom w:val="single" w:color="CADCFC" w:sz="4"/>
              <w:right w:val="single" w:color="CADCFC" w:sz="4"/>
            </w:tcBorders>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初版作成</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DCFC" w:sz="4" w:space="6"/>
      </w:pBdr>
      <w:tabs>
        <w:tab w:val="right" w:pos="9026"/>
      </w:tabs>
      <w:spacing w:before="80"/>
    </w:pPr>
    <w:r>
      <w:rPr>
        <w:rFonts w:ascii="Arial" w:cs="Arial" w:eastAsia="Arial" w:hAnsi="Arial"/>
        <w:color w:val="6B7280"/>
        <w:sz w:val="16"/>
        <w:szCs w:val="16"/>
      </w:rPr>
      <w:t xml:space="preserve">本文書は社外秘。承認完了後は契約管理システムに保管のこと。</w:t>
    </w:r>
    <w:r>
      <w:rPr>
        <w:rFonts w:ascii="Arial" w:cs="Arial" w:eastAsia="Arial" w:hAnsi="Arial"/>
        <w:sz w:val="16"/>
        <w:szCs w:val="16"/>
      </w:rPr>
      <w:t xml:space="preserve">	</w:t>
    </w:r>
    <w:r>
      <w:rPr>
        <w:rFonts w:ascii="Arial" w:cs="Arial" w:eastAsia="Arial" w:hAnsi="Arial"/>
        <w:color w:val="6B7280"/>
        <w:sz w:val="16"/>
        <w:szCs w:val="16"/>
      </w:rPr>
      <w:t xml:space="preserve">ページ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500"/>
      <w:gridCol w:w="1760"/>
    </w:tblGrid>
    <w:tr>
      <w:tc>
        <w:tcPr>
          <w:tcW w:type="dxa" w:w="7500"/>
          <w:tcBorders>
            <w:top w:val="none" w:color="FFFFFF" w:sz="0"/>
            <w:left w:val="none" w:color="FFFFFF" w:sz="0"/>
            <w:bottom w:val="single" w:color="1E2761" w:sz="6"/>
            <w:right w:val="none" w:color="FFFFFF" w:sz="0"/>
          </w:tcBorders>
          <w:shd w:fill="1E2761" w:val="clear"/>
          <w:tcMar>
            <w:top w:type="dxa" w:w="80"/>
            <w:left w:type="dxa" w:w="160"/>
            <w:bottom w:type="dxa" w:w="80"/>
            <w:right w:type="dxa" w:w="80"/>
          </w:tcMar>
        </w:tcPr>
        <w:p>
          <w:r>
            <w:rPr>
              <w:rFonts w:ascii="Arial" w:cs="Arial" w:eastAsia="Arial" w:hAnsi="Arial"/>
              <w:b/>
              <w:bCs/>
              <w:color w:val="FFFFFF"/>
              <w:sz w:val="18"/>
              <w:szCs w:val="18"/>
            </w:rPr>
            <w:t xml:space="preserve">社内稟議書（RFA）テンプレート　</w:t>
          </w:r>
          <w:r>
            <w:rPr>
              <w:rFonts w:ascii="Arial" w:cs="Arial" w:eastAsia="Arial" w:hAnsi="Arial"/>
              <w:color w:val="CADCFC"/>
              <w:sz w:val="18"/>
              <w:szCs w:val="18"/>
            </w:rPr>
            <w:t xml:space="preserve">ITOベンダー切替：移行プロジェクト契約</w:t>
          </w:r>
        </w:p>
      </w:tc>
      <w:tc>
        <w:tcPr>
          <w:tcW w:type="dxa" w:w="1760"/>
          <w:tcBorders>
            <w:top w:val="none" w:color="FFFFFF" w:sz="0"/>
            <w:left w:val="none" w:color="FFFFFF" w:sz="0"/>
            <w:bottom w:val="single" w:color="1E2761" w:sz="6"/>
            <w:right w:val="none" w:color="FFFFFF" w:sz="0"/>
          </w:tcBorders>
          <w:shd w:fill="1E2761" w:val="clear"/>
          <w:tcMar>
            <w:top w:type="dxa" w:w="80"/>
            <w:left w:type="dxa" w:w="80"/>
            <w:bottom w:type="dxa" w:w="80"/>
            <w:right w:type="dxa" w:w="160"/>
          </w:tcMar>
        </w:tcPr>
        <w:p>
          <w:pPr>
            <w:jc w:val="right"/>
          </w:pPr>
          <w:r>
            <w:rPr>
              <w:rFonts w:ascii="Arial" w:cs="Arial" w:eastAsia="Arial" w:hAnsi="Arial"/>
              <w:i/>
              <w:iCs/>
              <w:color w:val="CADCFC"/>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ADCFC" w:sz="6" w:space="4"/>
      </w:pBdr>
      <w:spacing w:after="160" w:before="320"/>
      <w:outlineLvl w:val="0"/>
    </w:pPr>
    <w:rPr>
      <w:rFonts w:ascii="Arial" w:cs="Arial" w:eastAsia="Arial" w:hAnsi="Arial"/>
      <w:b/>
      <w:bCs/>
      <w:color w:val="1E276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2026-03-11T11:41:50.414Z</dcterms:created>
  <dcterms:modified xsi:type="dcterms:W3CDTF">2026-03-11T11:41:50.415Z</dcterms:modified>
</cp:coreProperties>
</file>

<file path=docProps/custom.xml><?xml version="1.0" encoding="utf-8"?>
<Properties xmlns="http://schemas.openxmlformats.org/officeDocument/2006/custom-properties" xmlns:vt="http://schemas.openxmlformats.org/officeDocument/2006/docPropsVTypes"/>
</file>