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Yu Gothic" w:cs="Yu Gothic" w:eastAsia="Yu Gothic" w:hAnsi="Yu Gothic"/>
          <w:b/>
          <w:bCs/>
          <w:color w:val="1F3864"/>
          <w:sz w:val="44"/>
          <w:szCs w:val="44"/>
        </w:rPr>
        <w:t xml:space="preserve">IT予算 コスト最適化検討</w:t>
      </w:r>
    </w:p>
    <w:p>
      <w:pPr>
        <w:spacing w:after="800" w:before="200"/>
        <w:jc w:val="center"/>
      </w:pPr>
      <w:r>
        <w:rPr>
          <w:rFonts w:ascii="Yu Gothic" w:cs="Yu Gothic" w:eastAsia="Yu Gothic" w:hAnsi="Yu Gothic"/>
          <w:b/>
          <w:bCs/>
          <w:color w:val="2E5395"/>
          <w:sz w:val="28"/>
          <w:szCs w:val="28"/>
        </w:rPr>
        <w:t xml:space="preserve">── 中間整理資料 ──</w:t>
      </w:r>
    </w:p>
    <w:p>
      <w:pPr>
        <w:spacing w:before="3600"/>
        <w:jc w:val="center"/>
      </w:pPr>
      <w:r>
        <w:rPr>
          <w:rFonts w:ascii="Yu Gothic" w:cs="Yu Gothic" w:eastAsia="Yu Gothic" w:hAnsi="Yu Gothic"/>
          <w:sz w:val="22"/>
          <w:szCs w:val="22"/>
        </w:rPr>
        <w:t xml:space="preserve">ベンダーマネジメント担当　検討メモ</w:t>
      </w:r>
    </w:p>
    <w:p>
      <w:pPr>
        <w:spacing w:before="200"/>
        <w:jc w:val="center"/>
      </w:pPr>
      <w:r>
        <w:rPr>
          <w:rFonts w:ascii="Yu Gothic" w:cs="Yu Gothic" w:eastAsia="Yu Gothic" w:hAnsi="Yu Gothic"/>
          <w:sz w:val="22"/>
          <w:szCs w:val="22"/>
        </w:rPr>
        <w:t xml:space="preserve">作成日：2026年8月17日</w:t>
      </w:r>
    </w:p>
    <w:p>
      <w:pPr>
        <w:spacing w:before="1200"/>
        <w:jc w:val="center"/>
      </w:pPr>
      <w:r>
        <w:rPr>
          <w:rFonts w:ascii="Yu Gothic" w:cs="Yu Gothic" w:eastAsia="Yu Gothic" w:hAnsi="Yu Gothic"/>
          <w:color w:val="555555"/>
          <w:sz w:val="20"/>
          <w:szCs w:val="20"/>
        </w:rPr>
        <w:t xml:space="preserve">本資料は、来年度IT予算の再検討にあたり、これまで探索的に整理した検討内容を、抜け漏れなく一つの資料としてまとめたものである。</w:t>
      </w:r>
    </w:p>
    <w:p>
      <w:r>
        <w:br w:type="page"/>
      </w:r>
    </w:p>
    <w:p>
      <w:pPr>
        <w:pStyle w:val="Heading1"/>
        <w:pBdr>
          <w:bottom w:val="single" w:color="1F3864" w:sz="8" w:space="4"/>
        </w:pBdr>
        <w:spacing w:after="200" w:before="400"/>
      </w:pPr>
      <w:r>
        <w:rPr>
          <w:rFonts w:ascii="Yu Gothic" w:cs="Yu Gothic" w:eastAsia="Yu Gothic" w:hAnsi="Yu Gothic"/>
          <w:b/>
          <w:bCs/>
          <w:color w:val="1F3864"/>
          <w:sz w:val="30"/>
          <w:szCs w:val="30"/>
        </w:rPr>
        <w:t xml:space="preserve">1. 本資料の位置づけ</w:t>
      </w:r>
    </w:p>
    <w:p>
      <w:pPr>
        <w:spacing w:after="160" w:line="300"/>
      </w:pPr>
      <w:r>
        <w:rPr>
          <w:rFonts w:ascii="Yu Gothic" w:cs="Yu Gothic" w:eastAsia="Yu Gothic" w:hAnsi="Yu Gothic"/>
          <w:sz w:val="21"/>
          <w:szCs w:val="21"/>
        </w:rPr>
        <w:t xml:space="preserve">来年度のIT予算編成において、各担当者からの積み上げが今年度予算に対して大幅な増額となり、経営層から再検討の指示があった。IT予算総額は約120億円(地域別内訳：日本70％、北米20％、欧州10％／領域別内訳：クラウド・EUC30％、セキュリティ10％、データ・AI10％、残りはビジネスアプリケーション関連)であり、この規模での再検討にあたっては、ベンダーマネジメント担当として、個別のコスト削減施策にとどまらず、ベンダーとの力学そのものを踏まえた対応方針が必要になる。</w:t>
      </w:r>
    </w:p>
    <w:p>
      <w:pPr>
        <w:spacing w:after="160" w:line="300"/>
      </w:pPr>
      <w:r>
        <w:rPr>
          <w:rFonts w:ascii="Yu Gothic" w:cs="Yu Gothic" w:eastAsia="Yu Gothic" w:hAnsi="Yu Gothic"/>
          <w:sz w:val="21"/>
          <w:szCs w:val="21"/>
        </w:rPr>
        <w:t xml:space="preserve">本資料は、これまで段階的に検討してきた次の7つの論点を、一つの資料として統合したものである：(1)状況整理と全体方針、(2)標準的な最適化施策を一巡した後に直面する、ベンダー側のロックイン戦略とその対応、(3)Azureの構造的な伸長という追加論点、(4)AWS・Microsoftそれぞれの契約体系とコスト体系のリファレンス、(5)交渉実務上の追加論点、(6)直近の価格改定情報および製品・契約比較表、(7)交渉体制の役割分担案。</w:t>
      </w:r>
    </w:p>
    <w:p>
      <w:pPr>
        <w:pStyle w:val="Heading1"/>
        <w:pBdr>
          <w:bottom w:val="single" w:color="1F3864" w:sz="8" w:space="4"/>
        </w:pBdr>
        <w:spacing w:after="200" w:before="400"/>
      </w:pPr>
      <w:r>
        <w:rPr>
          <w:rFonts w:ascii="Yu Gothic" w:cs="Yu Gothic" w:eastAsia="Yu Gothic" w:hAnsi="Yu Gothic"/>
          <w:b/>
          <w:bCs/>
          <w:color w:val="1F3864"/>
          <w:sz w:val="30"/>
          <w:szCs w:val="30"/>
        </w:rPr>
        <w:t xml:space="preserve">2. 状況整理と全体方針</w:t>
      </w:r>
    </w:p>
    <w:p>
      <w:pPr>
        <w:pStyle w:val="Heading2"/>
        <w:spacing w:after="150" w:before="300"/>
      </w:pPr>
      <w:r>
        <w:rPr>
          <w:rFonts w:ascii="Yu Gothic" w:cs="Yu Gothic" w:eastAsia="Yu Gothic" w:hAnsi="Yu Gothic"/>
          <w:b/>
          <w:bCs/>
          <w:color w:val="2E5395"/>
          <w:sz w:val="25"/>
          <w:szCs w:val="25"/>
        </w:rPr>
        <w:t xml:space="preserve">2.1 予算超過の性質</w:t>
      </w:r>
    </w:p>
    <w:p>
      <w:pPr>
        <w:spacing w:after="160" w:line="300"/>
      </w:pPr>
      <w:r>
        <w:rPr>
          <w:rFonts w:ascii="Yu Gothic" w:cs="Yu Gothic" w:eastAsia="Yu Gothic" w:hAnsi="Yu Gothic"/>
          <w:sz w:val="21"/>
          <w:szCs w:val="21"/>
        </w:rPr>
        <w:t xml:space="preserve">今回の予算超過は、特定部門の見積もりの甘さや個別の管理不備に起因するものではなく、クラウド化・生成AI導入・セキュリティ強化・リモートワーク定着という4つの構造変化が同時に進行した結果として生じている。多くの企業のIT部門が直面している典型的なパターンであり、経営層と最初に共有すべきは「単純に各担当が予算を積み増した」のではなく「ビジネス環境の変化に伴い、IT予算のベースラインそのものが上方シフトしている」という認識である。この整理をせずにコスト削減の議論に入ると、本来削れない構造的増加分まで一律カットの対象にされ、後で機能不全を起こすリスクがある。</w:t>
      </w:r>
    </w:p>
    <w:p>
      <w:pPr>
        <w:pStyle w:val="Heading2"/>
        <w:spacing w:after="150" w:before="300"/>
      </w:pPr>
      <w:r>
        <w:rPr>
          <w:rFonts w:ascii="Yu Gothic" w:cs="Yu Gothic" w:eastAsia="Yu Gothic" w:hAnsi="Yu Gothic"/>
          <w:b/>
          <w:bCs/>
          <w:color w:val="2E5395"/>
          <w:sz w:val="25"/>
          <w:szCs w:val="25"/>
        </w:rPr>
        <w:t xml:space="preserve">2.2 増加要因の3分類</w:t>
      </w:r>
    </w:p>
    <w:p>
      <w:pPr>
        <w:spacing w:after="160" w:line="300"/>
      </w:pPr>
      <w:r>
        <w:rPr>
          <w:rFonts w:ascii="Yu Gothic" w:cs="Yu Gothic" w:eastAsia="Yu Gothic" w:hAnsi="Yu Gothic"/>
          <w:sz w:val="21"/>
          <w:szCs w:val="21"/>
        </w:rPr>
        <w:t xml:space="preserve">対応方針を立てる上で最も重要なのは、増加要因を性質によって分類し、それぞれ扱いを変えることである。</w:t>
      </w:r>
    </w:p>
    <w:p>
      <w:pPr>
        <w:spacing w:after="160" w:line="300"/>
      </w:pPr>
      <w:r>
        <w:rPr>
          <w:rFonts w:ascii="Yu Gothic" w:cs="Yu Gothic" w:eastAsia="Yu Gothic" w:hAnsi="Yu Gothic"/>
          <w:b/>
          <w:bCs/>
          <w:sz w:val="21"/>
          <w:szCs w:val="21"/>
        </w:rPr>
        <w:t xml:space="preserve">不可避・構造的な増加：</w:t>
      </w:r>
      <w:r>
        <w:rPr>
          <w:rFonts w:ascii="Yu Gothic" w:cs="Yu Gothic" w:eastAsia="Yu Gothic" w:hAnsi="Yu Gothic"/>
          <w:sz w:val="21"/>
          <w:szCs w:val="21"/>
        </w:rPr>
        <w:t xml:space="preserve">物価高と為替影響による約10％の押し上げは、IT部門の努力だけでは吸収しきれない外部要因である。AWS・Azureのようなハイパースケーラーのクラウド費用が長期的に増加傾向にあることも、業界一般に見られる構造的トレンドであり、従量課金モデルである以上、ビジネスの成長・データ量の増加・新機能利用の拡大に伴って自然に費用が増える。これらは「ガバナンスの欠如」ではなく「マクロ環境・クラウド利用モデルの本質」として経営層に説明すべき部分である。</w:t>
      </w:r>
    </w:p>
    <w:p>
      <w:pPr>
        <w:spacing w:after="160" w:line="300"/>
      </w:pPr>
      <w:r>
        <w:rPr>
          <w:rFonts w:ascii="Yu Gothic" w:cs="Yu Gothic" w:eastAsia="Yu Gothic" w:hAnsi="Yu Gothic"/>
          <w:b/>
          <w:bCs/>
          <w:sz w:val="21"/>
          <w:szCs w:val="21"/>
        </w:rPr>
        <w:t xml:space="preserve">戦略的投資としての増加：</w:t>
      </w:r>
      <w:r>
        <w:rPr>
          <w:rFonts w:ascii="Yu Gothic" w:cs="Yu Gothic" w:eastAsia="Yu Gothic" w:hAnsi="Yu Gothic"/>
          <w:sz w:val="21"/>
          <w:szCs w:val="21"/>
        </w:rPr>
        <w:t xml:space="preserve">Copilotを4,000から5,000規模へ拡大するといったAI関連投資は、経営が掲げる拡大戦略に基づく意思決定であり、ベンダーマネジメント側が単独で圧縮すべき性質のものではない。ここは「削るか削らないか」ではなく「投資対効果をどう可視化し、投資ペースをどう管理するか」という論点に転換すべき領域である。</w:t>
      </w:r>
    </w:p>
    <w:p>
      <w:pPr>
        <w:spacing w:after="160" w:line="300"/>
      </w:pPr>
      <w:r>
        <w:rPr>
          <w:rFonts w:ascii="Yu Gothic" w:cs="Yu Gothic" w:eastAsia="Yu Gothic" w:hAnsi="Yu Gothic"/>
          <w:b/>
          <w:bCs/>
          <w:sz w:val="21"/>
          <w:szCs w:val="21"/>
        </w:rPr>
        <w:t xml:space="preserve">最適化余地のある増加：</w:t>
      </w:r>
      <w:r>
        <w:rPr>
          <w:rFonts w:ascii="Yu Gothic" w:cs="Yu Gothic" w:eastAsia="Yu Gothic" w:hAnsi="Yu Gothic"/>
          <w:sz w:val="21"/>
          <w:szCs w:val="21"/>
        </w:rPr>
        <w:t xml:space="preserve">セキュリティ環境コストの増加(PC・モバイル・リモートワーク対応)や、ライセンスの積み上げ(E3・Copilotのユーザー単価×人数)は、需要自体は正当であっても、調達方法・ライセンス構成・利用実態の精査によって圧縮余地が最も大きい領域であり、ここに検討を集中するのが現実的である。</w:t>
      </w:r>
    </w:p>
    <w:p>
      <w:pPr>
        <w:pStyle w:val="Heading2"/>
        <w:spacing w:after="150" w:before="300"/>
      </w:pPr>
      <w:r>
        <w:rPr>
          <w:rFonts w:ascii="Yu Gothic" w:cs="Yu Gothic" w:eastAsia="Yu Gothic" w:hAnsi="Yu Gothic"/>
          <w:b/>
          <w:bCs/>
          <w:color w:val="2E5395"/>
          <w:sz w:val="25"/>
          <w:szCs w:val="25"/>
        </w:rPr>
        <w:t xml:space="preserve">2.3 一般的なコスト最適化アプローチ</w:t>
      </w:r>
    </w:p>
    <w:p>
      <w:pPr>
        <w:spacing w:after="160" w:line="300"/>
      </w:pPr>
      <w:r>
        <w:rPr>
          <w:rFonts w:ascii="Yu Gothic" w:cs="Yu Gothic" w:eastAsia="Yu Gothic" w:hAnsi="Yu Gothic"/>
          <w:b/>
          <w:bCs/>
          <w:sz w:val="21"/>
          <w:szCs w:val="21"/>
        </w:rPr>
        <w:t xml:space="preserve">ライセンス最適化：</w:t>
      </w:r>
      <w:r>
        <w:rPr>
          <w:rFonts w:ascii="Yu Gothic" w:cs="Yu Gothic" w:eastAsia="Yu Gothic" w:hAnsi="Yu Gothic"/>
          <w:sz w:val="21"/>
          <w:szCs w:val="21"/>
        </w:rPr>
        <w:t xml:space="preserve">全社員に一律で高機能ライセンスを付与するのではなく、職種・利用実態に応じたライセンス階層化(棚卸しと再配分)が最も即効性のある手段である。実際、多くの企業でライセンス利用率を調査すると、付与数の2〜3割が実質未使用というケースは珍しくない。Copilotについても全社一斉展開ではなく、業務インパクトの高い部門から段階的に展開し、利用率・生産性効果を測定しながら拡大ペースをコントロールする「フェーズドロールアウト」が、AI投資の説明責任を果たす上で有効である。</w:t>
      </w:r>
    </w:p>
    <w:p>
      <w:pPr>
        <w:spacing w:after="160" w:line="300"/>
      </w:pPr>
      <w:r>
        <w:rPr>
          <w:rFonts w:ascii="Yu Gothic" w:cs="Yu Gothic" w:eastAsia="Yu Gothic" w:hAnsi="Yu Gothic"/>
          <w:b/>
          <w:bCs/>
          <w:sz w:val="21"/>
          <w:szCs w:val="21"/>
        </w:rPr>
        <w:t xml:space="preserve">クラウドコストの最適化(FinOps)：</w:t>
      </w:r>
      <w:r>
        <w:rPr>
          <w:rFonts w:ascii="Yu Gothic" w:cs="Yu Gothic" w:eastAsia="Yu Gothic" w:hAnsi="Yu Gothic"/>
          <w:sz w:val="21"/>
          <w:szCs w:val="21"/>
        </w:rPr>
        <w:t xml:space="preserve">リザーブドインスタンスやSavings Plansなどのコミット割引の活用、未使用リソースの棚卸し、部門別のコスト可視化(タギング・チャージバック)による利用者側の当事者意識醸成が一般的な打ち手である。契約形態の見直しだけでなく、利用側の設計・運用改善(オートスケーリング、不要環境の停止など)とセットで初めて効果が出る。</w:t>
      </w:r>
    </w:p>
    <w:p>
      <w:pPr>
        <w:spacing w:after="160" w:line="300"/>
      </w:pPr>
      <w:r>
        <w:rPr>
          <w:rFonts w:ascii="Yu Gothic" w:cs="Yu Gothic" w:eastAsia="Yu Gothic" w:hAnsi="Yu Gothic"/>
          <w:b/>
          <w:bCs/>
          <w:sz w:val="21"/>
          <w:szCs w:val="21"/>
        </w:rPr>
        <w:t xml:space="preserve">ベンダー交渉：</w:t>
      </w:r>
      <w:r>
        <w:rPr>
          <w:rFonts w:ascii="Yu Gothic" w:cs="Yu Gothic" w:eastAsia="Yu Gothic" w:hAnsi="Yu Gothic"/>
          <w:sz w:val="21"/>
          <w:szCs w:val="21"/>
        </w:rPr>
        <w:t xml:space="preserve">大口ベンダーに対しては、複数年契約によるボリュームディスカウント、契約更新タイミングでの価格ベンチマーク比較、他部門・グループ会社との契約統合によるスケールメリット追求などが定石である。特にMicrosoftライセンスのような全社基盤コストは、契約更新(EA更新)のタイミングが最大の交渉レバーになる。</w:t>
      </w:r>
    </w:p>
    <w:p>
      <w:pPr>
        <w:spacing w:after="160" w:line="300"/>
      </w:pPr>
      <w:r>
        <w:rPr>
          <w:rFonts w:ascii="Yu Gothic" w:cs="Yu Gothic" w:eastAsia="Yu Gothic" w:hAnsi="Yu Gothic"/>
          <w:b/>
          <w:bCs/>
          <w:sz w:val="21"/>
          <w:szCs w:val="21"/>
        </w:rPr>
        <w:t xml:space="preserve">セキュリティツールの整理：</w:t>
      </w:r>
      <w:r>
        <w:rPr>
          <w:rFonts w:ascii="Yu Gothic" w:cs="Yu Gothic" w:eastAsia="Yu Gothic" w:hAnsi="Yu Gothic"/>
          <w:sz w:val="21"/>
          <w:szCs w:val="21"/>
        </w:rPr>
        <w:t xml:space="preserve">点在するセキュリティツールの重複機能を洗い出し、統合・解約できるものがないかを精査する「ツールポートフォリオの整理」が有効である。リモートワーク対応で個別に導入されたツールが積み重なっているケースは多く、機能重複の解消だけでコストを圧縮できる可能性がある。</w:t>
      </w:r>
    </w:p>
    <w:p>
      <w:pPr>
        <w:spacing w:after="160" w:line="300"/>
      </w:pPr>
      <w:r>
        <w:rPr>
          <w:rFonts w:ascii="Yu Gothic" w:cs="Yu Gothic" w:eastAsia="Yu Gothic" w:hAnsi="Yu Gothic"/>
          <w:b/>
          <w:bCs/>
          <w:sz w:val="21"/>
          <w:szCs w:val="21"/>
        </w:rPr>
        <w:t xml:space="preserve">為替影響への対応：</w:t>
      </w:r>
      <w:r>
        <w:rPr>
          <w:rFonts w:ascii="Yu Gothic" w:cs="Yu Gothic" w:eastAsia="Yu Gothic" w:hAnsi="Yu Gothic"/>
          <w:sz w:val="21"/>
          <w:szCs w:val="21"/>
        </w:rPr>
        <w:t xml:space="preserve">ベンダーマネジメントの範囲では吸収しきれない部分が大きいものの、円建て契約への切り替え交渉や、複数年契約時の為替前提の明確化などが緩和策になり得る。</w:t>
      </w:r>
    </w:p>
    <w:p>
      <w:pPr>
        <w:pStyle w:val="Heading2"/>
        <w:spacing w:after="150" w:before="300"/>
      </w:pPr>
      <w:r>
        <w:rPr>
          <w:rFonts w:ascii="Yu Gothic" w:cs="Yu Gothic" w:eastAsia="Yu Gothic" w:hAnsi="Yu Gothic"/>
          <w:b/>
          <w:bCs/>
          <w:color w:val="2E5395"/>
          <w:sz w:val="25"/>
          <w:szCs w:val="25"/>
        </w:rPr>
        <w:t xml:space="preserve">2.4 経営層への提示の仕方</w:t>
      </w:r>
    </w:p>
    <w:p>
      <w:pPr>
        <w:spacing w:after="160" w:line="300"/>
      </w:pPr>
      <w:r>
        <w:rPr>
          <w:rFonts w:ascii="Yu Gothic" w:cs="Yu Gothic" w:eastAsia="Yu Gothic" w:hAnsi="Yu Gothic"/>
          <w:sz w:val="21"/>
          <w:szCs w:val="21"/>
        </w:rPr>
        <w:t xml:space="preserve">単に「全体をX％削減しました」という結果だけを返すのではなく、増加要因を前述の3分類(不可避／戦略的／最適化余地あり)で提示し、それぞれについて「なぜこの部分は削れないのか」「戦略投資はどう投資対効果を管理するか」「最適化余地のある部分はどこまで、どう削るか」を分けて説明することで、経営層の意思決定の質が上がる。特にAI投資のような拡大戦略項目については、削減対象として扱うのではなく、「投資は継続するが、ROIをモニタリングしながら段階的に展開する」という管理方法の提案に切り替えることで、戦略との整合性を保ちながら予算規律を示すことができる。</w:t>
      </w:r>
    </w:p>
    <w:p>
      <w:pPr>
        <w:pStyle w:val="Heading1"/>
        <w:pBdr>
          <w:bottom w:val="single" w:color="1F3864" w:sz="8" w:space="4"/>
        </w:pBdr>
        <w:spacing w:after="200" w:before="400"/>
      </w:pPr>
      <w:r>
        <w:rPr>
          <w:rFonts w:ascii="Yu Gothic" w:cs="Yu Gothic" w:eastAsia="Yu Gothic" w:hAnsi="Yu Gothic"/>
          <w:b/>
          <w:bCs/>
          <w:color w:val="1F3864"/>
          <w:sz w:val="30"/>
          <w:szCs w:val="30"/>
        </w:rPr>
        <w:t xml:space="preserve">3. 一巡した後の課題：ベンダーのロックイン戦略への対応</w:t>
      </w:r>
    </w:p>
    <w:p>
      <w:pPr>
        <w:spacing w:after="160" w:line="300"/>
      </w:pPr>
      <w:r>
        <w:rPr>
          <w:rFonts w:ascii="Yu Gothic" w:cs="Yu Gothic" w:eastAsia="Yu Gothic" w:hAnsi="Yu Gothic"/>
          <w:sz w:val="21"/>
          <w:szCs w:val="21"/>
        </w:rPr>
        <w:t xml:space="preserve">ライセンス棚卸し・利用率精査・ツール統合・タギング/チャージバックといった標準的なFinOps／ベンダーマネジメントの打ち手を一通り実行し切った状態は、ベンダー側から見ても「この顧客はもう絞りきった状態にある」と認識されるタイミングである。メガベンダーのプライシング戦略は、まさにこの段階で「顧客が自力で削れなくなった後にどう収益を確保するか」という次のフェーズに移行する。ここから先はコスト削減の技術論ではなく、ベンダーとの力学(誰が契約の基準点とタイミングを支配するか)の問題になる。</w:t>
      </w:r>
    </w:p>
    <w:p>
      <w:pPr>
        <w:pStyle w:val="Heading2"/>
        <w:spacing w:after="150" w:before="300"/>
      </w:pPr>
      <w:r>
        <w:rPr>
          <w:rFonts w:ascii="Yu Gothic" w:cs="Yu Gothic" w:eastAsia="Yu Gothic" w:hAnsi="Yu Gothic"/>
          <w:b/>
          <w:bCs/>
          <w:color w:val="2E5395"/>
          <w:sz w:val="25"/>
          <w:szCs w:val="25"/>
        </w:rPr>
        <w:t xml:space="preserve">3.1 Microsoftのケース：ロックイン後の価格転嫁</w:t>
      </w:r>
    </w:p>
    <w:p>
      <w:pPr>
        <w:spacing w:after="160" w:line="300"/>
      </w:pPr>
      <w:r>
        <w:rPr>
          <w:rFonts w:ascii="Yu Gothic" w:cs="Yu Gothic" w:eastAsia="Yu Gothic" w:hAnsi="Yu Gothic"/>
          <w:sz w:val="21"/>
          <w:szCs w:val="21"/>
        </w:rPr>
        <w:t xml:space="preserve">Microsoftの戦略は典型的な「land and expand」の終盤にあたる。ユーザー数を確保する段階では魅力的な単価を提示し、業務プロセス・データ・ワークフローが深く組み込まれてスイッチングコストが十分高くなった段階で、基本ライセンス単価の引き上げやSKU再編(機能のバンドル・アンバンドル)によって実質的な値上げを行う。セキュリティ強化ニーズが高まっているタイミングでのE5への誘導(セキュリティ機能をE5にバンドルし、単体製品ではなくアップグレードという形での支出増を選ばせる)、Copilotのような新規必須SKUの追加という形で、複数の予算増加要因を同時に一つのベンダーへ収斂させてくるのも、この戦略の一部である。何もしなければ、次回更新ではlist price引き上げ・バンドル再編・複数年契約への誘導(年次アップリフト条項付き)が同時に来ると想定すべきである。</w:t>
      </w:r>
    </w:p>
    <w:p>
      <w:pPr>
        <w:spacing w:after="160" w:line="300"/>
      </w:pPr>
      <w:r>
        <w:rPr>
          <w:rFonts w:ascii="Yu Gothic" w:cs="Yu Gothic" w:eastAsia="Yu Gothic" w:hAnsi="Yu Gothic"/>
          <w:sz w:val="21"/>
          <w:szCs w:val="21"/>
        </w:rPr>
        <w:t xml:space="preserve">これに対する次の一手は、単価交渉を強化することではなく、「基準点とタイミングをMicrosoftに握らせない」ことである。</w:t>
      </w:r>
    </w:p>
    <w:p>
      <w:pPr>
        <w:pStyle w:val="ListParagraph"/>
        <w:numPr>
          <w:ilvl w:val="0"/>
          <w:numId w:val="2"/>
        </w:numPr>
        <w:spacing w:after="100" w:line="280"/>
      </w:pPr>
      <w:r>
        <w:rPr>
          <w:rFonts w:ascii="Yu Gothic" w:cs="Yu Gothic" w:eastAsia="Yu Gothic" w:hAnsi="Yu Gothic"/>
          <w:sz w:val="21"/>
          <w:szCs w:val="21"/>
        </w:rPr>
        <w:t xml:space="preserve">全ユーザーへの一律E3/E5ではなく、実際の利用実態に基づいてF3/E3/E5を混在させる「セグメント化されたライセンス構成」を更新交渉の前提として持ち込む。</w:t>
      </w:r>
    </w:p>
    <w:p>
      <w:pPr>
        <w:pStyle w:val="ListParagraph"/>
        <w:numPr>
          <w:ilvl w:val="0"/>
          <w:numId w:val="2"/>
        </w:numPr>
        <w:spacing w:after="100" w:line="280"/>
      </w:pPr>
      <w:r>
        <w:rPr>
          <w:rFonts w:ascii="Yu Gothic" w:cs="Yu Gothic" w:eastAsia="Yu Gothic" w:hAnsi="Yu Gothic"/>
          <w:sz w:val="21"/>
          <w:szCs w:val="21"/>
        </w:rPr>
        <w:t xml:space="preserve">Copilotの調達をEA更新のタイミングから意図的に切り離す。同じタイミングで交渉すると、Copilotを「今この条件でしか出せない」という形で本体契約の値上げ許容とバーターにされやすい。</w:t>
      </w:r>
    </w:p>
    <w:p>
      <w:pPr>
        <w:pStyle w:val="ListParagraph"/>
        <w:numPr>
          <w:ilvl w:val="0"/>
          <w:numId w:val="2"/>
        </w:numPr>
        <w:spacing w:after="100" w:line="280"/>
      </w:pPr>
      <w:r>
        <w:rPr>
          <w:rFonts w:ascii="Yu Gothic" w:cs="Yu Gothic" w:eastAsia="Yu Gothic" w:hAnsi="Yu Gothic"/>
          <w:sz w:val="21"/>
          <w:szCs w:val="21"/>
        </w:rPr>
        <w:t xml:space="preserve">複数年契約を受け入れる場合でも、list price連動の自動値上げではなく、CPI連動や上限％を明記したプライスキャップ条項を必須要件として交渉する。</w:t>
      </w:r>
    </w:p>
    <w:p>
      <w:pPr>
        <w:pStyle w:val="ListParagraph"/>
        <w:numPr>
          <w:ilvl w:val="0"/>
          <w:numId w:val="2"/>
        </w:numPr>
        <w:spacing w:after="100" w:line="280"/>
      </w:pPr>
      <w:r>
        <w:rPr>
          <w:rFonts w:ascii="Yu Gothic" w:cs="Yu Gothic" w:eastAsia="Yu Gothic" w:hAnsi="Yu Gothic"/>
          <w:sz w:val="21"/>
          <w:szCs w:val="21"/>
        </w:rPr>
        <w:t xml:space="preserve">Google Workspaceや代替セキュリティスタックの評価(RFP水準の情報収集)を並行して進め、本気で比較検討しているという信頼できる代替選択肢を持つ。実際に切り替えるかどうかは別として、この「クレディブルな代替案」の有無が交渉力を大きく左右する。</w:t>
      </w:r>
    </w:p>
    <w:p>
      <w:pPr>
        <w:pStyle w:val="ListParagraph"/>
        <w:numPr>
          <w:ilvl w:val="0"/>
          <w:numId w:val="2"/>
        </w:numPr>
        <w:spacing w:after="100" w:line="280"/>
      </w:pPr>
      <w:r>
        <w:rPr>
          <w:rFonts w:ascii="Yu Gothic" w:cs="Yu Gothic" w:eastAsia="Yu Gothic" w:hAnsi="Yu Gothic"/>
          <w:sz w:val="21"/>
          <w:szCs w:val="21"/>
        </w:rPr>
        <w:t xml:space="preserve">更新のタイミングをMicrosoftの会計年度末(6月)に合わせ、営業担当側のノルマ達成圧力を交渉材料として活用する。</w:t>
      </w:r>
    </w:p>
    <w:p>
      <w:pPr>
        <w:pStyle w:val="ListParagraph"/>
        <w:numPr>
          <w:ilvl w:val="0"/>
          <w:numId w:val="2"/>
        </w:numPr>
        <w:spacing w:after="100" w:line="280"/>
      </w:pPr>
      <w:r>
        <w:rPr>
          <w:rFonts w:ascii="Yu Gothic" w:cs="Yu Gothic" w:eastAsia="Yu Gothic" w:hAnsi="Yu Gothic"/>
          <w:sz w:val="21"/>
          <w:szCs w:val="21"/>
        </w:rPr>
        <w:t xml:space="preserve">四半期ごとの利用実態モニタリングを恒常化し、更新のたびにゼロから交渉するのではなく、常に次の更新でどこを削れるかのデータを持ち続ける。</w:t>
      </w:r>
    </w:p>
    <w:p>
      <w:pPr>
        <w:pStyle w:val="Heading2"/>
        <w:spacing w:after="150" w:before="300"/>
      </w:pPr>
      <w:r>
        <w:rPr>
          <w:rFonts w:ascii="Yu Gothic" w:cs="Yu Gothic" w:eastAsia="Yu Gothic" w:hAnsi="Yu Gothic"/>
          <w:b/>
          <w:bCs/>
          <w:color w:val="2E5395"/>
          <w:sz w:val="25"/>
          <w:szCs w:val="25"/>
        </w:rPr>
        <w:t xml:space="preserve">3.2 AWSのケース：長期固定契約によるアーキテクチャの凍結</w:t>
      </w:r>
    </w:p>
    <w:p>
      <w:pPr>
        <w:spacing w:after="160" w:line="300"/>
      </w:pPr>
      <w:r>
        <w:rPr>
          <w:rFonts w:ascii="Yu Gothic" w:cs="Yu Gothic" w:eastAsia="Yu Gothic" w:hAnsi="Yu Gothic"/>
          <w:sz w:val="21"/>
          <w:szCs w:val="21"/>
        </w:rPr>
        <w:t xml:space="preserve">AWSが提案する長期コミット契約(EDP／PPAのような枠組み)は、現在の利用量を基準に一定期間のスペンドコミットを約束させることで割引を得る仕組みである。短期的には予算の安定と一定の割引という分かりやすい成果をもたらす一方、本質的な問題は、コミットの基準点が「最適化される前の、現状の(非効率を含んだ)利用量」に固定されてしまう点にある。この状態でサーバーレス化・右サイジング・不要リソースの停止といった抜本的なアーキテクチャ改革を行うと、コミット未達によるペナルティや、削減効果が契約上「支払い済み」の中に埋没し、実質的に削減の果実を得られなくなる。この契約は、自社側の削減余地そのものをAWSの収益として先取りする形になっている。</w:t>
      </w:r>
    </w:p>
    <w:p>
      <w:pPr>
        <w:pStyle w:val="ListParagraph"/>
        <w:numPr>
          <w:ilvl w:val="0"/>
          <w:numId w:val="2"/>
        </w:numPr>
        <w:spacing w:after="100" w:line="280"/>
      </w:pPr>
      <w:r>
        <w:rPr>
          <w:rFonts w:ascii="Yu Gothic" w:cs="Yu Gothic" w:eastAsia="Yu Gothic" w:hAnsi="Yu Gothic"/>
          <w:sz w:val="21"/>
          <w:szCs w:val="21"/>
        </w:rPr>
        <w:t xml:space="preserve">契約を締結する前に、3〜6か月程度の集中的なFinOps／アーキテクチャ監査を行い、サーバーレス化・右サイジング・ストレージ階層化などで実現可能な削減額を先に算出したうえで、「最適化後の水準」を基準にコミット交渉を行う。ベンダーに基準点を決めさせないことが核心である。</w:t>
      </w:r>
    </w:p>
    <w:p>
      <w:pPr>
        <w:pStyle w:val="ListParagraph"/>
        <w:numPr>
          <w:ilvl w:val="0"/>
          <w:numId w:val="2"/>
        </w:numPr>
        <w:spacing w:after="100" w:line="280"/>
      </w:pPr>
      <w:r>
        <w:rPr>
          <w:rFonts w:ascii="Yu Gothic" w:cs="Yu Gothic" w:eastAsia="Yu Gothic" w:hAnsi="Yu Gothic"/>
          <w:sz w:val="21"/>
          <w:szCs w:val="21"/>
        </w:rPr>
        <w:t xml:space="preserve">コミット額を単一サービス(EC2など)に固定するのではなく、サーバーレスやマネージドサービスへの移行分もコミット消化に充当できる「サービス横断的な消化の柔軟性」を契約条件に組み込む。</w:t>
      </w:r>
    </w:p>
    <w:p>
      <w:pPr>
        <w:pStyle w:val="ListParagraph"/>
        <w:numPr>
          <w:ilvl w:val="0"/>
          <w:numId w:val="2"/>
        </w:numPr>
        <w:spacing w:after="100" w:line="280"/>
      </w:pPr>
      <w:r>
        <w:rPr>
          <w:rFonts w:ascii="Yu Gothic" w:cs="Yu Gothic" w:eastAsia="Yu Gothic" w:hAnsi="Yu Gothic"/>
          <w:sz w:val="21"/>
          <w:szCs w:val="21"/>
        </w:rPr>
        <w:t xml:space="preserve">全ワークロードを一括で長期コミットの対象にするのではなく、「安定的で最適化余地の小さいワークロード」と「今後アーキテクチャ改革を予定しているワークロード」を切り分け、後者はオンデマンドまたは短期契約のまま残す。</w:t>
      </w:r>
    </w:p>
    <w:p>
      <w:pPr>
        <w:pStyle w:val="ListParagraph"/>
        <w:numPr>
          <w:ilvl w:val="0"/>
          <w:numId w:val="2"/>
        </w:numPr>
        <w:spacing w:after="100" w:line="280"/>
      </w:pPr>
      <w:r>
        <w:rPr>
          <w:rFonts w:ascii="Yu Gothic" w:cs="Yu Gothic" w:eastAsia="Yu Gothic" w:hAnsi="Yu Gothic"/>
          <w:sz w:val="21"/>
          <w:szCs w:val="21"/>
        </w:rPr>
        <w:t xml:space="preserve">AI関連のような新規ワークロードについてはAzure/GCPとの比較評価を並行して行い、AWS一極集中による価格決定力の集中を防ぐ。</w:t>
      </w:r>
    </w:p>
    <w:p>
      <w:pPr>
        <w:pStyle w:val="ListParagraph"/>
        <w:numPr>
          <w:ilvl w:val="0"/>
          <w:numId w:val="2"/>
        </w:numPr>
        <w:spacing w:after="100" w:line="280"/>
      </w:pPr>
      <w:r>
        <w:rPr>
          <w:rFonts w:ascii="Yu Gothic" w:cs="Yu Gothic" w:eastAsia="Yu Gothic" w:hAnsi="Yu Gothic"/>
          <w:sz w:val="21"/>
          <w:szCs w:val="21"/>
        </w:rPr>
        <w:t xml:space="preserve">他社のEDP/PPA条件のベンチマークを持つ第三者アドバイザリーを一時的に起用し、情報の非対称性を是正する。</w:t>
      </w:r>
    </w:p>
    <w:p>
      <w:pPr>
        <w:pStyle w:val="Heading2"/>
        <w:spacing w:after="150" w:before="300"/>
      </w:pPr>
      <w:r>
        <w:rPr>
          <w:rFonts w:ascii="Yu Gothic" w:cs="Yu Gothic" w:eastAsia="Yu Gothic" w:hAnsi="Yu Gothic"/>
          <w:b/>
          <w:bCs/>
          <w:color w:val="2E5395"/>
          <w:sz w:val="25"/>
          <w:szCs w:val="25"/>
        </w:rPr>
        <w:t xml:space="preserve">3.3 局面変化のまとめ：組織として押さえるべき3原則</w:t>
      </w:r>
    </w:p>
    <w:p>
      <w:pPr>
        <w:spacing w:after="160" w:line="300"/>
      </w:pPr>
      <w:r>
        <w:rPr>
          <w:rFonts w:ascii="Yu Gothic" w:cs="Yu Gothic" w:eastAsia="Yu Gothic" w:hAnsi="Yu Gothic"/>
          <w:sz w:val="21"/>
          <w:szCs w:val="21"/>
        </w:rPr>
        <w:t xml:space="preserve">この局面では、単価交渉やライセンス棚卸しといった運用レベルの打ち手だけでは対応しきれず、次の3点を組織的な方針として経営層に提示する必要がある。</w:t>
      </w:r>
    </w:p>
    <w:p>
      <w:pPr>
        <w:spacing w:after="160" w:line="300"/>
      </w:pPr>
      <w:r>
        <w:rPr>
          <w:rFonts w:ascii="Yu Gothic" w:cs="Yu Gothic" w:eastAsia="Yu Gothic" w:hAnsi="Yu Gothic"/>
          <w:b/>
          <w:bCs/>
          <w:sz w:val="21"/>
          <w:szCs w:val="21"/>
        </w:rPr>
        <w:t xml:space="preserve">① 基準点とタイミングの支配権を握ること：</w:t>
      </w:r>
      <w:r>
        <w:rPr>
          <w:rFonts w:ascii="Yu Gothic" w:cs="Yu Gothic" w:eastAsia="Yu Gothic" w:hAnsi="Yu Gothic"/>
          <w:sz w:val="21"/>
          <w:szCs w:val="21"/>
        </w:rPr>
        <w:t xml:space="preserve">ベンダーが提示するタイミング・提示する現状ベースの数字をそのまま交渉の土台にせず、必ず自社側で「あるべき基準」を先に算出してから交渉に入るというルールを徹底する。</w:t>
      </w:r>
    </w:p>
    <w:p>
      <w:pPr>
        <w:spacing w:after="160" w:line="300"/>
      </w:pPr>
      <w:r>
        <w:rPr>
          <w:rFonts w:ascii="Yu Gothic" w:cs="Yu Gothic" w:eastAsia="Yu Gothic" w:hAnsi="Yu Gothic"/>
          <w:b/>
          <w:bCs/>
          <w:sz w:val="21"/>
          <w:szCs w:val="21"/>
        </w:rPr>
        <w:t xml:space="preserve">② コミットメント集中リスクの管理：</w:t>
      </w:r>
      <w:r>
        <w:rPr>
          <w:rFonts w:ascii="Yu Gothic" w:cs="Yu Gothic" w:eastAsia="Yu Gothic" w:hAnsi="Yu Gothic"/>
          <w:sz w:val="21"/>
          <w:szCs w:val="21"/>
        </w:rPr>
        <w:t xml:space="preserve">予算の何割が長期固定契約でロックされ、何割が柔軟性を保っているかを可視化し、財務における「デュレーションリスク管理」と同様の発想で、特定ベンダーへのコミット比率に上限を設けるガバナンスを導入する。</w:t>
      </w:r>
    </w:p>
    <w:p>
      <w:pPr>
        <w:spacing w:after="160" w:line="300"/>
      </w:pPr>
      <w:r>
        <w:rPr>
          <w:rFonts w:ascii="Yu Gothic" w:cs="Yu Gothic" w:eastAsia="Yu Gothic" w:hAnsi="Yu Gothic"/>
          <w:b/>
          <w:bCs/>
          <w:sz w:val="21"/>
          <w:szCs w:val="21"/>
        </w:rPr>
        <w:t xml:space="preserve">③ アーキテクチャと調達の共同意思決定：</w:t>
      </w:r>
      <w:r>
        <w:rPr>
          <w:rFonts w:ascii="Yu Gothic" w:cs="Yu Gothic" w:eastAsia="Yu Gothic" w:hAnsi="Yu Gothic"/>
          <w:sz w:val="21"/>
          <w:szCs w:val="21"/>
        </w:rPr>
        <w:t xml:space="preserve">契約交渉をベンダーマネジメント／調達だけの仕事にせず、アーキテクチャ判断を伴う意思決定として、エンジニアリング部門と共同で行う体制にする。問題になっているのは価格そのものよりも「将来の技術的選択肢を失うこと」であり、これは技術部門の関与なしには適切に評価できない。</w:t>
      </w:r>
    </w:p>
    <w:p>
      <w:pPr>
        <w:pStyle w:val="Heading1"/>
        <w:pBdr>
          <w:bottom w:val="single" w:color="1F3864" w:sz="8" w:space="4"/>
        </w:pBdr>
        <w:spacing w:after="200" w:before="400"/>
      </w:pPr>
      <w:r>
        <w:rPr>
          <w:rFonts w:ascii="Yu Gothic" w:cs="Yu Gothic" w:eastAsia="Yu Gothic" w:hAnsi="Yu Gothic"/>
          <w:b/>
          <w:bCs/>
          <w:color w:val="1F3864"/>
          <w:sz w:val="30"/>
          <w:szCs w:val="30"/>
        </w:rPr>
        <w:t xml:space="preserve">4. Azureの伸長という第二の論点</w:t>
      </w:r>
    </w:p>
    <w:p>
      <w:pPr>
        <w:pStyle w:val="Heading2"/>
        <w:spacing w:after="150" w:before="300"/>
      </w:pPr>
      <w:r>
        <w:rPr>
          <w:rFonts w:ascii="Yu Gothic" w:cs="Yu Gothic" w:eastAsia="Yu Gothic" w:hAnsi="Yu Gothic"/>
          <w:b/>
          <w:bCs/>
          <w:color w:val="2E5395"/>
          <w:sz w:val="25"/>
          <w:szCs w:val="25"/>
        </w:rPr>
        <w:t xml:space="preserve">4.1 状況整理</w:t>
      </w:r>
    </w:p>
    <w:p>
      <w:pPr>
        <w:spacing w:after="160" w:line="300"/>
      </w:pPr>
      <w:r>
        <w:rPr>
          <w:rFonts w:ascii="Yu Gothic" w:cs="Yu Gothic" w:eastAsia="Yu Gothic" w:hAnsi="Yu Gothic"/>
          <w:sz w:val="21"/>
          <w:szCs w:val="21"/>
        </w:rPr>
        <w:t xml:space="preserve">クラウド戦略の初期段階(Shift &amp; Lift)においてAWSをエンタープライズクラウドとして選択したため、ビジネスシステム関連のサーバー群の大半はAWS上にあり、SaaSとの組み合わせおよびデータ中継サーバによる連携が行われている。一方、生成AIブームの中でAzure OpenAIを早期に採用したため、AI基盤はAzure、データ基盤はSQL Server等Microsoftのデータベースサービスという構成になっている。AWSが年間6億円、Azureが2億円という現状の絶対額に対し、Azureの伸長率は右肩上がりであり、新規システム構築においてAI機能が必須となるケースが増えているため、AI基盤としてだけでなくAzureの他サービスが採用されるケースも増加している。Azureについては、Microsoft Unified Supportは既に適用済みであり、Microsoftおよび代理店との交渉を開始している段階である。</w:t>
      </w:r>
    </w:p>
    <w:p>
      <w:pPr>
        <w:pStyle w:val="Heading2"/>
        <w:spacing w:after="150" w:before="300"/>
      </w:pPr>
      <w:r>
        <w:rPr>
          <w:rFonts w:ascii="Yu Gothic" w:cs="Yu Gothic" w:eastAsia="Yu Gothic" w:hAnsi="Yu Gothic"/>
          <w:b/>
          <w:bCs/>
          <w:color w:val="2E5395"/>
          <w:sz w:val="25"/>
          <w:szCs w:val="25"/>
        </w:rPr>
        <w:t xml:space="preserve">4.2 リスクの構造</w:t>
      </w:r>
    </w:p>
    <w:p>
      <w:pPr>
        <w:spacing w:after="160" w:line="300"/>
      </w:pPr>
      <w:r>
        <w:rPr>
          <w:rFonts w:ascii="Yu Gothic" w:cs="Yu Gothic" w:eastAsia="Yu Gothic" w:hAnsi="Yu Gothic"/>
          <w:sz w:val="21"/>
          <w:szCs w:val="21"/>
        </w:rPr>
        <w:t xml:space="preserve">Azureの拡大は、AI(Azure OpenAI)という「今すぐ必要不可欠な機能」を入口に、インフラ全体のシェアを静かに広げる「ビーチヘッド戦略」の典型である。特定の強い必要性を持つ入口でまず接点を作り、そこから隣接領域(データ基盤、コンピュート、その他Azureサービス)へと利用範囲を拡張していく構図であり、この拡張が意図的なマルチクラウド戦略の結果ではなく、「新規システム構築にAI機能が必須になったので、統合の手間を避けるためAzureに寄せる」という現場レベルの積み上げの結果として起きている点が重要である。経営が意思決定していないうちに、実質的なクラウド配置戦略が現場の個別判断の集積によって決まってしまう状態であり、数年後に「気づいたらAzureが主インフラになっていた」という事態になりかねない。</w:t>
      </w:r>
    </w:p>
    <w:p>
      <w:pPr>
        <w:pStyle w:val="ListParagraph"/>
        <w:numPr>
          <w:ilvl w:val="0"/>
          <w:numId w:val="2"/>
        </w:numPr>
        <w:spacing w:after="100" w:line="280"/>
      </w:pPr>
      <w:r>
        <w:rPr>
          <w:rFonts w:ascii="Yu Gothic" w:cs="Yu Gothic" w:eastAsia="Yu Gothic" w:hAnsi="Yu Gothic"/>
          <w:sz w:val="21"/>
          <w:szCs w:val="21"/>
        </w:rPr>
        <w:t xml:space="preserve">成長率の差を踏まえると、AWS(6億円)とAzure(2億円)という現状の絶対額は数年で逆転、あるいは大きく縮小する可能性がある。</w:t>
      </w:r>
    </w:p>
    <w:p>
      <w:pPr>
        <w:pStyle w:val="ListParagraph"/>
        <w:numPr>
          <w:ilvl w:val="0"/>
          <w:numId w:val="2"/>
        </w:numPr>
        <w:spacing w:after="100" w:line="280"/>
      </w:pPr>
      <w:r>
        <w:rPr>
          <w:rFonts w:ascii="Yu Gothic" w:cs="Yu Gothic" w:eastAsia="Yu Gothic" w:hAnsi="Yu Gothic"/>
          <w:sz w:val="21"/>
          <w:szCs w:val="21"/>
        </w:rPr>
        <w:t xml:space="preserve">Azure OpenAIとSQL Server／Microsoftデータベース群という組み合わせは、AI基盤とデータ基盤が一体化しているという意味でAWSのコンピュートロックインよりも強力なロックインを生む。データには重力があり、一度Azureネイティブのデータベース・AIパイプラインに大量のデータと連携ロジックが組み込まれると、後から動かすコストはコンピュートの移行より格段に高くなる。</w:t>
      </w:r>
    </w:p>
    <w:p>
      <w:pPr>
        <w:pStyle w:val="ListParagraph"/>
        <w:numPr>
          <w:ilvl w:val="0"/>
          <w:numId w:val="2"/>
        </w:numPr>
        <w:spacing w:after="100" w:line="280"/>
      </w:pPr>
      <w:r>
        <w:rPr>
          <w:rFonts w:ascii="Yu Gothic" w:cs="Yu Gothic" w:eastAsia="Yu Gothic" w:hAnsi="Yu Gothic"/>
          <w:sz w:val="21"/>
          <w:szCs w:val="21"/>
        </w:rPr>
        <w:t xml:space="preserve">AWS上のビジネスシステム群とAzure／SaaSとの間のデータ中継サーバによる連携は、クロスクラウドの連携アーキテクチャ自体がコストとして積み上がる、どちらのクラウドコストにも明示的に計上されない死角になりやすい。</w:t>
      </w:r>
    </w:p>
    <w:p>
      <w:pPr>
        <w:pStyle w:val="ListParagraph"/>
        <w:numPr>
          <w:ilvl w:val="0"/>
          <w:numId w:val="2"/>
        </w:numPr>
        <w:spacing w:after="100" w:line="280"/>
      </w:pPr>
      <w:r>
        <w:rPr>
          <w:rFonts w:ascii="Yu Gothic" w:cs="Yu Gothic" w:eastAsia="Yu Gothic" w:hAnsi="Yu Gothic"/>
          <w:sz w:val="21"/>
          <w:szCs w:val="21"/>
        </w:rPr>
        <w:t xml:space="preserve">Microsoft Unified Supportは通常、Microsoft全体の消費額(M365、Copilot、Azure、Dynamicsなど)の合計に連動する料金体系であるため、Azureの利用が増えるほど、単体では意識しづらい形でMicrosoft全体との関係性が強化されるという副次的なロックイン効果を持つ。</w:t>
      </w:r>
    </w:p>
    <w:p>
      <w:pPr>
        <w:pStyle w:val="Heading2"/>
        <w:spacing w:after="150" w:before="300"/>
      </w:pPr>
      <w:r>
        <w:rPr>
          <w:rFonts w:ascii="Yu Gothic" w:cs="Yu Gothic" w:eastAsia="Yu Gothic" w:hAnsi="Yu Gothic"/>
          <w:b/>
          <w:bCs/>
          <w:color w:val="2E5395"/>
          <w:sz w:val="25"/>
          <w:szCs w:val="25"/>
        </w:rPr>
        <w:t xml:space="preserve">4.3 対応の方向性：今が交渉力の強いタイミング</w:t>
      </w:r>
    </w:p>
    <w:p>
      <w:pPr>
        <w:spacing w:after="160" w:line="300"/>
      </w:pPr>
      <w:r>
        <w:rPr>
          <w:rFonts w:ascii="Yu Gothic" w:cs="Yu Gothic" w:eastAsia="Yu Gothic" w:hAnsi="Yu Gothic"/>
          <w:sz w:val="21"/>
          <w:szCs w:val="21"/>
        </w:rPr>
        <w:t xml:space="preserve">重要なのは、Azureについてはまだ初期のコスト交渉の段階にあるという点である。AWSやMicrosoftライセンスのように、既に大規模なロックインが完成した後に防戦を強いられている状況とは異なり、数少ない「先手を打てる」局面にある。Azureのシェア拡大(特にAI経由でのインフラ全体の奪取)はMicrosoftにとって全社的な最重要戦略の一つであり、Azureの伸長が始まったばかりの今の段階こそ、Microsoft側がボリュームを取りに来る動機が強く、自社側の交渉レバレッジも相対的に高い。この機を逃し、AWSのケースのように「気づいたら成長後の水準が既成事実化していた」という状態になってから交渉に入ると、同じ轍を踏むことになる。</w:t>
      </w:r>
    </w:p>
    <w:p>
      <w:pPr>
        <w:pStyle w:val="ListParagraph"/>
        <w:numPr>
          <w:ilvl w:val="0"/>
          <w:numId w:val="2"/>
        </w:numPr>
        <w:spacing w:after="100" w:line="280"/>
      </w:pPr>
      <w:r>
        <w:rPr>
          <w:rFonts w:ascii="Yu Gothic" w:cs="Yu Gothic" w:eastAsia="Yu Gothic" w:hAnsi="Yu Gothic"/>
          <w:sz w:val="21"/>
          <w:szCs w:val="21"/>
        </w:rPr>
        <w:t xml:space="preserve">AI機能の必要性(Azure OpenAI採用)と、コンピュート・データ基盤としてのAzure採用を意思決定として明確に分離する。現場判断を暗黙のデフォルトにせず、アーキテクチャレビューの場で都度明示的に評価するガバナンスを導入する。</w:t>
      </w:r>
    </w:p>
    <w:p>
      <w:pPr>
        <w:pStyle w:val="ListParagraph"/>
        <w:numPr>
          <w:ilvl w:val="0"/>
          <w:numId w:val="2"/>
        </w:numPr>
        <w:spacing w:after="100" w:line="280"/>
      </w:pPr>
      <w:r>
        <w:rPr>
          <w:rFonts w:ascii="Yu Gothic" w:cs="Yu Gothic" w:eastAsia="Yu Gothic" w:hAnsi="Yu Gothic"/>
          <w:sz w:val="21"/>
          <w:szCs w:val="21"/>
        </w:rPr>
        <w:t xml:space="preserve">AWSのケースで得た教訓(最適化前の基準値でコミットしない)をAzureにも適用する。AI関連の利用パターンはまだ発展途上で、モデルコストの低下や代替手段の進展によって数年内に大きく変わる可能性が高く、この不安定な段階の消費実績を基準に長期コミットを結ぶと、AWSと同じ「凍結」の罠に、より大きな金額規模で陥るリスクがある。</w:t>
      </w:r>
    </w:p>
    <w:p>
      <w:pPr>
        <w:pStyle w:val="ListParagraph"/>
        <w:numPr>
          <w:ilvl w:val="0"/>
          <w:numId w:val="2"/>
        </w:numPr>
        <w:spacing w:after="100" w:line="280"/>
      </w:pPr>
      <w:r>
        <w:rPr>
          <w:rFonts w:ascii="Yu Gothic" w:cs="Yu Gothic" w:eastAsia="Yu Gothic" w:hAnsi="Yu Gothic"/>
          <w:sz w:val="21"/>
          <w:szCs w:val="21"/>
        </w:rPr>
        <w:t xml:space="preserve">Azure OpenAI(AI消費)の契約と、Azureのその他インフラサービス(コンピュート・データベース等)の契約を交渉上意図的に分離する。AIを入口にインフラ全体のバンドル拡大を図ってくる可能性を踏まえ、AIは使うがそれ以外のインフラ選定は独立して評価するという立場を交渉の前提とする。</w:t>
      </w:r>
    </w:p>
    <w:p>
      <w:pPr>
        <w:pStyle w:val="ListParagraph"/>
        <w:numPr>
          <w:ilvl w:val="0"/>
          <w:numId w:val="2"/>
        </w:numPr>
        <w:spacing w:after="100" w:line="280"/>
      </w:pPr>
      <w:r>
        <w:rPr>
          <w:rFonts w:ascii="Yu Gothic" w:cs="Yu Gothic" w:eastAsia="Yu Gothic" w:hAnsi="Yu Gothic"/>
          <w:sz w:val="21"/>
          <w:szCs w:val="21"/>
        </w:rPr>
        <w:t xml:space="preserve">Unified Supportを含め、M365ライセンス・Copilot・Azureという複数のMicrosoft関連契約を社内で別々の担当が個別に交渉するのではなく、Microsoftとの関係全体を一元的に見る体制に統合する。</w:t>
      </w:r>
    </w:p>
    <w:p>
      <w:pPr>
        <w:pStyle w:val="ListParagraph"/>
        <w:numPr>
          <w:ilvl w:val="0"/>
          <w:numId w:val="2"/>
        </w:numPr>
        <w:spacing w:after="100" w:line="280"/>
      </w:pPr>
      <w:r>
        <w:rPr>
          <w:rFonts w:ascii="Yu Gothic" w:cs="Yu Gothic" w:eastAsia="Yu Gothic" w:hAnsi="Yu Gothic"/>
          <w:sz w:val="21"/>
          <w:szCs w:val="21"/>
        </w:rPr>
        <w:t xml:space="preserve">データ基盤について、Azure専用機能への依存度が高まる前に、可能な範囲でデータの可搬性(ポータビリティ)を意識したアーキテクチャ設計指針を今のうちに定める。</w:t>
      </w:r>
    </w:p>
    <w:p>
      <w:pPr>
        <w:pStyle w:val="ListParagraph"/>
        <w:numPr>
          <w:ilvl w:val="0"/>
          <w:numId w:val="2"/>
        </w:numPr>
        <w:spacing w:after="100" w:line="280"/>
      </w:pPr>
      <w:r>
        <w:rPr>
          <w:rFonts w:ascii="Yu Gothic" w:cs="Yu Gothic" w:eastAsia="Yu Gothic" w:hAnsi="Yu Gothic"/>
          <w:sz w:val="21"/>
          <w:szCs w:val="21"/>
        </w:rPr>
        <w:t xml:space="preserve">AIモデル・プラットフォームについて、Azure OpenAI一本足にせず、技術的な抽象化層(モデルゲートウェイ等)を設けることで、将来的に他プロバイダーへの切り替えや併用が可能な状態を維持する。これは即座の切り替えのためではなく、Azureとの交渉における「クレディブルな代替性」を技術面で担保するためのものである。</w:t>
      </w:r>
    </w:p>
    <w:p>
      <w:pPr>
        <w:pStyle w:val="ListParagraph"/>
        <w:numPr>
          <w:ilvl w:val="0"/>
          <w:numId w:val="2"/>
        </w:numPr>
        <w:spacing w:after="100" w:line="280"/>
      </w:pPr>
      <w:r>
        <w:rPr>
          <w:rFonts w:ascii="Yu Gothic" w:cs="Yu Gothic" w:eastAsia="Yu Gothic" w:hAnsi="Yu Gothic"/>
          <w:sz w:val="21"/>
          <w:szCs w:val="21"/>
        </w:rPr>
        <w:t xml:space="preserve">クラウド予算全体における配分方針(どの領域をAWSに残し、どの領域をAzureに寄せるかという意図的な設計)を明文化し、以後の新規システム構築の判断基準とする。</w:t>
      </w:r>
    </w:p>
    <w:p>
      <w:pPr>
        <w:pStyle w:val="Heading1"/>
        <w:pBdr>
          <w:bottom w:val="single" w:color="1F3864" w:sz="8" w:space="4"/>
        </w:pBdr>
        <w:spacing w:after="200" w:before="400"/>
      </w:pPr>
      <w:r>
        <w:rPr>
          <w:rFonts w:ascii="Yu Gothic" w:cs="Yu Gothic" w:eastAsia="Yu Gothic" w:hAnsi="Yu Gothic"/>
          <w:b/>
          <w:bCs/>
          <w:color w:val="1F3864"/>
          <w:sz w:val="30"/>
          <w:szCs w:val="30"/>
        </w:rPr>
        <w:t xml:space="preserve">5. AWS・Microsoft　契約体系とコスト体系のリファレンス</w:t>
      </w:r>
    </w:p>
    <w:p>
      <w:pPr>
        <w:spacing w:after="160" w:line="300"/>
      </w:pPr>
      <w:r>
        <w:rPr>
          <w:rFonts w:ascii="Yu Gothic" w:cs="Yu Gothic" w:eastAsia="Yu Gothic" w:hAnsi="Yu Gothic"/>
          <w:sz w:val="21"/>
          <w:szCs w:val="21"/>
        </w:rPr>
        <w:t xml:space="preserve">以下は、一般消費者向け契約・無料枠を除き、企業のIT組織におけるベンダーマネジメント担当として押さえておくべき契約体系・コスト体系を整理したものである。</w:t>
      </w:r>
    </w:p>
    <w:p>
      <w:pPr>
        <w:pStyle w:val="Heading2"/>
        <w:spacing w:after="150" w:before="300"/>
      </w:pPr>
      <w:r>
        <w:rPr>
          <w:rFonts w:ascii="Yu Gothic" w:cs="Yu Gothic" w:eastAsia="Yu Gothic" w:hAnsi="Yu Gothic"/>
          <w:b/>
          <w:bCs/>
          <w:color w:val="2E5395"/>
          <w:sz w:val="25"/>
          <w:szCs w:val="25"/>
        </w:rPr>
        <w:t xml:space="preserve">5.1 AWS</w:t>
      </w:r>
    </w:p>
    <w:p>
      <w:pPr>
        <w:spacing w:after="160" w:line="300"/>
      </w:pPr>
      <w:r>
        <w:rPr>
          <w:rFonts w:ascii="Yu Gothic" w:cs="Yu Gothic" w:eastAsia="Yu Gothic" w:hAnsi="Yu Gothic"/>
          <w:sz w:val="21"/>
          <w:szCs w:val="21"/>
        </w:rPr>
        <w:t xml:space="preserve">AWSの基本思想は「オンデマンド課金がデフォルトであり、そこからいかにコミットメントによって値引きを引き出すか」という一本の軸に集約される。まずは契約種類ごとの全体像を一表にまとめ、続けて各契約の詳細を述べ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700"/>
        <w:gridCol w:w="2826"/>
      </w:tblGrid>
      <w:tr>
        <w:trPr>
          <w:tblHeader/>
        </w:trPr>
        <w:tc>
          <w:tcPr>
            <w:tcW w:type="dxa" w:w="22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契約種類</w:t>
            </w:r>
          </w:p>
        </w:tc>
        <w:tc>
          <w:tcPr>
            <w:tcW w:type="dxa" w:w="13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期間</w:t>
            </w:r>
          </w:p>
        </w:tc>
        <w:tc>
          <w:tcPr>
            <w:tcW w:type="dxa" w:w="27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対象製品・サービス</w:t>
            </w:r>
          </w:p>
        </w:tc>
        <w:tc>
          <w:tcPr>
            <w:tcW w:type="dxa" w:w="2826"/>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値引率・インセンティブ</w:t>
            </w:r>
          </w:p>
        </w:tc>
      </w:tr>
      <w:tr>
        <w:tc>
          <w:tcPr>
            <w:tcW w:type="dxa" w:w="22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AWS Organizations /</w:t>
            </w:r>
          </w:p>
          <w:p>
            <w:pPr>
              <w:spacing w:after="0" w:line="260"/>
            </w:pPr>
            <w:r>
              <w:rPr>
                <w:rFonts w:ascii="Yu Gothic" w:cs="Yu Gothic" w:eastAsia="Yu Gothic" w:hAnsi="Yu Gothic"/>
                <w:b w:val="false"/>
                <w:bCs w:val="false"/>
                <w:color w:val="000000"/>
                <w:sz w:val="18"/>
                <w:szCs w:val="18"/>
              </w:rPr>
              <w:t xml:space="preserve">Consolidated Billing</w:t>
            </w:r>
          </w:p>
        </w:tc>
        <w:tc>
          <w:tcPr>
            <w:tcW w:type="dxa" w:w="13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定めなし</w:t>
            </w:r>
          </w:p>
          <w:p>
            <w:pPr>
              <w:spacing w:after="0" w:line="260"/>
            </w:pPr>
            <w:r>
              <w:rPr>
                <w:rFonts w:ascii="Yu Gothic" w:cs="Yu Gothic" w:eastAsia="Yu Gothic" w:hAnsi="Yu Gothic"/>
                <w:b w:val="false"/>
                <w:bCs w:val="false"/>
                <w:color w:val="000000"/>
                <w:sz w:val="18"/>
                <w:szCs w:val="18"/>
              </w:rPr>
              <w:t xml:space="preserve">(継続的な管理の枠組み)</w:t>
            </w:r>
          </w:p>
        </w:tc>
        <w:tc>
          <w:tcPr>
            <w:tcW w:type="dxa" w:w="27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全AWSサービス</w:t>
            </w:r>
          </w:p>
          <w:p>
            <w:pPr>
              <w:spacing w:after="0" w:line="260"/>
            </w:pPr>
            <w:r>
              <w:rPr>
                <w:rFonts w:ascii="Yu Gothic" w:cs="Yu Gothic" w:eastAsia="Yu Gothic" w:hAnsi="Yu Gothic"/>
                <w:b w:val="false"/>
                <w:bCs w:val="false"/>
                <w:color w:val="000000"/>
                <w:sz w:val="18"/>
                <w:szCs w:val="18"/>
              </w:rPr>
              <w:t xml:space="preserve">(複数アカウントの統合)</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直接の値引きではなく、ボリュームディスカウント・コミット割引を複数アカウントで合算するための基盤</w:t>
            </w:r>
          </w:p>
        </w:tc>
      </w:tr>
      <w:tr>
        <w:tc>
          <w:tcPr>
            <w:tcW w:type="dxa" w:w="22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Reserved Instances</w:t>
            </w:r>
          </w:p>
          <w:p>
            <w:pPr>
              <w:spacing w:after="0" w:line="260"/>
            </w:pPr>
            <w:r>
              <w:rPr>
                <w:rFonts w:ascii="Yu Gothic" w:cs="Yu Gothic" w:eastAsia="Yu Gothic" w:hAnsi="Yu Gothic"/>
                <w:b w:val="false"/>
                <w:bCs w:val="false"/>
                <w:color w:val="000000"/>
                <w:sz w:val="18"/>
                <w:szCs w:val="18"/>
              </w:rPr>
              <w:t xml:space="preserve">(Standard)</w:t>
            </w:r>
          </w:p>
        </w:tc>
        <w:tc>
          <w:tcPr>
            <w:tcW w:type="dxa" w:w="13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1年/3年</w:t>
            </w:r>
          </w:p>
        </w:tc>
        <w:tc>
          <w:tcPr>
            <w:tcW w:type="dxa" w:w="27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EC2等、特定インスタンスタイプ・リージョン</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最大約72%引(構成変更不可・最も硬直的)</w:t>
            </w:r>
          </w:p>
        </w:tc>
      </w:tr>
      <w:tr>
        <w:tc>
          <w:tcPr>
            <w:tcW w:type="dxa" w:w="22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Reserved Instances</w:t>
            </w:r>
          </w:p>
          <w:p>
            <w:pPr>
              <w:spacing w:after="0" w:line="260"/>
            </w:pPr>
            <w:r>
              <w:rPr>
                <w:rFonts w:ascii="Yu Gothic" w:cs="Yu Gothic" w:eastAsia="Yu Gothic" w:hAnsi="Yu Gothic"/>
                <w:b w:val="false"/>
                <w:bCs w:val="false"/>
                <w:color w:val="000000"/>
                <w:sz w:val="18"/>
                <w:szCs w:val="18"/>
              </w:rPr>
              <w:t xml:space="preserve">(Convertible)</w:t>
            </w:r>
          </w:p>
        </w:tc>
        <w:tc>
          <w:tcPr>
            <w:tcW w:type="dxa" w:w="13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1年/3年</w:t>
            </w:r>
          </w:p>
        </w:tc>
        <w:tc>
          <w:tcPr>
            <w:tcW w:type="dxa" w:w="27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EC2、インスタンスファミリー変更可</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Standardよりやや低い割引率</w:t>
            </w:r>
          </w:p>
        </w:tc>
      </w:tr>
      <w:tr>
        <w:tc>
          <w:tcPr>
            <w:tcW w:type="dxa" w:w="22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Savings Plans</w:t>
            </w:r>
          </w:p>
          <w:p>
            <w:pPr>
              <w:spacing w:after="0" w:line="260"/>
            </w:pPr>
            <w:r>
              <w:rPr>
                <w:rFonts w:ascii="Yu Gothic" w:cs="Yu Gothic" w:eastAsia="Yu Gothic" w:hAnsi="Yu Gothic"/>
                <w:b w:val="false"/>
                <w:bCs w:val="false"/>
                <w:color w:val="000000"/>
                <w:sz w:val="18"/>
                <w:szCs w:val="18"/>
              </w:rPr>
              <w:t xml:space="preserve">(Compute)</w:t>
            </w:r>
          </w:p>
        </w:tc>
        <w:tc>
          <w:tcPr>
            <w:tcW w:type="dxa" w:w="13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1年/3年</w:t>
            </w:r>
          </w:p>
        </w:tc>
        <w:tc>
          <w:tcPr>
            <w:tcW w:type="dxa" w:w="27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EC2/Fargate/Lambda等サービス横断</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最大約66%引(柔軟性が高い)</w:t>
            </w:r>
          </w:p>
        </w:tc>
      </w:tr>
      <w:tr>
        <w:tc>
          <w:tcPr>
            <w:tcW w:type="dxa" w:w="22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Savings Plans</w:t>
            </w:r>
          </w:p>
          <w:p>
            <w:pPr>
              <w:spacing w:after="0" w:line="260"/>
            </w:pPr>
            <w:r>
              <w:rPr>
                <w:rFonts w:ascii="Yu Gothic" w:cs="Yu Gothic" w:eastAsia="Yu Gothic" w:hAnsi="Yu Gothic"/>
                <w:b w:val="false"/>
                <w:bCs w:val="false"/>
                <w:color w:val="000000"/>
                <w:sz w:val="18"/>
                <w:szCs w:val="18"/>
              </w:rPr>
              <w:t xml:space="preserve">(EC2 Instance)</w:t>
            </w:r>
          </w:p>
        </w:tc>
        <w:tc>
          <w:tcPr>
            <w:tcW w:type="dxa" w:w="13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1年/3年</w:t>
            </w:r>
          </w:p>
        </w:tc>
        <w:tc>
          <w:tcPr>
            <w:tcW w:type="dxa" w:w="27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特定インスタンスファミリー</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RIに近い割引率</w:t>
            </w:r>
          </w:p>
        </w:tc>
      </w:tr>
      <w:tr>
        <w:tc>
          <w:tcPr>
            <w:tcW w:type="dxa" w:w="22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EDP/PPA</w:t>
            </w:r>
          </w:p>
        </w:tc>
        <w:tc>
          <w:tcPr>
            <w:tcW w:type="dxa" w:w="13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通常1〜3年</w:t>
            </w:r>
          </w:p>
          <w:p>
            <w:pPr>
              <w:spacing w:after="0" w:line="260"/>
            </w:pPr>
            <w:r>
              <w:rPr>
                <w:rFonts w:ascii="Yu Gothic" w:cs="Yu Gothic" w:eastAsia="Yu Gothic" w:hAnsi="Yu Gothic"/>
                <w:b w:val="false"/>
                <w:bCs w:val="false"/>
                <w:color w:val="000000"/>
                <w:sz w:val="18"/>
                <w:szCs w:val="18"/>
              </w:rPr>
              <w:t xml:space="preserve">(大口は複数年)</w:t>
            </w:r>
          </w:p>
        </w:tc>
        <w:tc>
          <w:tcPr>
            <w:tcW w:type="dxa" w:w="27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年間総支出額</w:t>
            </w:r>
          </w:p>
          <w:p>
            <w:pPr>
              <w:spacing w:after="0" w:line="260"/>
            </w:pPr>
            <w:r>
              <w:rPr>
                <w:rFonts w:ascii="Yu Gothic" w:cs="Yu Gothic" w:eastAsia="Yu Gothic" w:hAnsi="Yu Gothic"/>
                <w:b w:val="false"/>
                <w:bCs w:val="false"/>
                <w:color w:val="000000"/>
                <w:sz w:val="18"/>
                <w:szCs w:val="18"/>
              </w:rPr>
              <w:t xml:space="preserve">(クロスサービス/サービス別)</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個別交渉ベース(規模により数%〜20%超)</w:t>
            </w:r>
          </w:p>
        </w:tc>
      </w:tr>
      <w:tr>
        <w:tc>
          <w:tcPr>
            <w:tcW w:type="dxa" w:w="22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MAP</w:t>
            </w:r>
          </w:p>
          <w:p>
            <w:pPr>
              <w:spacing w:after="0" w:line="260"/>
            </w:pPr>
            <w:r>
              <w:rPr>
                <w:rFonts w:ascii="Yu Gothic" w:cs="Yu Gothic" w:eastAsia="Yu Gothic" w:hAnsi="Yu Gothic"/>
                <w:b w:val="false"/>
                <w:bCs w:val="false"/>
                <w:color w:val="000000"/>
                <w:sz w:val="18"/>
                <w:szCs w:val="18"/>
              </w:rPr>
              <w:t xml:space="preserve">(Migration Acceleration Program)</w:t>
            </w:r>
          </w:p>
        </w:tc>
        <w:tc>
          <w:tcPr>
            <w:tcW w:type="dxa" w:w="13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フェーズ単位</w:t>
            </w:r>
          </w:p>
          <w:p>
            <w:pPr>
              <w:spacing w:after="0" w:line="260"/>
            </w:pPr>
            <w:r>
              <w:rPr>
                <w:rFonts w:ascii="Yu Gothic" w:cs="Yu Gothic" w:eastAsia="Yu Gothic" w:hAnsi="Yu Gothic"/>
                <w:b w:val="false"/>
                <w:bCs w:val="false"/>
                <w:color w:val="000000"/>
                <w:sz w:val="18"/>
                <w:szCs w:val="18"/>
              </w:rPr>
              <w:t xml:space="preserve">(対象期間12〜24か月)</w:t>
            </w:r>
          </w:p>
        </w:tc>
        <w:tc>
          <w:tcPr>
            <w:tcW w:type="dxa" w:w="27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移行対象ワークロードの初年度支出(要タグ付け)</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Assess約5%/Mobilize約20%/Migrate15〜25%相当の資金・クレジット</w:t>
            </w:r>
          </w:p>
        </w:tc>
      </w:tr>
      <w:tr>
        <w:tc>
          <w:tcPr>
            <w:tcW w:type="dxa" w:w="22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サポート契約</w:t>
            </w:r>
          </w:p>
          <w:p>
            <w:pPr>
              <w:spacing w:after="0" w:line="260"/>
            </w:pPr>
            <w:r>
              <w:rPr>
                <w:rFonts w:ascii="Yu Gothic" w:cs="Yu Gothic" w:eastAsia="Yu Gothic" w:hAnsi="Yu Gothic"/>
                <w:b w:val="false"/>
                <w:bCs w:val="false"/>
                <w:color w:val="000000"/>
                <w:sz w:val="18"/>
                <w:szCs w:val="18"/>
              </w:rPr>
              <w:t xml:space="preserve">(Business Support+/Enterprise Support/Unified Operations)</w:t>
            </w:r>
          </w:p>
        </w:tc>
        <w:tc>
          <w:tcPr>
            <w:tcW w:type="dxa" w:w="13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定めなし</w:t>
            </w:r>
          </w:p>
          <w:p>
            <w:pPr>
              <w:spacing w:after="0" w:line="260"/>
            </w:pPr>
            <w:r>
              <w:rPr>
                <w:rFonts w:ascii="Yu Gothic" w:cs="Yu Gothic" w:eastAsia="Yu Gothic" w:hAnsi="Yu Gothic"/>
                <w:b w:val="false"/>
                <w:bCs w:val="false"/>
                <w:color w:val="000000"/>
                <w:sz w:val="18"/>
                <w:szCs w:val="18"/>
              </w:rPr>
              <w:t xml:space="preserve">(継続)</w:t>
            </w:r>
          </w:p>
        </w:tc>
        <w:tc>
          <w:tcPr>
            <w:tcW w:type="dxa" w:w="27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AWS利用額全体</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利用額に対する逓減型%課金(最低月額あり。値引きではなく費用体系)</w:t>
            </w:r>
          </w:p>
        </w:tc>
      </w:tr>
    </w:tbl>
    <w:p>
      <w:pPr>
        <w:spacing w:before="200"/>
      </w:pPr>
    </w:p>
    <w:p>
      <w:pPr>
        <w:spacing w:after="160" w:line="300"/>
      </w:pPr>
      <w:r>
        <w:rPr>
          <w:rFonts w:ascii="Yu Gothic" w:cs="Yu Gothic" w:eastAsia="Yu Gothic" w:hAnsi="Yu Gothic"/>
          <w:b/>
          <w:bCs/>
          <w:sz w:val="21"/>
          <w:szCs w:val="21"/>
        </w:rPr>
        <w:t xml:space="preserve">土台：AWS Organizations + Consolidated Billing　</w:t>
      </w:r>
      <w:r>
        <w:rPr>
          <w:rFonts w:ascii="Yu Gothic" w:cs="Yu Gothic" w:eastAsia="Yu Gothic" w:hAnsi="Yu Gothic"/>
          <w:sz w:val="21"/>
          <w:szCs w:val="21"/>
        </w:rPr>
        <w:t xml:space="preserve">複数のAWSアカウントを一つの支払いアカウント配下に統合する仕組み。これ自体はコストそのものではないが、ボリュームディスカウントの合算や、Reserved Instances／Savings Plansの割引を組織内の複数アカウントで共有できるかどうかを決める土台であり、これが整理されていないと、良い契約条件を取っても割引効果が社内で分散してしまう。ベンダーマネジメント上、最初に確認すべき前提条件である。</w:t>
      </w:r>
    </w:p>
    <w:p>
      <w:pPr>
        <w:spacing w:after="160" w:line="300"/>
      </w:pPr>
      <w:r>
        <w:rPr>
          <w:rFonts w:ascii="Yu Gothic" w:cs="Yu Gothic" w:eastAsia="Yu Gothic" w:hAnsi="Yu Gothic"/>
          <w:b/>
          <w:bCs/>
          <w:sz w:val="21"/>
          <w:szCs w:val="21"/>
        </w:rPr>
        <w:t xml:space="preserve">コミットメント型の割引契約　</w:t>
      </w:r>
      <w:r>
        <w:rPr>
          <w:rFonts w:ascii="Yu Gothic" w:cs="Yu Gothic" w:eastAsia="Yu Gothic" w:hAnsi="Yu Gothic"/>
          <w:sz w:val="21"/>
          <w:szCs w:val="21"/>
        </w:rPr>
        <w:t xml:space="preserve">Reserved Instances(Standard：特定インスタンスタイプ・リージョン固定、1年/3年、割引率は最大級だが最も硬直的／Convertible：インスタンスファミリー変更可、Standardより割引率は下がる)、Savings Plans(Compute：時間あたりドル額のコミット、サービス横断で柔軟に適用／EC2 Instance：特定インスタンスファミリー限定、RIに近い割引率)、EDP(Enterprise Discount Program)・PPA(Private Pricing Agreement：年間総支出額を基準とした個別交渉ベースの割引。現在この2つは実務上ほぼ同一の仕組みに収斂しており、AWS自身も「クロスサービス割引」「サービス別割引」という呼び方への整理を進めている段階)。</w:t>
      </w:r>
    </w:p>
    <w:p>
      <w:pPr>
        <w:spacing w:after="160" w:line="300"/>
      </w:pPr>
      <w:r>
        <w:rPr>
          <w:rFonts w:ascii="Yu Gothic" w:cs="Yu Gothic" w:eastAsia="Yu Gothic" w:hAnsi="Yu Gothic"/>
          <w:b/>
          <w:bCs/>
          <w:sz w:val="21"/>
          <w:szCs w:val="21"/>
        </w:rPr>
        <w:t xml:space="preserve">サポート契約　</w:t>
      </w:r>
      <w:r>
        <w:rPr>
          <w:rFonts w:ascii="Yu Gothic" w:cs="Yu Gothic" w:eastAsia="Yu Gothic" w:hAnsi="Yu Gothic"/>
          <w:sz w:val="21"/>
          <w:szCs w:val="21"/>
        </w:rPr>
        <w:t xml:space="preserve">Business Support+(最低月額$29、AWS利用額に対し9％〈〜$10K〉→7％〈〜$80K〉→5％〈〜$250K〉→3％〈$250K超〉)、Enterprise Support(最低月額$5,000、10％〈〜$150K〉→7％〈〜$500K〉→5％〈〜$1M〉→3％〈$1M超〉)、Unified Operations(最低月額$50,000、10％〈〜$1M〉→6％〈〜$5M〉→5％〈$5M超〉)。サポート費用は利用額に自動連動する「隠れた変動費」であり、EDP/PPA交渉の際はサポート費用込みの実質単価で比較する必要がある。</w:t>
      </w:r>
    </w:p>
    <w:p>
      <w:pPr>
        <w:spacing w:after="160" w:line="300"/>
      </w:pPr>
      <w:r>
        <w:rPr>
          <w:rFonts w:ascii="Yu Gothic" w:cs="Yu Gothic" w:eastAsia="Yu Gothic" w:hAnsi="Yu Gothic"/>
          <w:b/>
          <w:bCs/>
          <w:sz w:val="21"/>
          <w:szCs w:val="21"/>
        </w:rPr>
        <w:t xml:space="preserve">AWS Marketplace　</w:t>
      </w:r>
      <w:r>
        <w:rPr>
          <w:rFonts w:ascii="Yu Gothic" w:cs="Yu Gothic" w:eastAsia="Yu Gothic" w:hAnsi="Yu Gothic"/>
          <w:sz w:val="21"/>
          <w:szCs w:val="21"/>
        </w:rPr>
        <w:t xml:space="preserve">サードパーティソフトウェアの調達チャネルで、Private Offer経由の購入がEDP/PPAのコミット消化に充当できる場合がある。ソフトウェア調達をMarketplace経由に寄せることで、単一の契約枠内でコミット消化と調達効率化を同時に図れる余地がある。</w:t>
      </w:r>
    </w:p>
    <w:p>
      <w:pPr>
        <w:pStyle w:val="Heading2"/>
        <w:spacing w:after="150" w:before="300"/>
      </w:pPr>
      <w:r>
        <w:rPr>
          <w:rFonts w:ascii="Yu Gothic" w:cs="Yu Gothic" w:eastAsia="Yu Gothic" w:hAnsi="Yu Gothic"/>
          <w:b/>
          <w:bCs/>
          <w:color w:val="2E5395"/>
          <w:sz w:val="25"/>
          <w:szCs w:val="25"/>
        </w:rPr>
        <w:t xml:space="preserve">5.2 Microsoft</w:t>
      </w:r>
    </w:p>
    <w:p>
      <w:pPr>
        <w:spacing w:after="160" w:line="300"/>
      </w:pPr>
      <w:r>
        <w:rPr>
          <w:rFonts w:ascii="Yu Gothic" w:cs="Yu Gothic" w:eastAsia="Yu Gothic" w:hAnsi="Yu Gothic"/>
          <w:sz w:val="21"/>
          <w:szCs w:val="21"/>
        </w:rPr>
        <w:t xml:space="preserve">Microsoftの構造はAWSより複雑で、「どの契約ビークルを結ぶか」「Azureの消費コミットをどう設計するか」「サポートをどう契約するか」という3層が別々の交渉軸として存在し、かつ相互に連動する。まずは契約種類ごとの全体像を一表にまとめ、続けて各契約の詳細を述べ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700"/>
        <w:gridCol w:w="2826"/>
      </w:tblGrid>
      <w:tr>
        <w:trPr>
          <w:tblHeader/>
        </w:trPr>
        <w:tc>
          <w:tcPr>
            <w:tcW w:type="dxa" w:w="22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契約種類</w:t>
            </w:r>
          </w:p>
        </w:tc>
        <w:tc>
          <w:tcPr>
            <w:tcW w:type="dxa" w:w="13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期間</w:t>
            </w:r>
          </w:p>
        </w:tc>
        <w:tc>
          <w:tcPr>
            <w:tcW w:type="dxa" w:w="27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対象製品・サービス</w:t>
            </w:r>
          </w:p>
        </w:tc>
        <w:tc>
          <w:tcPr>
            <w:tcW w:type="dxa" w:w="2826"/>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値引率・インセンティブ</w:t>
            </w:r>
          </w:p>
        </w:tc>
      </w:tr>
      <w:tr>
        <w:tc>
          <w:tcPr>
            <w:tcW w:type="dxa" w:w="22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EA</w:t>
            </w:r>
          </w:p>
          <w:p>
            <w:pPr>
              <w:spacing w:after="0" w:line="260"/>
            </w:pPr>
            <w:r>
              <w:rPr>
                <w:rFonts w:ascii="Yu Gothic" w:cs="Yu Gothic" w:eastAsia="Yu Gothic" w:hAnsi="Yu Gothic"/>
                <w:b w:val="false"/>
                <w:bCs w:val="false"/>
                <w:color w:val="000000"/>
                <w:sz w:val="18"/>
                <w:szCs w:val="18"/>
              </w:rPr>
              <w:t xml:space="preserve">(Enterprise Agreement)</w:t>
            </w:r>
          </w:p>
        </w:tc>
        <w:tc>
          <w:tcPr>
            <w:tcW w:type="dxa" w:w="13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3年</w:t>
            </w:r>
          </w:p>
          <w:p>
            <w:pPr>
              <w:spacing w:after="0" w:line="260"/>
            </w:pPr>
            <w:r>
              <w:rPr>
                <w:rFonts w:ascii="Yu Gothic" w:cs="Yu Gothic" w:eastAsia="Yu Gothic" w:hAnsi="Yu Gothic"/>
                <w:b w:val="false"/>
                <w:bCs w:val="false"/>
                <w:color w:val="000000"/>
                <w:sz w:val="18"/>
                <w:szCs w:val="18"/>
              </w:rPr>
              <w:t xml:space="preserve">(年次更新)</w:t>
            </w:r>
          </w:p>
        </w:tc>
        <w:tc>
          <w:tcPr>
            <w:tcW w:type="dxa" w:w="27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M365/Windows/EMS等ユーザーライセンス全般</w:t>
            </w:r>
          </w:p>
          <w:p>
            <w:pPr>
              <w:spacing w:after="0" w:line="260"/>
            </w:pPr>
            <w:r>
              <w:rPr>
                <w:rFonts w:ascii="Yu Gothic" w:cs="Yu Gothic" w:eastAsia="Yu Gothic" w:hAnsi="Yu Gothic"/>
                <w:b w:val="false"/>
                <w:bCs w:val="false"/>
                <w:color w:val="000000"/>
                <w:sz w:val="18"/>
                <w:szCs w:val="18"/>
              </w:rPr>
              <w:t xml:space="preserve">(事実上6,000ユーザー以上が対象)</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レベル帯による交渉制割引(規模により概ね15〜40%)</w:t>
            </w:r>
          </w:p>
        </w:tc>
      </w:tr>
      <w:tr>
        <w:tc>
          <w:tcPr>
            <w:tcW w:type="dxa" w:w="22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MCA-E</w:t>
            </w:r>
          </w:p>
          <w:p>
            <w:pPr>
              <w:spacing w:after="0" w:line="260"/>
            </w:pPr>
            <w:r>
              <w:rPr>
                <w:rFonts w:ascii="Yu Gothic" w:cs="Yu Gothic" w:eastAsia="Yu Gothic" w:hAnsi="Yu Gothic"/>
                <w:b w:val="false"/>
                <w:bCs w:val="false"/>
                <w:color w:val="000000"/>
                <w:sz w:val="18"/>
                <w:szCs w:val="18"/>
              </w:rPr>
              <w:t xml:space="preserve">(Microsoft Customer Agreement for Enterprise)</w:t>
            </w:r>
          </w:p>
        </w:tc>
        <w:tc>
          <w:tcPr>
            <w:tcW w:type="dxa" w:w="13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3年</w:t>
            </w:r>
          </w:p>
          <w:p>
            <w:pPr>
              <w:spacing w:after="0" w:line="260"/>
            </w:pPr>
            <w:r>
              <w:rPr>
                <w:rFonts w:ascii="Yu Gothic" w:cs="Yu Gothic" w:eastAsia="Yu Gothic" w:hAnsi="Yu Gothic"/>
                <w:b w:val="false"/>
                <w:bCs w:val="false"/>
                <w:color w:val="000000"/>
                <w:sz w:val="18"/>
                <w:szCs w:val="18"/>
              </w:rPr>
              <w:t xml:space="preserve">(月次消費課金)</w:t>
            </w:r>
          </w:p>
        </w:tc>
        <w:tc>
          <w:tcPr>
            <w:tcW w:type="dxa" w:w="27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EA対象外・下位帯顧客向け全製品</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list価格からの個別交渉ディスカウント(概ね5〜20%)</w:t>
            </w:r>
          </w:p>
        </w:tc>
      </w:tr>
      <w:tr>
        <w:tc>
          <w:tcPr>
            <w:tcW w:type="dxa" w:w="22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CSP + NCE</w:t>
            </w:r>
          </w:p>
        </w:tc>
        <w:tc>
          <w:tcPr>
            <w:tcW w:type="dxa" w:w="13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月次/年次</w:t>
            </w:r>
          </w:p>
          <w:p>
            <w:pPr>
              <w:spacing w:after="0" w:line="260"/>
            </w:pPr>
            <w:r>
              <w:rPr>
                <w:rFonts w:ascii="Yu Gothic" w:cs="Yu Gothic" w:eastAsia="Yu Gothic" w:hAnsi="Yu Gothic"/>
                <w:b w:val="false"/>
                <w:bCs w:val="false"/>
                <w:color w:val="000000"/>
                <w:sz w:val="18"/>
                <w:szCs w:val="18"/>
              </w:rPr>
              <w:t xml:space="preserve">(シート単位)</w:t>
            </w:r>
          </w:p>
        </w:tc>
        <w:tc>
          <w:tcPr>
            <w:tcW w:type="dxa" w:w="27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中堅規模向け全製品</w:t>
            </w:r>
          </w:p>
          <w:p>
            <w:pPr>
              <w:spacing w:after="0" w:line="260"/>
            </w:pPr>
            <w:r>
              <w:rPr>
                <w:rFonts w:ascii="Yu Gothic" w:cs="Yu Gothic" w:eastAsia="Yu Gothic" w:hAnsi="Yu Gothic"/>
                <w:b w:val="false"/>
                <w:bCs w:val="false"/>
                <w:color w:val="000000"/>
                <w:sz w:val="18"/>
                <w:szCs w:val="18"/>
              </w:rPr>
              <w:t xml:space="preserve">(リセラー経由)</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リセラーとの個別条件(年間コミットしたシート数は契約期間中削減不可)</w:t>
            </w:r>
          </w:p>
        </w:tc>
      </w:tr>
      <w:tr>
        <w:tc>
          <w:tcPr>
            <w:tcW w:type="dxa" w:w="22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MACC</w:t>
            </w:r>
          </w:p>
          <w:p>
            <w:pPr>
              <w:spacing w:after="0" w:line="260"/>
            </w:pPr>
            <w:r>
              <w:rPr>
                <w:rFonts w:ascii="Yu Gothic" w:cs="Yu Gothic" w:eastAsia="Yu Gothic" w:hAnsi="Yu Gothic"/>
                <w:b w:val="false"/>
                <w:bCs w:val="false"/>
                <w:color w:val="000000"/>
                <w:sz w:val="18"/>
                <w:szCs w:val="18"/>
              </w:rPr>
              <w:t xml:space="preserve">(Azure Consumption Commitment)</w:t>
            </w:r>
          </w:p>
        </w:tc>
        <w:tc>
          <w:tcPr>
            <w:tcW w:type="dxa" w:w="13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通常EA/MCA-Eと同じ3年</w:t>
            </w:r>
          </w:p>
        </w:tc>
        <w:tc>
          <w:tcPr>
            <w:tcW w:type="dxa" w:w="27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Azure消費額</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割引そのものではなく、予約割引・個別割引への「アクセス資格」</w:t>
            </w:r>
          </w:p>
        </w:tc>
      </w:tr>
      <w:tr>
        <w:tc>
          <w:tcPr>
            <w:tcW w:type="dxa" w:w="22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Unified Support</w:t>
            </w:r>
          </w:p>
        </w:tc>
        <w:tc>
          <w:tcPr>
            <w:tcW w:type="dxa" w:w="13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定めなし</w:t>
            </w:r>
          </w:p>
          <w:p>
            <w:pPr>
              <w:spacing w:after="0" w:line="260"/>
            </w:pPr>
            <w:r>
              <w:rPr>
                <w:rFonts w:ascii="Yu Gothic" w:cs="Yu Gothic" w:eastAsia="Yu Gothic" w:hAnsi="Yu Gothic"/>
                <w:b w:val="false"/>
                <w:bCs w:val="false"/>
                <w:color w:val="000000"/>
                <w:sz w:val="18"/>
                <w:szCs w:val="18"/>
              </w:rPr>
              <w:t xml:space="preserve">(通常EA等と合わせて更新)</w:t>
            </w:r>
          </w:p>
        </w:tc>
        <w:tc>
          <w:tcPr>
            <w:tcW w:type="dxa" w:w="27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Microsoft全体支出額</w:t>
            </w:r>
          </w:p>
          <w:p>
            <w:pPr>
              <w:spacing w:after="0" w:line="260"/>
            </w:pPr>
            <w:r>
              <w:rPr>
                <w:rFonts w:ascii="Yu Gothic" w:cs="Yu Gothic" w:eastAsia="Yu Gothic" w:hAnsi="Yu Gothic"/>
                <w:b w:val="false"/>
                <w:bCs w:val="false"/>
                <w:color w:val="000000"/>
                <w:sz w:val="18"/>
                <w:szCs w:val="18"/>
              </w:rPr>
              <w:t xml:space="preserve">(オンプレ含む)</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Core/Advanced/Performanceの3階層(総支出額の概ね6〜12%)</w:t>
            </w:r>
          </w:p>
        </w:tc>
      </w:tr>
      <w:tr>
        <w:tc>
          <w:tcPr>
            <w:tcW w:type="dxa" w:w="22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Software Assurance</w:t>
            </w:r>
          </w:p>
          <w:p>
            <w:pPr>
              <w:spacing w:after="0" w:line="260"/>
            </w:pPr>
            <w:r>
              <w:rPr>
                <w:rFonts w:ascii="Yu Gothic" w:cs="Yu Gothic" w:eastAsia="Yu Gothic" w:hAnsi="Yu Gothic"/>
                <w:b w:val="false"/>
                <w:bCs w:val="false"/>
                <w:color w:val="000000"/>
                <w:sz w:val="18"/>
                <w:szCs w:val="18"/>
              </w:rPr>
              <w:t xml:space="preserve">(SA)</w:t>
            </w:r>
          </w:p>
        </w:tc>
        <w:tc>
          <w:tcPr>
            <w:tcW w:type="dxa" w:w="13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EA契約期間に連動</w:t>
            </w:r>
          </w:p>
        </w:tc>
        <w:tc>
          <w:tcPr>
            <w:tcW w:type="dxa" w:w="27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対象ライセンスのアップグレード権・保守権</w:t>
            </w:r>
          </w:p>
        </w:tc>
        <w:tc>
          <w:tcPr>
            <w:tcW w:type="dxa" w:w="28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割引ではなく権利(新バージョンへの無償アップグレード等)</w:t>
            </w:r>
          </w:p>
        </w:tc>
      </w:tr>
    </w:tbl>
    <w:p>
      <w:pPr>
        <w:spacing w:before="200"/>
      </w:pPr>
    </w:p>
    <w:p>
      <w:pPr>
        <w:spacing w:after="160" w:line="300"/>
      </w:pPr>
      <w:r>
        <w:rPr>
          <w:rFonts w:ascii="Yu Gothic" w:cs="Yu Gothic" w:eastAsia="Yu Gothic" w:hAnsi="Yu Gothic"/>
          <w:b/>
          <w:bCs/>
          <w:sz w:val="21"/>
          <w:szCs w:val="21"/>
        </w:rPr>
        <w:t xml:space="preserve">契約ビークル　</w:t>
      </w:r>
      <w:r>
        <w:rPr>
          <w:rFonts w:ascii="Yu Gothic" w:cs="Yu Gothic" w:eastAsia="Yu Gothic" w:hAnsi="Yu Gothic"/>
          <w:sz w:val="21"/>
          <w:szCs w:val="21"/>
        </w:rPr>
        <w:t xml:space="preserve">EA(Enterprise Agreement：3年、年次更新〈アニバーサリー〉、ユーザー数に応じたレベル帯による割引〈交渉制〉、年次true-up〈増加分のみ反映、true-downなし〉。下位レベル帯〈旧Level A/B〉は既に廃止され、事実上の下限は6,000ユーザー規模まで引き上げられている)、MCA-E(Microsoft Customer Agreement for Enterprise：3年、月次消費ベース課金、list価格からの個別交渉ディスカウント〈概ね5〜20％〉、true-upの概念自体がなく月次消費で自動反映。下位レベル帯から外れた顧客の受け皿としてMicrosoftが積極的に誘導している)、CSP+NCE(Cloud Solution Provider＋New Commerce Experience：リセラー経由、月次/年次のシート契約、年間コミットしたシート数は契約期間中の削減不可)。</w:t>
      </w:r>
    </w:p>
    <w:p>
      <w:pPr>
        <w:spacing w:after="160" w:line="300"/>
      </w:pPr>
      <w:r>
        <w:rPr>
          <w:rFonts w:ascii="Yu Gothic" w:cs="Yu Gothic" w:eastAsia="Yu Gothic" w:hAnsi="Yu Gothic"/>
          <w:b/>
          <w:bCs/>
          <w:sz w:val="21"/>
          <w:szCs w:val="21"/>
        </w:rPr>
        <w:t xml:space="preserve">MACC(Microsoft Azure Consumption Commitment)　</w:t>
      </w:r>
      <w:r>
        <w:rPr>
          <w:rFonts w:ascii="Yu Gothic" w:cs="Yu Gothic" w:eastAsia="Yu Gothic" w:hAnsi="Yu Gothic"/>
          <w:sz w:val="21"/>
          <w:szCs w:val="21"/>
        </w:rPr>
        <w:t xml:space="preserve">EAまたはMCA-Eの中に組み込まれる、Azure消費額に関する別枠のコミット。MACCそのものは割引ではなく、Reserved Instances相当の予約割引やEAレベルの個別割引にアクセスするための「資格」という位置づけである点が最も誤解されやすい。期間は通常EA/MCA-Eと同じ3年。消費不足が生じた場合は契約終了時に未消化分の支払い義務が発生し(標準では減額調整なし、交渉次第で1〜3割程度の見直し余地)、コミットを超過した分はあらかじめ超過時の単価を交渉していないとオンデマンド料金に戻り、コミット単価より3〜5割程度割高になるリスクがある。Microsoft側の営業は見込み消費額の上限に近い水準でのコミットを提案してくる傾向があるため、見込みの下限に1〜1.5割のバッファを乗せた保守的な水準で設計するのが定石である。</w:t>
      </w:r>
    </w:p>
    <w:p>
      <w:pPr>
        <w:spacing w:after="160" w:line="300"/>
      </w:pPr>
      <w:r>
        <w:rPr>
          <w:rFonts w:ascii="Yu Gothic" w:cs="Yu Gothic" w:eastAsia="Yu Gothic" w:hAnsi="Yu Gothic"/>
          <w:b/>
          <w:bCs/>
          <w:sz w:val="21"/>
          <w:szCs w:val="21"/>
        </w:rPr>
        <w:t xml:space="preserve">サポート契約：Unified Support　</w:t>
      </w:r>
      <w:r>
        <w:rPr>
          <w:rFonts w:ascii="Yu Gothic" w:cs="Yu Gothic" w:eastAsia="Yu Gothic" w:hAnsi="Yu Gothic"/>
          <w:sz w:val="21"/>
          <w:szCs w:val="21"/>
        </w:rPr>
        <w:t xml:space="preserve">Core(最低年額$25,000、Office/クライアント系6％・Azure/Dynamics系8％)、Advanced(最低年額$50,000、8％・10％)、Performance(最低年額$175,000、10％・12％)の3階層。実際の請求額は「最低年額」と「総支出額に対する料率計算」のいずれか高い方が適用される。Azure/Dynamics系の料率がOffice系より高く設定されているため、AzureのAI関連支出が増えるほどサポート費用が加速度的に増加する構造になっている点に注意が必要である。</w:t>
      </w:r>
    </w:p>
    <w:p>
      <w:pPr>
        <w:spacing w:after="160" w:line="300"/>
      </w:pPr>
      <w:r>
        <w:rPr>
          <w:rFonts w:ascii="Yu Gothic" w:cs="Yu Gothic" w:eastAsia="Yu Gothic" w:hAnsi="Yu Gothic"/>
          <w:b/>
          <w:bCs/>
          <w:sz w:val="21"/>
          <w:szCs w:val="21"/>
        </w:rPr>
        <w:t xml:space="preserve">Software Assurance(SA)　</w:t>
      </w:r>
      <w:r>
        <w:rPr>
          <w:rFonts w:ascii="Yu Gothic" w:cs="Yu Gothic" w:eastAsia="Yu Gothic" w:hAnsi="Yu Gothic"/>
          <w:sz w:val="21"/>
          <w:szCs w:val="21"/>
        </w:rPr>
        <w:t xml:space="preserve">旧来のEAに含まれてきた、アップグレード権・保守権に相当する要素。EAの相対的な重要性が下がっていく中で新規契約における比重は下がりつつあるが、既存EA契約の内容を理解する上では引き続き必要な知識である。</w:t>
      </w:r>
    </w:p>
    <w:p>
      <w:pPr>
        <w:pStyle w:val="Heading2"/>
        <w:spacing w:after="150" w:before="300"/>
      </w:pPr>
      <w:r>
        <w:rPr>
          <w:rFonts w:ascii="Yu Gothic" w:cs="Yu Gothic" w:eastAsia="Yu Gothic" w:hAnsi="Yu Gothic"/>
          <w:b/>
          <w:bCs/>
          <w:color w:val="2E5395"/>
          <w:sz w:val="25"/>
          <w:szCs w:val="25"/>
        </w:rPr>
        <w:t xml:space="preserve">5.3 基準点とタイミングの所在</w:t>
      </w:r>
    </w:p>
    <w:p>
      <w:pPr>
        <w:spacing w:after="160" w:line="300"/>
      </w:pPr>
      <w:r>
        <w:rPr>
          <w:rFonts w:ascii="Yu Gothic" w:cs="Yu Gothic" w:eastAsia="Yu Gothic" w:hAnsi="Yu Gothic"/>
          <w:sz w:val="21"/>
          <w:szCs w:val="21"/>
        </w:rPr>
        <w:t xml:space="preserve">「基準点とタイミングをベンダーに握らせない」という原則は、実務上、AWSにおいてはEDP/PPAのコミット額算定基準となる利用量の測定期間、Microsoftにおいては①EA更新時にどのレベル帯に位置づけられるか、②MACCのコミット水準とその算定根拠となる消費実績、③Unified Supportの料率計算のベースとなる総支出額、の3点に集約される。次回交渉に向けて準備すべきデータは「現在の利用実績」だけでなく「最適化後にあり得る利用水準の試算」であり、これを持たずに交渉に入ると、いずれの契約体系においても現状の(最適化前の)水準がそのまま基準点として固定されてしまう。</w:t>
      </w:r>
    </w:p>
    <w:p>
      <w:pPr>
        <w:pStyle w:val="Heading1"/>
        <w:pBdr>
          <w:bottom w:val="single" w:color="1F3864" w:sz="8" w:space="4"/>
        </w:pBdr>
        <w:spacing w:after="200" w:before="400"/>
      </w:pPr>
      <w:r>
        <w:rPr>
          <w:rFonts w:ascii="Yu Gothic" w:cs="Yu Gothic" w:eastAsia="Yu Gothic" w:hAnsi="Yu Gothic"/>
          <w:b/>
          <w:bCs/>
          <w:color w:val="1F3864"/>
          <w:sz w:val="30"/>
          <w:szCs w:val="30"/>
        </w:rPr>
        <w:t xml:space="preserve">6. 追加の実務論点</w:t>
      </w:r>
    </w:p>
    <w:p>
      <w:pPr>
        <w:pStyle w:val="Heading2"/>
        <w:spacing w:after="150" w:before="300"/>
      </w:pPr>
      <w:r>
        <w:rPr>
          <w:rFonts w:ascii="Yu Gothic" w:cs="Yu Gothic" w:eastAsia="Yu Gothic" w:hAnsi="Yu Gothic"/>
          <w:b/>
          <w:bCs/>
          <w:color w:val="2E5395"/>
          <w:sz w:val="25"/>
          <w:szCs w:val="25"/>
        </w:rPr>
        <w:t xml:space="preserve">6.1 2026年7月のM365価格改定(優先度の高い確認事項)</w:t>
      </w:r>
    </w:p>
    <w:p>
      <w:pPr>
        <w:spacing w:after="160" w:line="300"/>
      </w:pPr>
      <w:r>
        <w:rPr>
          <w:rFonts w:ascii="Yu Gothic" w:cs="Yu Gothic" w:eastAsia="Yu Gothic" w:hAnsi="Yu Gothic"/>
          <w:sz w:val="21"/>
          <w:szCs w:val="21"/>
        </w:rPr>
        <w:t xml:space="preserve">Microsoftは2026年7月1日付でM365法人向け製品の価格改定を実施しており、値上げ幅は製品によって5％〜43％と一律ではない。対象はM365 E3/E5、M365 Apps、EMS、Windows E3/E5などである一方、Business Premium・Office 365 E1・Teams単体・Copilot単体SKUは据え置きとされている。全製品を一律に上げるのではなく、大企業が実質的に選択の余地なく使っている中核SKU(E3/E5)に集中して値上げし、代替可能性のあるSKUは据え置く、という選択的な値上げの設計自体が、価格転嫁の典型的な手口である。Copilot単体を据え置くことで「AI投資は値上げしていない」という説明を成立させつつ、その土台となるE3/E5で回収する構造になっている。</w:t>
      </w:r>
    </w:p>
    <w:p>
      <w:pPr>
        <w:spacing w:after="160" w:line="300"/>
      </w:pPr>
      <w:r>
        <w:rPr>
          <w:rFonts w:ascii="Yu Gothic" w:cs="Yu Gothic" w:eastAsia="Yu Gothic" w:hAnsi="Yu Gothic"/>
          <w:sz w:val="21"/>
          <w:szCs w:val="21"/>
        </w:rPr>
        <w:t xml:space="preserve">来年度予算編成中の各担当が積み上げたMicrosoftライセンス予算が、改定後の新価格を反映しているか、改定前の単価で見積もられているかをまず確認する必要がある。改定分が織り込まれていなければ予算が過少になっている可能性があり、既に織り込み済みであれば、増額分のうち何割がこの外部要因かを切り分けて経営層に示せる。詳細は本資料7章の価格改定表を参照。</w:t>
      </w:r>
    </w:p>
    <w:p>
      <w:pPr>
        <w:pStyle w:val="Heading2"/>
        <w:spacing w:after="150" w:before="300"/>
      </w:pPr>
      <w:r>
        <w:rPr>
          <w:rFonts w:ascii="Yu Gothic" w:cs="Yu Gothic" w:eastAsia="Yu Gothic" w:hAnsi="Yu Gothic"/>
          <w:b/>
          <w:bCs/>
          <w:color w:val="2E5395"/>
          <w:sz w:val="25"/>
          <w:szCs w:val="25"/>
        </w:rPr>
        <w:t xml:space="preserve">6.2 契約書に見えにくい条項</w:t>
      </w:r>
    </w:p>
    <w:p>
      <w:pPr>
        <w:spacing w:after="160" w:line="300"/>
      </w:pPr>
      <w:r>
        <w:rPr>
          <w:rFonts w:ascii="Yu Gothic" w:cs="Yu Gothic" w:eastAsia="Yu Gothic" w:hAnsi="Yu Gothic"/>
          <w:b/>
          <w:bCs/>
          <w:sz w:val="21"/>
          <w:szCs w:val="21"/>
        </w:rPr>
        <w:t xml:space="preserve">Product Terms(製品条項)の片務的変更権　</w:t>
      </w:r>
      <w:r>
        <w:rPr>
          <w:rFonts w:ascii="Yu Gothic" w:cs="Yu Gothic" w:eastAsia="Yu Gothic" w:hAnsi="Yu Gothic"/>
          <w:sz w:val="21"/>
          <w:szCs w:val="21"/>
        </w:rPr>
        <w:t xml:space="preserve">EAもMCA-Eも、個別の製品利用条件は契約本体ではなくMicrosoftが別途公開する「Product Terms」を参照する構造になっている。Microsoft側は契約を再締結することなく、この参照先ドキュメントを更新することで利用条件を変更できる。契約期間中であっても前提が変わり得る点はリスク評価上必ず押さえるべきであり、交渉では締結時点の条件を維持する条項(グランドファザリング)を要求できるかが論点になる。</w:t>
      </w:r>
    </w:p>
    <w:p>
      <w:pPr>
        <w:spacing w:after="160" w:line="300"/>
      </w:pPr>
      <w:r>
        <w:rPr>
          <w:rFonts w:ascii="Yu Gothic" w:cs="Yu Gothic" w:eastAsia="Yu Gothic" w:hAnsi="Yu Gothic"/>
          <w:b/>
          <w:bCs/>
          <w:sz w:val="21"/>
          <w:szCs w:val="21"/>
        </w:rPr>
        <w:t xml:space="preserve">監査条項とSAM(Software Asset Management)エンゲージメント　</w:t>
      </w:r>
      <w:r>
        <w:rPr>
          <w:rFonts w:ascii="Yu Gothic" w:cs="Yu Gothic" w:eastAsia="Yu Gothic" w:hAnsi="Yu Gothic"/>
          <w:sz w:val="21"/>
          <w:szCs w:val="21"/>
        </w:rPr>
        <w:t xml:space="preserve">Microsoftは契約上ライセンス利用状況の監査権を持ち、更新交渉の前後にSAMレビューを提案してくることがある。形式上は「支援」だが、実務上はコンプライアンス不足を指摘して追加購入や上位SKUへの移行を促す交渉圧力として機能し得る。監査を受動的に受けるのではなく、自社側で先に内部棚卸しを完了させ、指摘余地を潰した状態で交渉に臨むことが基本姿勢であり、監査実施までの事前通知期間や更新交渉期間中の監査自粛を条項として交渉することも一般的である。</w:t>
      </w:r>
    </w:p>
    <w:p>
      <w:pPr>
        <w:spacing w:after="160" w:line="300"/>
      </w:pPr>
      <w:r>
        <w:rPr>
          <w:rFonts w:ascii="Yu Gothic" w:cs="Yu Gothic" w:eastAsia="Yu Gothic" w:hAnsi="Yu Gothic"/>
          <w:b/>
          <w:bCs/>
          <w:sz w:val="21"/>
          <w:szCs w:val="21"/>
        </w:rPr>
        <w:t xml:space="preserve">Exit条項とデータポータビリティ　</w:t>
      </w:r>
      <w:r>
        <w:rPr>
          <w:rFonts w:ascii="Yu Gothic" w:cs="Yu Gothic" w:eastAsia="Yu Gothic" w:hAnsi="Yu Gothic"/>
          <w:sz w:val="21"/>
          <w:szCs w:val="21"/>
        </w:rPr>
        <w:t xml:space="preserve">AWSのEDP/PPA、AzureのMACCいずれについても、契約終了時・中途解約時の扱い(未消化分の精算方法、データ引き出しの費用と期間、契約終了後のデータ保持期間)を確認しておく必要がある。将来の選択肢を守るという観点は、アーキテクチャ設計だけでなくこの条項でも担保する部分がある。</w:t>
      </w:r>
    </w:p>
    <w:p>
      <w:pPr>
        <w:pStyle w:val="Heading2"/>
        <w:spacing w:after="150" w:before="300"/>
      </w:pPr>
      <w:r>
        <w:rPr>
          <w:rFonts w:ascii="Yu Gothic" w:cs="Yu Gothic" w:eastAsia="Yu Gothic" w:hAnsi="Yu Gothic"/>
          <w:b/>
          <w:bCs/>
          <w:color w:val="2E5395"/>
          <w:sz w:val="25"/>
          <w:szCs w:val="25"/>
        </w:rPr>
        <w:t xml:space="preserve">6.3 Microsoft側で押さえるべき、コストに直結する仕組み</w:t>
      </w:r>
    </w:p>
    <w:p>
      <w:pPr>
        <w:spacing w:after="160" w:line="300"/>
      </w:pPr>
      <w:r>
        <w:rPr>
          <w:rFonts w:ascii="Yu Gothic" w:cs="Yu Gothic" w:eastAsia="Yu Gothic" w:hAnsi="Yu Gothic"/>
          <w:b/>
          <w:bCs/>
          <w:sz w:val="21"/>
          <w:szCs w:val="21"/>
        </w:rPr>
        <w:t xml:space="preserve">Azure Hybrid Benefit　</w:t>
      </w:r>
      <w:r>
        <w:rPr>
          <w:rFonts w:ascii="Yu Gothic" w:cs="Yu Gothic" w:eastAsia="Yu Gothic" w:hAnsi="Yu Gothic"/>
          <w:sz w:val="21"/>
          <w:szCs w:val="21"/>
        </w:rPr>
        <w:t xml:space="preserve">既存のWindows Server／SQL ServerライセンスにSoftware Assuranceが付いている場合、Azure上でそれを持ち込むことでライセンス相当分の課金を回避できる仕組み。SQL Serverを利用中の場合、Azure上のデータ基盤コストにこれが適用されているかは必ず確認すべきであり、適用漏れは珍しくない。</w:t>
      </w:r>
    </w:p>
    <w:p>
      <w:pPr>
        <w:spacing w:after="160" w:line="300"/>
      </w:pPr>
      <w:r>
        <w:rPr>
          <w:rFonts w:ascii="Yu Gothic" w:cs="Yu Gothic" w:eastAsia="Yu Gothic" w:hAnsi="Yu Gothic"/>
          <w:b/>
          <w:bCs/>
          <w:sz w:val="21"/>
          <w:szCs w:val="21"/>
        </w:rPr>
        <w:t xml:space="preserve">ライセンスモビリティとAWS上のMicrosoft製品(BYOM)　</w:t>
      </w:r>
      <w:r>
        <w:rPr>
          <w:rFonts w:ascii="Yu Gothic" w:cs="Yu Gothic" w:eastAsia="Yu Gothic" w:hAnsi="Yu Gothic"/>
          <w:sz w:val="21"/>
          <w:szCs w:val="21"/>
        </w:rPr>
        <w:t xml:space="preserve">従来、AWSのマネージドサービス(Amazon RDS)上でSQL Serverを使う場合はライセンス込み価格しか選べなかったが、2026年6月2日にAWSが「Bring Your Own Media(BYOM)」の提供を開始し、Software Assurance付きの既存SQL ServerライセンスをRDSに持ち込めるようになった。試算例では中規模インスタンス1台あたり年間約2万ドル、RDS部分で6割強のコスト削減が示されている。適用にはSA有効なライセンス、License Mobility検証フォームの提出、AWS License Managerでの追跡が必要。なお、Azure SQL Managed InstanceはEnterprise Edition利用時にvCoreと物理コアの換算比率が4:1となる一方、AWS側は1:1でカウントするため、高集約なSQL Enterpriseワークロードについては引き続きAzureが構造的にコスト有利になる点も踏まえて評価する必要がある。</w:t>
      </w:r>
    </w:p>
    <w:p>
      <w:pPr>
        <w:spacing w:after="160" w:line="300"/>
      </w:pPr>
      <w:r>
        <w:rPr>
          <w:rFonts w:ascii="Yu Gothic" w:cs="Yu Gothic" w:eastAsia="Yu Gothic" w:hAnsi="Yu Gothic"/>
          <w:b/>
          <w:bCs/>
          <w:sz w:val="21"/>
          <w:szCs w:val="21"/>
        </w:rPr>
        <w:t xml:space="preserve">代理店(LAR/CSPパートナー)層のマージン　</w:t>
      </w:r>
      <w:r>
        <w:rPr>
          <w:rFonts w:ascii="Yu Gothic" w:cs="Yu Gothic" w:eastAsia="Yu Gothic" w:hAnsi="Yu Gothic"/>
          <w:sz w:val="21"/>
          <w:szCs w:val="21"/>
        </w:rPr>
        <w:t xml:space="preserve">代理店経由の契約では、Microsoftが提示する条件と代理店マージンが分離して見えにくい構造になっている。複数の代理店に同一条件で見積もりを取る(マルチLAR入札)ことで代理店マージン部分の競争を働かせ、Microsoft本体との条件交渉とは別軸で圧縮するのが実務上の定石であり、Microsoft側の割引率が動かなくてもこの層だけで数％動く場合がある。</w:t>
      </w:r>
    </w:p>
    <w:p>
      <w:pPr>
        <w:spacing w:after="160" w:line="300"/>
      </w:pPr>
      <w:r>
        <w:rPr>
          <w:rFonts w:ascii="Yu Gothic" w:cs="Yu Gothic" w:eastAsia="Yu Gothic" w:hAnsi="Yu Gothic"/>
          <w:b/>
          <w:bCs/>
          <w:sz w:val="21"/>
          <w:szCs w:val="21"/>
        </w:rPr>
        <w:t xml:space="preserve">Unified Supportの第三者代替　</w:t>
      </w:r>
      <w:r>
        <w:rPr>
          <w:rFonts w:ascii="Yu Gothic" w:cs="Yu Gothic" w:eastAsia="Yu Gothic" w:hAnsi="Yu Gothic"/>
          <w:sz w:val="21"/>
          <w:szCs w:val="21"/>
        </w:rPr>
        <w:t xml:space="preserve">Unified Supportは総支出額連動という構造上、Azure伸長に伴って自動的に膨らむ。Microsoft認定を持つ第三者サポートベンダーへの切り替えという選択肢が実在し、30〜50％程度のコスト削減事例が報告されている。全面切り替えを前提としなくても、この選択肢を評価していること自体がUnified Support料率の交渉材料になる。</w:t>
      </w:r>
    </w:p>
    <w:p>
      <w:pPr>
        <w:pStyle w:val="Heading2"/>
        <w:spacing w:after="150" w:before="300"/>
      </w:pPr>
      <w:r>
        <w:rPr>
          <w:rFonts w:ascii="Yu Gothic" w:cs="Yu Gothic" w:eastAsia="Yu Gothic" w:hAnsi="Yu Gothic"/>
          <w:b/>
          <w:bCs/>
          <w:color w:val="2E5395"/>
          <w:sz w:val="25"/>
          <w:szCs w:val="25"/>
        </w:rPr>
        <w:t xml:space="preserve">6.4 AWS側で押さえるべき、割引率以外の「交渉通貨」</w:t>
      </w:r>
    </w:p>
    <w:p>
      <w:pPr>
        <w:spacing w:after="160" w:line="300"/>
      </w:pPr>
      <w:r>
        <w:rPr>
          <w:rFonts w:ascii="Yu Gothic" w:cs="Yu Gothic" w:eastAsia="Yu Gothic" w:hAnsi="Yu Gothic"/>
          <w:b/>
          <w:bCs/>
          <w:sz w:val="21"/>
          <w:szCs w:val="21"/>
        </w:rPr>
        <w:t xml:space="preserve">移行・モダナイゼーション資金(MAP：Migration Acceleration Program)　</w:t>
      </w:r>
      <w:r>
        <w:rPr>
          <w:rFonts w:ascii="Yu Gothic" w:cs="Yu Gothic" w:eastAsia="Yu Gothic" w:hAnsi="Yu Gothic"/>
          <w:sz w:val="21"/>
          <w:szCs w:val="21"/>
        </w:rPr>
        <w:t xml:space="preserve">EDP/PPAの割引率交渉に集中しがちだが、AWSには移行プロジェクトに対して資金・クレジットを提供する枠組みがある。フェーズごとに移行後の年間想定支出に対する一定割合(Assess段階で約5％、Mobilize段階で約20％、Migrate段階で15〜25％程度)が支給される構造で、初年度の対象支出の最大25％程度をカバーし得る。クレジットはタグ付けされたリソースに対してのみ、タグ付与日以降に発生し遡及適用されないため、タグ運用のガバナンスがそのまま契約から得られる価値を決める。パートナー経由でMAPを実施する場合、その価値が全額顧客に還元される契約になっているかを書面で確認する必要がある。MAPとEDP/PPAは別々のタイミングで交渉するのではなく、交渉レバレッジが最も高い契約更新時に一体で交渉すべきものである。</w:t>
      </w:r>
    </w:p>
    <w:p>
      <w:pPr>
        <w:spacing w:after="160" w:line="300"/>
      </w:pPr>
      <w:r>
        <w:rPr>
          <w:rFonts w:ascii="Yu Gothic" w:cs="Yu Gothic" w:eastAsia="Yu Gothic" w:hAnsi="Yu Gothic"/>
          <w:b/>
          <w:bCs/>
          <w:sz w:val="21"/>
          <w:szCs w:val="21"/>
        </w:rPr>
        <w:t xml:space="preserve">データ転送(egress)コスト　</w:t>
      </w:r>
      <w:r>
        <w:rPr>
          <w:rFonts w:ascii="Yu Gothic" w:cs="Yu Gothic" w:eastAsia="Yu Gothic" w:hAnsi="Yu Gothic"/>
          <w:sz w:val="21"/>
          <w:szCs w:val="21"/>
        </w:rPr>
        <w:t xml:space="preserve">AWS上のビジネスシステム群とAzure/SaaSをデータ中継サーバで連携させる構成では、このクロスクラウド連携で発生するデータ転送費用は、どちらのクラウドの「コスト削減施策」の対象にもなりにくい典型的な死角である。連携量が増えるほど両側で課金が発生し、かつアーキテクチャに埋め込まれているため後から動かしにくくなる。EDP/PPA交渉においては、データ転送費用に対する個別割引(サービス別割引)を要求対象に含めるべきである。</w:t>
      </w:r>
    </w:p>
    <w:p>
      <w:pPr>
        <w:spacing w:after="160" w:line="300"/>
      </w:pPr>
      <w:r>
        <w:rPr>
          <w:rFonts w:ascii="Yu Gothic" w:cs="Yu Gothic" w:eastAsia="Yu Gothic" w:hAnsi="Yu Gothic"/>
          <w:b/>
          <w:bCs/>
          <w:sz w:val="21"/>
          <w:szCs w:val="21"/>
        </w:rPr>
        <w:t xml:space="preserve">リージョン価格差　</w:t>
      </w:r>
      <w:r>
        <w:rPr>
          <w:rFonts w:ascii="Yu Gothic" w:cs="Yu Gothic" w:eastAsia="Yu Gothic" w:hAnsi="Yu Gothic"/>
          <w:sz w:val="21"/>
          <w:szCs w:val="21"/>
        </w:rPr>
        <w:t xml:space="preserve">東京・大阪リージョンは米国リージョンより単価が高く設定されている。データ主権やレイテンシ要件で日本リージョン必須のワークロードと、要件上他リージョンでも成立するワークロード(開発・検証環境、バッチ処理、一部の分析基盤など)を切り分ける余地がないかは点検する価値がある。</w:t>
      </w:r>
    </w:p>
    <w:p>
      <w:pPr>
        <w:spacing w:after="160" w:line="300"/>
      </w:pPr>
      <w:r>
        <w:rPr>
          <w:rFonts w:ascii="Yu Gothic" w:cs="Yu Gothic" w:eastAsia="Yu Gothic" w:hAnsi="Yu Gothic"/>
          <w:b/>
          <w:bCs/>
          <w:sz w:val="21"/>
          <w:szCs w:val="21"/>
        </w:rPr>
        <w:t xml:space="preserve">コミットメントの流動性　</w:t>
      </w:r>
      <w:r>
        <w:rPr>
          <w:rFonts w:ascii="Yu Gothic" w:cs="Yu Gothic" w:eastAsia="Yu Gothic" w:hAnsi="Yu Gothic"/>
          <w:sz w:val="21"/>
          <w:szCs w:val="21"/>
        </w:rPr>
        <w:t xml:space="preserve">Standard RIについてはRI Marketplaceでの売却という出口が存在する。Savings Plansには同等の仕組みがないため、この流動性の差もコミット設計時の判断材料になる。</w:t>
      </w:r>
    </w:p>
    <w:p>
      <w:pPr>
        <w:pStyle w:val="Heading2"/>
        <w:spacing w:after="150" w:before="300"/>
      </w:pPr>
      <w:r>
        <w:rPr>
          <w:rFonts w:ascii="Yu Gothic" w:cs="Yu Gothic" w:eastAsia="Yu Gothic" w:hAnsi="Yu Gothic"/>
          <w:b/>
          <w:bCs/>
          <w:color w:val="2E5395"/>
          <w:sz w:val="25"/>
          <w:szCs w:val="25"/>
        </w:rPr>
        <w:t xml:space="preserve">6.5 交渉プロセスそのものの設計</w:t>
      </w:r>
    </w:p>
    <w:p>
      <w:pPr>
        <w:spacing w:after="160" w:line="300"/>
      </w:pPr>
      <w:r>
        <w:rPr>
          <w:rFonts w:ascii="Yu Gothic" w:cs="Yu Gothic" w:eastAsia="Yu Gothic" w:hAnsi="Yu Gothic"/>
          <w:b/>
          <w:bCs/>
          <w:sz w:val="21"/>
          <w:szCs w:val="21"/>
        </w:rPr>
        <w:t xml:space="preserve">更新カレンダーの一元管理　</w:t>
      </w:r>
      <w:r>
        <w:rPr>
          <w:rFonts w:ascii="Yu Gothic" w:cs="Yu Gothic" w:eastAsia="Yu Gothic" w:hAnsi="Yu Gothic"/>
          <w:sz w:val="21"/>
          <w:szCs w:val="21"/>
        </w:rPr>
        <w:t xml:space="preserve">全ベンダー契約の更新日を12〜18か月前から可視化し、準備を開始する体制がベンダーマネジメントの基礎インフラである。更新3か月前に交渉を始めると、時間的余裕のなさ自体がベンダー側のレバレッジになる。</w:t>
      </w:r>
    </w:p>
    <w:p>
      <w:pPr>
        <w:spacing w:after="160" w:line="300"/>
      </w:pPr>
      <w:r>
        <w:rPr>
          <w:rFonts w:ascii="Yu Gothic" w:cs="Yu Gothic" w:eastAsia="Yu Gothic" w:hAnsi="Yu Gothic"/>
          <w:b/>
          <w:bCs/>
          <w:sz w:val="21"/>
          <w:szCs w:val="21"/>
        </w:rPr>
        <w:t xml:space="preserve">ベンダー会計年度の把握　</w:t>
      </w:r>
      <w:r>
        <w:rPr>
          <w:rFonts w:ascii="Yu Gothic" w:cs="Yu Gothic" w:eastAsia="Yu Gothic" w:hAnsi="Yu Gothic"/>
          <w:sz w:val="21"/>
          <w:szCs w:val="21"/>
        </w:rPr>
        <w:t xml:space="preserve">Microsoftは6月30日が年度末、四半期末は9月・12月・3月。AWSは12月31日が年度末。営業側のノルマ達成圧力が高まるタイミングを交渉のクロージングに合わせることは、実務上有効な手法として広く用いられている。</w:t>
      </w:r>
    </w:p>
    <w:p>
      <w:pPr>
        <w:spacing w:after="160" w:line="300"/>
      </w:pPr>
      <w:r>
        <w:rPr>
          <w:rFonts w:ascii="Yu Gothic" w:cs="Yu Gothic" w:eastAsia="Yu Gothic" w:hAnsi="Yu Gothic"/>
          <w:b/>
          <w:bCs/>
          <w:sz w:val="21"/>
          <w:szCs w:val="21"/>
        </w:rPr>
        <w:t xml:space="preserve">相手方の意思決定構造の把握　</w:t>
      </w:r>
      <w:r>
        <w:rPr>
          <w:rFonts w:ascii="Yu Gothic" w:cs="Yu Gothic" w:eastAsia="Yu Gothic" w:hAnsi="Yu Gothic"/>
          <w:sz w:val="21"/>
          <w:szCs w:val="21"/>
        </w:rPr>
        <w:t xml:space="preserve">担当営業(AE)には承認権限がなく、特別条件はデスク承認や地域責任者の承認を要する。目の前の担当者が「これが限界」と言うとき、承認プロセス上の限界なのか担当者レベルの裁量の限界なのかを見分けることが交渉の質を左右する。エスカレーション経路と承認権限者を事前にマッピングしておくべきである。</w:t>
      </w:r>
    </w:p>
    <w:p>
      <w:pPr>
        <w:spacing w:after="160" w:line="300"/>
      </w:pPr>
      <w:r>
        <w:rPr>
          <w:rFonts w:ascii="Yu Gothic" w:cs="Yu Gothic" w:eastAsia="Yu Gothic" w:hAnsi="Yu Gothic"/>
          <w:b/>
          <w:bCs/>
          <w:sz w:val="21"/>
          <w:szCs w:val="21"/>
        </w:rPr>
        <w:t xml:space="preserve">社内側の統制　</w:t>
      </w:r>
      <w:r>
        <w:rPr>
          <w:rFonts w:ascii="Yu Gothic" w:cs="Yu Gothic" w:eastAsia="Yu Gothic" w:hAnsi="Yu Gothic"/>
          <w:sz w:val="21"/>
          <w:szCs w:val="21"/>
        </w:rPr>
        <w:t xml:space="preserve">現場部門がベンダーと直接接触し、PoCや部分導入を先に進めてしまうと、交渉開始時点で既成事実が積み上がった状態になる(4章のAzureのビーチヘッド拡大はまさにこの形で進行している)。新規のクラウドサービス採用・PoC開始について、ベンダーマネジメント部門への事前通知を義務化するガバナンスは、交渉力の保全策として有効である。</w:t>
      </w:r>
    </w:p>
    <w:p>
      <w:pPr>
        <w:spacing w:after="160" w:line="300"/>
      </w:pPr>
      <w:r>
        <w:rPr>
          <w:rFonts w:ascii="Yu Gothic" w:cs="Yu Gothic" w:eastAsia="Yu Gothic" w:hAnsi="Yu Gothic"/>
          <w:b/>
          <w:bCs/>
          <w:sz w:val="21"/>
          <w:szCs w:val="21"/>
        </w:rPr>
        <w:t xml:space="preserve">情報の非対称性の是正　</w:t>
      </w:r>
      <w:r>
        <w:rPr>
          <w:rFonts w:ascii="Yu Gothic" w:cs="Yu Gothic" w:eastAsia="Yu Gothic" w:hAnsi="Yu Gothic"/>
          <w:sz w:val="21"/>
          <w:szCs w:val="21"/>
        </w:rPr>
        <w:t xml:space="preserve">メガベンダーは数千社の契約条件を知っており、自社は自社の条件しか知らない。この非対称性は自助努力では埋まらないため、調査会社のベンチマークデータ、同業他社とのCIOネットワーク、あるいは契約交渉専門のアドバイザリーの一時起用によって補うのが一般的である。特にEDP/PPAやMACCのような個別交渉契約では、「同規模他社がどの水準の条件を得ているか」を知っているかどうかが、そのまま交渉結果に反映される。</w:t>
      </w:r>
    </w:p>
    <w:p>
      <w:pPr>
        <w:pStyle w:val="Heading2"/>
        <w:spacing w:after="150" w:before="300"/>
      </w:pPr>
      <w:r>
        <w:rPr>
          <w:rFonts w:ascii="Yu Gothic" w:cs="Yu Gothic" w:eastAsia="Yu Gothic" w:hAnsi="Yu Gothic"/>
          <w:b/>
          <w:bCs/>
          <w:color w:val="2E5395"/>
          <w:sz w:val="25"/>
          <w:szCs w:val="25"/>
        </w:rPr>
        <w:t xml:space="preserve">6.6 日本固有の論点</w:t>
      </w:r>
    </w:p>
    <w:p>
      <w:pPr>
        <w:spacing w:after="160" w:line="300"/>
      </w:pPr>
      <w:r>
        <w:rPr>
          <w:rFonts w:ascii="Yu Gothic" w:cs="Yu Gothic" w:eastAsia="Yu Gothic" w:hAnsi="Yu Gothic"/>
          <w:sz w:val="21"/>
          <w:szCs w:val="21"/>
        </w:rPr>
        <w:t xml:space="preserve">IT予算の70％が日本である以上、次の点は個別に確認する価値がある。契約主体が日本法人なのか海外本社なのか、請求通貨が円建てかドル建てか、複数年契約における為替前提がどう定められているか。前述の為替影響10％の問題は、この契約条件の設計次第で一部緩和できる可能性がある。またMicrosoftの円建て価格は米ドル価格の発表から遅れて確定する運用のため、価格改定のタイミングでどのレートが適用されるかは代理店経由で事前に確認しておくべきである。加えて、日本の商流は代理店・SIerが多層になりやすく、各層のマージンが積み上がっている場合があるため、商流の可視化そのものが圧縮余地の発見につながることがある。</w:t>
      </w:r>
    </w:p>
    <w:p>
      <w:pPr>
        <w:pStyle w:val="Heading1"/>
        <w:pBdr>
          <w:bottom w:val="single" w:color="1F3864" w:sz="8" w:space="4"/>
        </w:pBdr>
        <w:spacing w:after="200" w:before="400"/>
      </w:pPr>
      <w:r>
        <w:rPr>
          <w:rFonts w:ascii="Yu Gothic" w:cs="Yu Gothic" w:eastAsia="Yu Gothic" w:hAnsi="Yu Gothic"/>
          <w:b/>
          <w:bCs/>
          <w:color w:val="1F3864"/>
          <w:sz w:val="30"/>
          <w:szCs w:val="30"/>
        </w:rPr>
        <w:t xml:space="preserve">7. Microsoft 365 価格改定表(2026年7月1日実施・改定分のみ)</w:t>
      </w:r>
    </w:p>
    <w:p>
      <w:pPr>
        <w:spacing w:after="160" w:line="300"/>
      </w:pPr>
      <w:r>
        <w:rPr>
          <w:rFonts w:ascii="Yu Gothic" w:cs="Yu Gothic" w:eastAsia="Yu Gothic" w:hAnsi="Yu Gothic"/>
          <w:sz w:val="21"/>
          <w:szCs w:val="21"/>
        </w:rPr>
        <w:t xml:space="preserve">米ドル建てのCSP参考価格(月額/ユーザー、年間契約ベース)。日本円の正式価格は本資料作成時点でMicrosoft／代理店から未発表のため、来年度予算への反映確認は改定率をベースに行い、円建て確定額は代理店から個別に取得する必要がある。既存契約は2026年7月1日以降の更新タイミングから新価格が適用される。改定対象外(据え置き)：Office 365 E1、Microsoft 365 Business Premium、Microsoft Defender Suite、Microsoft Purview Suite、Teams単体、Microsoft 365 Copilot単体。</w:t>
      </w:r>
    </w:p>
    <w:p>
      <w:pPr>
        <w:pStyle w:val="Heading3"/>
        <w:spacing w:after="100" w:before="200"/>
      </w:pPr>
      <w:r>
        <w:rPr>
          <w:rFonts w:ascii="Yu Gothic" w:cs="Yu Gothic" w:eastAsia="Yu Gothic" w:hAnsi="Yu Gothic"/>
          <w:b/>
          <w:bCs/>
          <w:color w:val="333333"/>
          <w:sz w:val="22"/>
          <w:szCs w:val="22"/>
        </w:rPr>
        <w:t xml:space="preserve">Enterprise系(Teams込み)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426"/>
      </w:tblGrid>
      <w:tr>
        <w:trPr>
          <w:tblHeader/>
        </w:trPr>
        <w:tc>
          <w:tcPr>
            <w:tcW w:type="dxa" w:w="46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プラン</w:t>
            </w:r>
          </w:p>
        </w:tc>
        <w:tc>
          <w:tcPr>
            <w:tcW w:type="dxa" w:w="15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旧価格($/月)</w:t>
            </w:r>
          </w:p>
        </w:tc>
        <w:tc>
          <w:tcPr>
            <w:tcW w:type="dxa" w:w="15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新価格($/月)</w:t>
            </w:r>
          </w:p>
        </w:tc>
        <w:tc>
          <w:tcPr>
            <w:tcW w:type="dxa" w:w="1426"/>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改定率</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Office 365 E3</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23.00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26.00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+13%</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Office 365 E5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38.00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41.00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+8%</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Microsoft 365 E3</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36.00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39.00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+8%</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Microsoft 365 E5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57.00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60.00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+5%</w:t>
            </w:r>
          </w:p>
        </w:tc>
      </w:tr>
    </w:tbl>
    <w:p>
      <w:pPr>
        <w:pStyle w:val="Heading3"/>
        <w:spacing w:after="100" w:before="200"/>
      </w:pPr>
      <w:r>
        <w:rPr>
          <w:rFonts w:ascii="Yu Gothic" w:cs="Yu Gothic" w:eastAsia="Yu Gothic" w:hAnsi="Yu Gothic"/>
          <w:b/>
          <w:bCs/>
          <w:color w:val="333333"/>
          <w:sz w:val="22"/>
          <w:szCs w:val="22"/>
        </w:rPr>
        <w:t xml:space="preserve">Enterprise系(Teamsなし)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426"/>
      </w:tblGrid>
      <w:tr>
        <w:trPr>
          <w:tblHeader/>
        </w:trPr>
        <w:tc>
          <w:tcPr>
            <w:tcW w:type="dxa" w:w="46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プラン</w:t>
            </w:r>
          </w:p>
        </w:tc>
        <w:tc>
          <w:tcPr>
            <w:tcW w:type="dxa" w:w="15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旧価格($/月)</w:t>
            </w:r>
          </w:p>
        </w:tc>
        <w:tc>
          <w:tcPr>
            <w:tcW w:type="dxa" w:w="15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新価格($/月)</w:t>
            </w:r>
          </w:p>
        </w:tc>
        <w:tc>
          <w:tcPr>
            <w:tcW w:type="dxa" w:w="1426"/>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改定率</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Office 365 E3(Teamsなし)</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14.45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17.45</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約+21%</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Office 365 E5(Teamsなし)</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29.45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32.45</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+10%</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Microsoft 365 E3(Teamsなし)</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27.45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30.45</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+11%</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Microsoft 365 E5(Teamsなし)</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48.45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51.45</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+6%</w:t>
            </w:r>
          </w:p>
        </w:tc>
      </w:tr>
    </w:tbl>
    <w:p>
      <w:pPr>
        <w:pStyle w:val="Heading3"/>
        <w:spacing w:after="100" w:before="200"/>
      </w:pPr>
      <w:r>
        <w:rPr>
          <w:rFonts w:ascii="Yu Gothic" w:cs="Yu Gothic" w:eastAsia="Yu Gothic" w:hAnsi="Yu Gothic"/>
          <w:b/>
          <w:bCs/>
          <w:color w:val="333333"/>
          <w:sz w:val="22"/>
          <w:szCs w:val="22"/>
        </w:rPr>
        <w:t xml:space="preserve">Business系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426"/>
      </w:tblGrid>
      <w:tr>
        <w:trPr>
          <w:tblHeader/>
        </w:trPr>
        <w:tc>
          <w:tcPr>
            <w:tcW w:type="dxa" w:w="46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プラン</w:t>
            </w:r>
          </w:p>
        </w:tc>
        <w:tc>
          <w:tcPr>
            <w:tcW w:type="dxa" w:w="15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旧価格($/月)</w:t>
            </w:r>
          </w:p>
        </w:tc>
        <w:tc>
          <w:tcPr>
            <w:tcW w:type="dxa" w:w="15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新価格($/月)</w:t>
            </w:r>
          </w:p>
        </w:tc>
        <w:tc>
          <w:tcPr>
            <w:tcW w:type="dxa" w:w="1426"/>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改定率</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Business Basic</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6.00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7.00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+17%</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Business Standard</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12.50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14.00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+12%</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Business Basic(Teamsなし)</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4.40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5.40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+23%</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Business Standard(Teamsなし)</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9.29</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10.79</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+16%</w:t>
            </w:r>
          </w:p>
        </w:tc>
      </w:tr>
    </w:tbl>
    <w:p>
      <w:pPr>
        <w:pStyle w:val="Heading3"/>
        <w:spacing w:after="100" w:before="200"/>
      </w:pPr>
      <w:r>
        <w:rPr>
          <w:rFonts w:ascii="Yu Gothic" w:cs="Yu Gothic" w:eastAsia="Yu Gothic" w:hAnsi="Yu Gothic"/>
          <w:b/>
          <w:bCs/>
          <w:color w:val="333333"/>
          <w:sz w:val="22"/>
          <w:szCs w:val="22"/>
        </w:rPr>
        <w:t xml:space="preserve">Frontline系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426"/>
      </w:tblGrid>
      <w:tr>
        <w:trPr>
          <w:tblHeader/>
        </w:trPr>
        <w:tc>
          <w:tcPr>
            <w:tcW w:type="dxa" w:w="46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プラン</w:t>
            </w:r>
          </w:p>
        </w:tc>
        <w:tc>
          <w:tcPr>
            <w:tcW w:type="dxa" w:w="15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旧価格($/月)</w:t>
            </w:r>
          </w:p>
        </w:tc>
        <w:tc>
          <w:tcPr>
            <w:tcW w:type="dxa" w:w="15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新価格($/月)</w:t>
            </w:r>
          </w:p>
        </w:tc>
        <w:tc>
          <w:tcPr>
            <w:tcW w:type="dxa" w:w="1426"/>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改定率</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Microsoft 365 F1</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2.25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3.00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+33%</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Microsoft 365 F3</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8.00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10.00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+25%</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F1(Teamsなし)</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1.75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2.50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+43%</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F3(Teamsなし)</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6.93</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8.93</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+29%</w:t>
            </w:r>
          </w:p>
        </w:tc>
      </w:tr>
    </w:tbl>
    <w:p>
      <w:pPr>
        <w:pStyle w:val="Heading3"/>
        <w:spacing w:after="100" w:before="200"/>
      </w:pPr>
      <w:r>
        <w:rPr>
          <w:rFonts w:ascii="Yu Gothic" w:cs="Yu Gothic" w:eastAsia="Yu Gothic" w:hAnsi="Yu Gothic"/>
          <w:b/>
          <w:bCs/>
          <w:color w:val="333333"/>
          <w:sz w:val="22"/>
          <w:szCs w:val="22"/>
        </w:rPr>
        <w:t xml:space="preserve">単体コンポーネント・アドオン(セキュリティ関連含む)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426"/>
      </w:tblGrid>
      <w:tr>
        <w:trPr>
          <w:tblHeader/>
        </w:trPr>
        <w:tc>
          <w:tcPr>
            <w:tcW w:type="dxa" w:w="46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プラン</w:t>
            </w:r>
          </w:p>
        </w:tc>
        <w:tc>
          <w:tcPr>
            <w:tcW w:type="dxa" w:w="15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旧価格($/月)</w:t>
            </w:r>
          </w:p>
        </w:tc>
        <w:tc>
          <w:tcPr>
            <w:tcW w:type="dxa" w:w="15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新価格($/月)</w:t>
            </w:r>
          </w:p>
        </w:tc>
        <w:tc>
          <w:tcPr>
            <w:tcW w:type="dxa" w:w="1426"/>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改定率</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Microsoft 365 Apps</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12.00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14.00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+17%</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Microsoft 365 Apps(デバイス単位)</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36.00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42.00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+17%</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Apps for Business</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8.25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10.00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+21%</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Windows E3</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6.63</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7.63</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+15%</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Windows E5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11.81</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12.81</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+8%</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Windows Enterprise(デバイス単位)</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5.85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7.63</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+30%</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Enterprise Mobility + Security E3</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10.60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12.00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+13%</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Enterprise Mobility + Security E5</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16.40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18.00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+10%</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Microsoft Entra Plan 1</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6.00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7.00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+17%</w:t>
            </w:r>
          </w:p>
        </w:tc>
      </w:tr>
      <w:tr>
        <w:tc>
          <w:tcPr>
            <w:tcW w:type="dxa" w:w="46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Microsoft Entra Plan 2</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9.00</w:t>
            </w:r>
          </w:p>
        </w:tc>
        <w:tc>
          <w:tcPr>
            <w:tcW w:type="dxa" w:w="15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10.00</w:t>
            </w:r>
          </w:p>
        </w:tc>
        <w:tc>
          <w:tcPr>
            <w:tcW w:type="dxa" w:w="142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+11%</w:t>
            </w:r>
          </w:p>
        </w:tc>
      </w:tr>
    </w:tbl>
    <w:p>
      <w:pPr>
        <w:spacing w:after="160" w:line="300"/>
      </w:pPr>
      <w:r>
        <w:rPr>
          <w:rFonts w:ascii="Yu Gothic" w:cs="Yu Gothic" w:eastAsia="Yu Gothic" w:hAnsi="Yu Gothic"/>
          <w:sz w:val="21"/>
          <w:szCs w:val="21"/>
        </w:rPr>
        <w:t xml:space="preserve">御社の構成に照らすと、E3(2万ユーザー規模)は+8％が直接効く。またセキュリティコスト増加の要因として挙げられていたEMS(E3：+13％、E5：+10％)やEntra(P1：+17％、P2：+11％)は、リモートワーク対応のセキュリティ強化とこの価格改定が重なっており、両者を分けて経営層に説明する必要がある。一方でCopilotは据え置きのため、AI予算増加分は純粋に台数増加(4,000→5,000)によるものと切り分けて説明できる。</w:t>
      </w:r>
    </w:p>
    <w:p>
      <w:pPr>
        <w:sectPr>
          <w:footerReference w:type="default" r:id="rId7"/>
          <w:pgSz w:w="11906" w:h="16838" w:orient="portrait"/>
          <w:pgMar w:top="1134" w:right="1134" w:bottom="1134" w:left="1134" w:header="708" w:footer="708" w:gutter="0"/>
          <w:pgNumType/>
          <w:docGrid w:linePitch="360"/>
        </w:sectPr>
      </w:pPr>
    </w:p>
    <w:p>
      <w:pPr>
        <w:pStyle w:val="Heading1"/>
        <w:pBdr>
          <w:bottom w:val="single" w:color="1F3864" w:sz="8" w:space="4"/>
        </w:pBdr>
        <w:spacing w:after="200" w:before="400"/>
      </w:pPr>
      <w:r>
        <w:rPr>
          <w:rFonts w:ascii="Yu Gothic" w:cs="Yu Gothic" w:eastAsia="Yu Gothic" w:hAnsi="Yu Gothic"/>
          <w:b/>
          <w:bCs/>
          <w:color w:val="1F3864"/>
          <w:sz w:val="30"/>
          <w:szCs w:val="30"/>
        </w:rPr>
        <w:t xml:space="preserve">8. AWS vs Azure　製品・サービス比較表(出典付き)</w:t>
      </w:r>
    </w:p>
    <w:tbl>
      <w:tblPr>
        <w:tblW w:type="dxa" w:w="13576"/>
        <w:tblBorders>
          <w:top w:val="single" w:color="auto" w:sz="4"/>
          <w:left w:val="single" w:color="auto" w:sz="4"/>
          <w:bottom w:val="single" w:color="auto" w:sz="4"/>
          <w:right w:val="single" w:color="auto" w:sz="4"/>
          <w:insideH w:val="single" w:color="auto" w:sz="4"/>
          <w:insideV w:val="single" w:color="auto" w:sz="4"/>
        </w:tblBorders>
      </w:tblPr>
      <w:tblGrid>
        <w:gridCol w:w="1400"/>
        <w:gridCol w:w="1850"/>
        <w:gridCol w:w="1850"/>
        <w:gridCol w:w="3450"/>
        <w:gridCol w:w="3550"/>
        <w:gridCol w:w="1476"/>
      </w:tblGrid>
      <w:tr>
        <w:trPr>
          <w:tblHeader/>
        </w:trPr>
        <w:tc>
          <w:tcPr>
            <w:tcW w:type="dxa" w:w="14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分野</w:t>
            </w:r>
          </w:p>
        </w:tc>
        <w:tc>
          <w:tcPr>
            <w:tcW w:type="dxa" w:w="185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AWS</w:t>
            </w:r>
          </w:p>
        </w:tc>
        <w:tc>
          <w:tcPr>
            <w:tcW w:type="dxa" w:w="185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Azure</w:t>
            </w:r>
          </w:p>
        </w:tc>
        <w:tc>
          <w:tcPr>
            <w:tcW w:type="dxa" w:w="345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課金体系の違い</w:t>
            </w:r>
          </w:p>
        </w:tc>
        <w:tc>
          <w:tcPr>
            <w:tcW w:type="dxa" w:w="355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コスト上昇ドライバーと一般的な対処法</w:t>
            </w:r>
          </w:p>
        </w:tc>
        <w:tc>
          <w:tcPr>
            <w:tcW w:type="dxa" w:w="1476"/>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出典</w:t>
            </w:r>
          </w:p>
        </w:tc>
      </w:tr>
      <w:tr>
        <w:tc>
          <w:tcPr>
            <w:tcW w:type="dxa" w:w="14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仮想マシン(IaaS)</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EC2</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Virtual Machines</w:t>
            </w:r>
          </w:p>
        </w:tc>
        <w:tc>
          <w:tcPr>
            <w:tcW w:type="dxa" w:w="3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両者とも秒/分単位の従量課金が基本。コミット割引はAWSがReserved Instances(特定インスタンスタイプ・リージョン固定、最大約72%引)またはSavings Plans($/時間コミット、ファミリー横断で柔軟、最大約66%引)の二層。Azureも同様にReserved VM Instances(最大約72%引)とAzure Savings Plan for Compute(最大約65%引)の二層構造。固定型予約が優先適用される点も共通。Azure固有の要素として、既存のWindows Server/SQL ServerライセンスをAzure Hybrid Benefitで持ち込める。</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動かしっぱなし」の開発・検証環境、実負荷に対するオーバープロビジョニング、新世代の低コストインスタンスへの移行が進まないこと、コミット購入後のアーキテクチャ変更でRI/Reservationが空振りになることが主因。対処法は使用率モニタリングに基づく継続的ライトサイジング、開発環境の自動停止スケジューリング、世代交代の定例棚卸し、コミット購入前の利用実績精査。</w:t>
            </w:r>
          </w:p>
        </w:tc>
        <w:tc>
          <w:tcPr>
            <w:tcW w:type="dxa" w:w="147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[1][2]</w:t>
            </w:r>
          </w:p>
        </w:tc>
      </w:tr>
      <w:tr>
        <w:tc>
          <w:tcPr>
            <w:tcW w:type="dxa" w:w="14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サーバーレス実行</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Lambda</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Azure Functions</w:t>
            </w:r>
          </w:p>
        </w:tc>
        <w:tc>
          <w:tcPr>
            <w:tcW w:type="dxa" w:w="3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両者ともリクエスト数×実行時間×メモリ割当(GB秒)の従量課金。常時稼働の予測可能な負荷にはAWSがProvisioned Concurrency(時間課金)、AzureがPremiumプラン(vCPU/メモリの時間課金)を用意。</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実処理に対して過大なメモリ割当を設定したままにする、コールドスタート対策として不必要に予約容量を常時稼働させる、関数間の不要な連鎖呼び出しでリクエスト数が水増しされることが主因。対処法はメモリ/CPU設定のプロファイリングに基づく最適化、負荷パターンに応じたプランの使い分け、関数設計の定期レビュー。</w:t>
            </w:r>
          </w:p>
        </w:tc>
        <w:tc>
          <w:tcPr>
            <w:tcW w:type="dxa" w:w="147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[3]</w:t>
            </w:r>
          </w:p>
        </w:tc>
      </w:tr>
      <w:tr>
        <w:tc>
          <w:tcPr>
            <w:tcW w:type="dxa" w:w="14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コンテナ</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ECS/EKS + Fargate</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AKS + Container Apps/Container Instances</w:t>
            </w:r>
          </w:p>
        </w:tc>
        <w:tc>
          <w:tcPr>
            <w:tcW w:type="dxa" w:w="3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Fargate/Container Appsは秒単位のvCPU・メモリ課金でほぼ同型。マネージドKubernetesの管理費はEKSがクラスタごとの時間課金(約$0.10/時間)、AKSは無料枠(Free tier)では管理費なし、SLA保証付きStandard/Premium tierのみ課金という違いがある。</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部門ごとの小規模クラスタ乱立による管理オーバーヘッドの重複、ノードのオーバープロビジョニング、開発環境まで本番同等のSLA階層で運用してしまうことが主因。対処法はクラスタ統合・マルチテナント化、オートスケーリングの徹底、環境別のSLA階層使い分け。</w:t>
            </w:r>
          </w:p>
        </w:tc>
        <w:tc>
          <w:tcPr>
            <w:tcW w:type="dxa" w:w="147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[4]</w:t>
            </w:r>
          </w:p>
        </w:tc>
      </w:tr>
      <w:tr>
        <w:tc>
          <w:tcPr>
            <w:tcW w:type="dxa" w:w="14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リレーショナルDB(SQL Server)</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RDS for SQL Server(License Included/2026年6月開始のBYOM)</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Azure SQL Database / Azure SQL Managed Instance</w:t>
            </w:r>
          </w:p>
        </w:tc>
        <w:tc>
          <w:tcPr>
            <w:tcW w:type="dxa" w:w="3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Enterprise Edition利用時、Azure Hybrid BenefitはvCore:物理コアが4:1換算になるのに対し、AWS側(RDS BYOM/EC2上のSQL Server)は1:1換算。同じライセンス資産でも高集約構成ではAzureの方がライセンス効率が良い。Azure SQL Databaseにはサーバーレス階層(自動一時停止・スケール)があるが、RDS for SQL Serverには同等の選択肢がない。</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ライセンス込み課金のまま放置しBYOL/BYOM/Hybrid Benefitへの移行が進まないこと、実際には不要な機能のためにEnterprise Editionを使い続けること、ストレージ/IOPSのオーバープロビジョニングが主因。対処法はライセンス持ち込み適用状況の定期監査、Standard Edition適用可否の見直し、ストレージ階層の最適化。</w:t>
            </w:r>
          </w:p>
        </w:tc>
        <w:tc>
          <w:tcPr>
            <w:tcW w:type="dxa" w:w="147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[5][6]</w:t>
            </w:r>
          </w:p>
        </w:tc>
      </w:tr>
      <w:tr>
        <w:tc>
          <w:tcPr>
            <w:tcW w:type="dxa" w:w="14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オブジェクトストレージ</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S3</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Blob Storage</w:t>
            </w:r>
          </w:p>
        </w:tc>
        <w:tc>
          <w:tcPr>
            <w:tcW w:type="dxa" w:w="3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GB月あたりの保管料+リクエスト課金+アクセス階層(Hot/Cool/Archive相当)という同型構造。ライフサイクルポリシーによる自動階層移行も両方に存在。</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古いデータがHot階層に残り続けること(ライフサイクル未設定)、重複データ・不要スナップショットの放置、小さいオブジェクトへの頻繁アクセスによるリクエスト課金の増大が主因。対処法はライフサイクルポリシーの自動化、定期的なストレージ棚卸し、アクセスパターンに応じた階層再設計。</w:t>
            </w:r>
          </w:p>
        </w:tc>
        <w:tc>
          <w:tcPr>
            <w:tcW w:type="dxa" w:w="147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[7]</w:t>
            </w:r>
          </w:p>
        </w:tc>
      </w:tr>
      <w:tr>
        <w:tc>
          <w:tcPr>
            <w:tcW w:type="dxa" w:w="14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生成AI基盤</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Bedrock</w:t>
            </w:r>
          </w:p>
        </w:tc>
        <w:tc>
          <w:tcPr>
            <w:tcW w:type="dxa" w:w="18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Azure OpenAI Service</w:t>
            </w:r>
          </w:p>
        </w:tc>
        <w:tc>
          <w:tcPr>
            <w:tcW w:type="dxa" w:w="3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両者ともトークン単位(入力/出力別課金)の従量課金が基本。予約容量課金はAWSがBedrock Provisioned Throughput(時間課金、最短1か月コミット)、AzureがPTU(時間課金、1年/3年予約で追加割引)。いずれも稼働率が下がっても契約時間分は全額課金され、減額保護はない。Azure OpenAIは表面のトークン単価がOpenAI直販とほぼ同額でも、サポート按分・ネットワーク/egress・コンテンツフィルタリング・ファインチューニングホスティング等が積み上がり実効コストが15〜40%程度上振れするケースが指摘されている。</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全用途に高性能・高単価モデルを一律適用すること、PoC用途がコスト管理対象外のまま本番へ横滑りすること、プロンプト設計の非効率による入力トークンの肥大化、予約容量の稼働率不足が主因。対処法はタスク複雑度に応じたモデルルーティング、部門・プロジェクト別の利用量可視化とチャージバック、プロンプト最適化、予約容量導入前のPoCフェーズでの需要検証。</w:t>
            </w:r>
          </w:p>
        </w:tc>
        <w:tc>
          <w:tcPr>
            <w:tcW w:type="dxa" w:w="1476"/>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[8]</w:t>
            </w:r>
          </w:p>
        </w:tc>
      </w:tr>
    </w:tbl>
    <w:p>
      <w:pPr>
        <w:spacing w:before="200"/>
      </w:pPr>
    </w:p>
    <w:p>
      <w:pPr>
        <w:pStyle w:val="Heading3"/>
        <w:spacing w:after="100" w:before="200"/>
      </w:pPr>
      <w:r>
        <w:rPr>
          <w:rFonts w:ascii="Yu Gothic" w:cs="Yu Gothic" w:eastAsia="Yu Gothic" w:hAnsi="Yu Gothic"/>
          <w:b/>
          <w:bCs/>
          <w:color w:val="333333"/>
          <w:sz w:val="22"/>
          <w:szCs w:val="22"/>
        </w:rPr>
        <w:t xml:space="preserve">出典</w:t>
      </w:r>
    </w:p>
    <w:p>
      <w:pPr>
        <w:spacing w:after="60" w:line="240"/>
      </w:pPr>
      <w:r>
        <w:rPr>
          <w:rFonts w:ascii="Yu Gothic" w:cs="Yu Gothic" w:eastAsia="Yu Gothic" w:hAnsi="Yu Gothic"/>
          <w:color w:val="555555"/>
          <w:sz w:val="17"/>
          <w:szCs w:val="17"/>
        </w:rPr>
        <w:t xml:space="preserve">[1] Amazon Web Services, "Reserved Instances for Amazon EC2 overview", AWS Documentation. https://docs.aws.amazon.com/AWSEC2/latest/UserGuide/ec2-reserved-instances.html</w:t>
      </w:r>
    </w:p>
    <w:p>
      <w:pPr>
        <w:spacing w:after="60" w:line="240"/>
      </w:pPr>
      <w:r>
        <w:rPr>
          <w:rFonts w:ascii="Yu Gothic" w:cs="Yu Gothic" w:eastAsia="Yu Gothic" w:hAnsi="Yu Gothic"/>
          <w:color w:val="555555"/>
          <w:sz w:val="17"/>
          <w:szCs w:val="17"/>
        </w:rPr>
        <w:t xml:space="preserve">[2] Usage.ai, "Azure Savings Plan vs Reserved Instances | Which Discount Gets You More in 2026". https://www.usage.ai/blogs/azure/compare/reservations-vs-savings-plans/</w:t>
      </w:r>
    </w:p>
    <w:p>
      <w:pPr>
        <w:spacing w:after="60" w:line="240"/>
      </w:pPr>
      <w:r>
        <w:rPr>
          <w:rFonts w:ascii="Yu Gothic" w:cs="Yu Gothic" w:eastAsia="Yu Gothic" w:hAnsi="Yu Gothic"/>
          <w:color w:val="555555"/>
          <w:sz w:val="17"/>
          <w:szCs w:val="17"/>
        </w:rPr>
        <w:t xml:space="preserve">[3] ReliaSoftware, "AWS Lambda vs Azure Functions: Pricing, Performance &amp; Use Cases". https://reliasoftware.com/blog/aws-lambda-vs-azure-functions-comparison</w:t>
      </w:r>
    </w:p>
    <w:p>
      <w:pPr>
        <w:spacing w:after="60" w:line="240"/>
      </w:pPr>
      <w:r>
        <w:rPr>
          <w:rFonts w:ascii="Yu Gothic" w:cs="Yu Gothic" w:eastAsia="Yu Gothic" w:hAnsi="Yu Gothic"/>
          <w:color w:val="555555"/>
          <w:sz w:val="17"/>
          <w:szCs w:val="17"/>
        </w:rPr>
        <w:t xml:space="preserve">[4] Microsoft Learn, "Azure Kubernetes Service (AKS) Free, Standard, and Premium Pricing Tiers". https://learn.microsoft.com/en-us/azure/aks/free-standard-pricing-tiers</w:t>
      </w:r>
    </w:p>
    <w:p>
      <w:pPr>
        <w:spacing w:after="60" w:line="240"/>
      </w:pPr>
      <w:r>
        <w:rPr>
          <w:rFonts w:ascii="Yu Gothic" w:cs="Yu Gothic" w:eastAsia="Yu Gothic" w:hAnsi="Yu Gothic"/>
          <w:color w:val="555555"/>
          <w:sz w:val="17"/>
          <w:szCs w:val="17"/>
        </w:rPr>
        <w:t xml:space="preserve">[5] Medium (Matias Coca), "What BYOM for RDS SQL Server Really Changes (And Doesn't)", 2026年6月. https://medium.com/@cocamatias/what-byom-for-rds-sql-server-really-changes-and-doesnt-f25267206dfd</w:t>
      </w:r>
    </w:p>
    <w:p>
      <w:pPr>
        <w:spacing w:after="60" w:line="240"/>
      </w:pPr>
      <w:r>
        <w:rPr>
          <w:rFonts w:ascii="Yu Gothic" w:cs="Yu Gothic" w:eastAsia="Yu Gothic" w:hAnsi="Yu Gothic"/>
          <w:color w:val="555555"/>
          <w:sz w:val="17"/>
          <w:szCs w:val="17"/>
        </w:rPr>
        <w:t xml:space="preserve">[6] Amazon Web Services, "Amazon RDS for SQL Server supports Bring Your Own Media", 2026年6月2日. https://aws.amazon.com/about-aws/whats-new/2026/06/rds-sqlserver-supports-bring-your-own-media/</w:t>
      </w:r>
    </w:p>
    <w:p>
      <w:pPr>
        <w:spacing w:after="60" w:line="240"/>
      </w:pPr>
      <w:r>
        <w:rPr>
          <w:rFonts w:ascii="Yu Gothic" w:cs="Yu Gothic" w:eastAsia="Yu Gothic" w:hAnsi="Yu Gothic"/>
          <w:color w:val="555555"/>
          <w:sz w:val="17"/>
          <w:szCs w:val="17"/>
        </w:rPr>
        <w:t xml:space="preserve">[7] Shoviv, "AWS S3 vs Azure Blob Storage: Cost &amp; Performance [2026]". https://www.shoviv.com/blog/aws-s3-vs-azure-blob-storage/</w:t>
      </w:r>
    </w:p>
    <w:p>
      <w:pPr>
        <w:spacing w:after="60" w:line="240"/>
      </w:pPr>
      <w:r>
        <w:rPr>
          <w:rFonts w:ascii="Yu Gothic" w:cs="Yu Gothic" w:eastAsia="Yu Gothic" w:hAnsi="Yu Gothic"/>
          <w:color w:val="555555"/>
          <w:sz w:val="17"/>
          <w:szCs w:val="17"/>
        </w:rPr>
        <w:t xml:space="preserve">[8] Usage.ai, "Are You Overpaying for AWS Bedrock, Vertex AI, or Azure AI?". https://www.usage.ai/blogs/finops/ai-ml-cost/aws-bedrock-vs-vertex-ai-vs-azure-openai/</w:t>
      </w:r>
    </w:p>
    <w:p>
      <w:pPr>
        <w:sectPr>
          <w:footerReference w:type="default" r:id="rId8"/>
          <w:pgSz w:w="16838" w:h="11906" w:orient="landscape"/>
          <w:pgMar w:top="1134" w:right="1134" w:bottom="1134" w:left="1134" w:header="708" w:footer="708" w:gutter="0"/>
          <w:pgNumType/>
          <w:docGrid w:linePitch="360"/>
        </w:sectPr>
      </w:pPr>
    </w:p>
    <w:p>
      <w:pPr>
        <w:pStyle w:val="Heading1"/>
        <w:pBdr>
          <w:bottom w:val="single" w:color="1F3864" w:sz="8" w:space="4"/>
        </w:pBdr>
        <w:spacing w:after="200" w:before="400"/>
      </w:pPr>
      <w:r>
        <w:rPr>
          <w:rFonts w:ascii="Yu Gothic" w:cs="Yu Gothic" w:eastAsia="Yu Gothic" w:hAnsi="Yu Gothic"/>
          <w:b/>
          <w:bCs/>
          <w:color w:val="1F3864"/>
          <w:sz w:val="30"/>
          <w:szCs w:val="30"/>
        </w:rPr>
        <w:t xml:space="preserve">9. AWS vs Azure/Microsoft　契約比較表</w:t>
      </w:r>
    </w:p>
    <w:tbl>
      <w:tblPr>
        <w:tblW w:type="dxa" w:w="13350"/>
        <w:tblBorders>
          <w:top w:val="single" w:color="auto" w:sz="4"/>
          <w:left w:val="single" w:color="auto" w:sz="4"/>
          <w:bottom w:val="single" w:color="auto" w:sz="4"/>
          <w:right w:val="single" w:color="auto" w:sz="4"/>
          <w:insideH w:val="single" w:color="auto" w:sz="4"/>
          <w:insideV w:val="single" w:color="auto" w:sz="4"/>
        </w:tblBorders>
      </w:tblPr>
      <w:tblGrid>
        <w:gridCol w:w="1350"/>
        <w:gridCol w:w="2450"/>
        <w:gridCol w:w="2450"/>
        <w:gridCol w:w="3550"/>
        <w:gridCol w:w="3550"/>
      </w:tblGrid>
      <w:tr>
        <w:trPr>
          <w:tblHeader/>
        </w:trPr>
        <w:tc>
          <w:tcPr>
            <w:tcW w:type="dxa" w:w="135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分野</w:t>
            </w:r>
          </w:p>
        </w:tc>
        <w:tc>
          <w:tcPr>
            <w:tcW w:type="dxa" w:w="245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AWS</w:t>
            </w:r>
          </w:p>
        </w:tc>
        <w:tc>
          <w:tcPr>
            <w:tcW w:type="dxa" w:w="245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Azure/Microsoft</w:t>
            </w:r>
          </w:p>
        </w:tc>
        <w:tc>
          <w:tcPr>
            <w:tcW w:type="dxa" w:w="355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契約構造の違い</w:t>
            </w:r>
          </w:p>
        </w:tc>
        <w:tc>
          <w:tcPr>
            <w:tcW w:type="dxa" w:w="355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契約交渉のベストプラクティス</w:t>
            </w:r>
          </w:p>
        </w:tc>
      </w:tr>
      <w:tr>
        <w:tc>
          <w:tcPr>
            <w:tcW w:type="dxa" w:w="13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契約ビークル(全体形態)</w:t>
            </w:r>
          </w:p>
        </w:tc>
        <w:tc>
          <w:tcPr>
            <w:tcW w:type="dxa" w:w="2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AWS Customer Agreement一本(Organizations/Consolidated Billingで複数アカウントを統合)</w:t>
            </w:r>
          </w:p>
        </w:tc>
        <w:tc>
          <w:tcPr>
            <w:tcW w:type="dxa" w:w="2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EA / MCA-E / CSP+NCEが並存し、規模・ユーザー数帯によって選べる(あるいは誘導される)ビークルが変わる。EAは下位レベル帯が廃止され事実上6,000ユーザー以上が対象、それ未満はMCA-E/CSPへ誘導される設計。</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AWSは契約形態そのものの選択肢が少なく比較的シンプル。Microsoftは契約形態の選択自体が交渉対象になる。</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自社が対象になるビークルを事前に把握し、可能であれば複数ビークル(EA/MCA-E)で並行見積もりを取り比較する。AWSは契約形態の選択肢が少ない分、Organizationsの統合設計(どのアカウントを合算しコミットを共有するか)を交渉前に最適化しておく。</w:t>
            </w:r>
          </w:p>
        </w:tc>
      </w:tr>
      <w:tr>
        <w:tc>
          <w:tcPr>
            <w:tcW w:type="dxa" w:w="13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コミットメント割引契約</w:t>
            </w:r>
          </w:p>
        </w:tc>
        <w:tc>
          <w:tcPr>
            <w:tcW w:type="dxa" w:w="2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EDP/PPA：年間総支出額に対する個別交渉ディスカウント(現在両者は事実上同一の仕組みに収斂)</w:t>
            </w:r>
          </w:p>
        </w:tc>
        <w:tc>
          <w:tcPr>
            <w:tcW w:type="dxa" w:w="2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MACC：複数年の消費額コミット。それ自体は割引ではなく、予約割引や個別交渉ディスカウントへアクセスするための資格という位置づけ。</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AWSは「コミット=割引そのもの」、Azureは「コミット=割引への切符」という位置づけの違いがあり、Azureの方が未消化時のペナルティ構造をより注意深く読む必要がある。</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コミット額の基準を最適化前ではなく最適化後の水準に設定する、超過時・未達時の単価を事前に明文化する、複数年契約では増減幅にキャップを設ける。AWS特有としてMAP等の移行資金プログラムをコミット交渉と同時並行で扱う。Azure特有としてMACCの消化対象範囲(Marketplace経由支出の算入可否等)を契約前に明確化する。</w:t>
            </w:r>
          </w:p>
        </w:tc>
      </w:tr>
      <w:tr>
        <w:tc>
          <w:tcPr>
            <w:tcW w:type="dxa" w:w="13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サポート契約</w:t>
            </w:r>
          </w:p>
        </w:tc>
        <w:tc>
          <w:tcPr>
            <w:tcW w:type="dxa" w:w="2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Business Support+/Enterprise Support/Unified Operations：AWS利用額に対する逓減型%(AWS利用額のみに連動)</w:t>
            </w:r>
          </w:p>
        </w:tc>
        <w:tc>
          <w:tcPr>
            <w:tcW w:type="dxa" w:w="24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Unified Support：Microsoft全体支出額(オンプレ含む)に対する%(Azure/Dynamics分はOffice系より高料率)</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AWSは自社サービス利用額のみが算定基礎だが、Microsoftは全社的なMicrosoft消費全体が算定基礎になり、かつAzure分は相対的に高料率。</w:t>
            </w:r>
          </w:p>
        </w:tc>
        <w:tc>
          <w:tcPr>
            <w:tcW w:type="dxa" w:w="355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自社の実際のサポート利用実績(チケット数・重要度別内訳)を可視化した上で交渉に臨む、複数年契約では料率の固定化・上限設定を要求する。Microsoft Unified Supportについては第三者サポートベンダーの比較見積もりを取得し、価格交渉の材料として提示する。</w:t>
            </w:r>
          </w:p>
        </w:tc>
      </w:tr>
    </w:tbl>
    <w:p>
      <w:pPr>
        <w:spacing w:before="200"/>
      </w:pPr>
    </w:p>
    <w:p>
      <w:pPr>
        <w:spacing w:after="160" w:line="300"/>
      </w:pPr>
      <w:r>
        <w:rPr>
          <w:rFonts w:ascii="Yu Gothic" w:cs="Yu Gothic" w:eastAsia="Yu Gothic" w:hAnsi="Yu Gothic"/>
          <w:sz w:val="21"/>
          <w:szCs w:val="21"/>
        </w:rPr>
        <w:t xml:space="preserve">製品レイヤーでの技術的な効率化(8章)と、契約レイヤーでの交渉(9章)は別トラックとして管理する。実務上は、製品レイヤーの最適化(ライトサイジング等)を先に進めてコスト実績を下げ、そのデータを契約レイヤーの交渉(コミット水準の再設定)に持ち込むという順序が、「基準点を最適化後の水準にする」という原則と直結する。</w:t>
      </w:r>
    </w:p>
    <w:p>
      <w:pPr>
        <w:sectPr>
          <w:footerReference w:type="default" r:id="rId9"/>
          <w:pgSz w:w="16838" w:h="11906" w:orient="landscape"/>
          <w:pgMar w:top="1134" w:right="1134" w:bottom="1134" w:left="1134" w:header="708" w:footer="708" w:gutter="0"/>
          <w:pgNumType/>
          <w:docGrid w:linePitch="360"/>
        </w:sectPr>
      </w:pPr>
    </w:p>
    <w:p>
      <w:pPr>
        <w:pStyle w:val="Heading1"/>
        <w:pBdr>
          <w:bottom w:val="single" w:color="1F3864" w:sz="8" w:space="4"/>
        </w:pBdr>
        <w:spacing w:after="200" w:before="400"/>
      </w:pPr>
      <w:r>
        <w:rPr>
          <w:rFonts w:ascii="Yu Gothic" w:cs="Yu Gothic" w:eastAsia="Yu Gothic" w:hAnsi="Yu Gothic"/>
          <w:b/>
          <w:bCs/>
          <w:color w:val="1F3864"/>
          <w:sz w:val="30"/>
          <w:szCs w:val="30"/>
        </w:rPr>
        <w:t xml:space="preserve">10. 交渉体制：役割分担案(提案)</w:t>
      </w:r>
    </w:p>
    <w:p>
      <w:pPr>
        <w:pStyle w:val="Heading2"/>
        <w:spacing w:after="150" w:before="300"/>
      </w:pPr>
      <w:r>
        <w:rPr>
          <w:rFonts w:ascii="Yu Gothic" w:cs="Yu Gothic" w:eastAsia="Yu Gothic" w:hAnsi="Yu Gothic"/>
          <w:b/>
          <w:bCs/>
          <w:color w:val="2E5395"/>
          <w:sz w:val="25"/>
          <w:szCs w:val="25"/>
        </w:rPr>
        <w:t xml:space="preserve">10.1 提案の趣旨</w:t>
      </w:r>
    </w:p>
    <w:p>
      <w:pPr>
        <w:spacing w:after="160" w:line="300"/>
      </w:pPr>
      <w:r>
        <w:rPr>
          <w:rFonts w:ascii="Yu Gothic" w:cs="Yu Gothic" w:eastAsia="Yu Gothic" w:hAnsi="Yu Gothic"/>
          <w:sz w:val="21"/>
          <w:szCs w:val="21"/>
        </w:rPr>
        <w:t xml:space="preserve">3章・6章で述べた通り、ベンダーとの交渉力学に対応するには、単価交渉の巧拙だけでなく「基準点とタイミングを自社側が握る」ための社内体制が不可欠である。特に、現場部門の個別判断がそのままクラウド配置戦略になってしまう状態(4章のAzure論点)や、更新交渉の準備不足が時間的余裕のなさというレバレッジをベンダーに与えてしまう状態(6.5)を防ぐには、平時から契約・運用・交渉・予算の各機能が連携する体制が必要になる。以下は、貴社側の登場人物として想定される7つの役割をもとに、これまで整理してきた交渉プロセス(3〜6章)を実行するための役割分担案である。</w:t>
      </w:r>
    </w:p>
    <w:p>
      <w:pPr>
        <w:pStyle w:val="Heading2"/>
        <w:spacing w:after="150" w:before="300"/>
      </w:pPr>
      <w:r>
        <w:rPr>
          <w:rFonts w:ascii="Yu Gothic" w:cs="Yu Gothic" w:eastAsia="Yu Gothic" w:hAnsi="Yu Gothic"/>
          <w:b/>
          <w:bCs/>
          <w:color w:val="2E5395"/>
          <w:sz w:val="25"/>
          <w:szCs w:val="25"/>
        </w:rPr>
        <w:t xml:space="preserve">10.2 各ロールの役割定義</w:t>
      </w:r>
    </w:p>
    <w:p>
      <w:pPr>
        <w:spacing w:after="160" w:line="300"/>
      </w:pPr>
      <w:r>
        <w:rPr>
          <w:rFonts w:ascii="Yu Gothic" w:cs="Yu Gothic" w:eastAsia="Yu Gothic" w:hAnsi="Yu Gothic"/>
          <w:b/>
          <w:bCs/>
          <w:sz w:val="21"/>
          <w:szCs w:val="21"/>
        </w:rPr>
        <w:t xml:space="preserve">① AWS・MSライセンス・クラウド予算契約の各管理者　</w:t>
      </w:r>
      <w:r>
        <w:rPr>
          <w:rFonts w:ascii="Yu Gothic" w:cs="Yu Gothic" w:eastAsia="Yu Gothic" w:hAnsi="Yu Gothic"/>
          <w:sz w:val="21"/>
          <w:szCs w:val="21"/>
        </w:rPr>
        <w:t xml:space="preserve">各ベンダーとの契約そのものの日常管理を担う。契約更新日・支払条件・true-up/true-down実績など契約の一次情報を保持し、6.5で述べた更新カレンダーの一元管理の情報源となる。個別契約の実務窓口として、交渉準備段階では現行契約条件を、契約後は消化状況を提供する。</w:t>
      </w:r>
    </w:p>
    <w:p>
      <w:pPr>
        <w:spacing w:after="160" w:line="300"/>
      </w:pPr>
      <w:r>
        <w:rPr>
          <w:rFonts w:ascii="Yu Gothic" w:cs="Yu Gothic" w:eastAsia="Yu Gothic" w:hAnsi="Yu Gothic"/>
          <w:b/>
          <w:bCs/>
          <w:sz w:val="21"/>
          <w:szCs w:val="21"/>
        </w:rPr>
        <w:t xml:space="preserve">② AWS・Azure運用管理者　</w:t>
      </w:r>
      <w:r>
        <w:rPr>
          <w:rFonts w:ascii="Yu Gothic" w:cs="Yu Gothic" w:eastAsia="Yu Gothic" w:hAnsi="Yu Gothic"/>
          <w:sz w:val="21"/>
          <w:szCs w:val="21"/>
        </w:rPr>
        <w:t xml:space="preserve">AWS・Azureの実利用データ(インスタンス稼働率、ストレージ利用状況、タグ付け状況等)を保持し、3.2章・4.3章で述べた「最適化後の基準水準」の試算に必要な一次データを提供する。ライトサイジングやアーキテクチャ改善の実行主体でもあり、8章で整理したコスト上昇ドライバーへの対処(オーバープロビジョニングの是正、ライフサイクルポリシーの設定等)を技術面で担う。</w:t>
      </w:r>
    </w:p>
    <w:p>
      <w:pPr>
        <w:spacing w:after="160" w:line="300"/>
      </w:pPr>
      <w:r>
        <w:rPr>
          <w:rFonts w:ascii="Yu Gothic" w:cs="Yu Gothic" w:eastAsia="Yu Gothic" w:hAnsi="Yu Gothic"/>
          <w:b/>
          <w:bCs/>
          <w:sz w:val="21"/>
          <w:szCs w:val="21"/>
        </w:rPr>
        <w:t xml:space="preserve">③ MSライセンス運用管理者　</w:t>
      </w:r>
      <w:r>
        <w:rPr>
          <w:rFonts w:ascii="Yu Gothic" w:cs="Yu Gothic" w:eastAsia="Yu Gothic" w:hAnsi="Yu Gothic"/>
          <w:sz w:val="21"/>
          <w:szCs w:val="21"/>
        </w:rPr>
        <w:t xml:space="preserve">M365・Copilot等のライセンス払い出し状況、部門別利用実態、SAMレビューへの対応を担う。3.1章で述べたライセンスのセグメント化(F3/E3/E5の混在設計)の基礎データを持ち、Microsoft側の監査条項・SAMエンゲージメント(6.2)への一次対応窓口にもなる。</w:t>
      </w:r>
    </w:p>
    <w:p>
      <w:pPr>
        <w:spacing w:after="160" w:line="300"/>
      </w:pPr>
      <w:r>
        <w:rPr>
          <w:rFonts w:ascii="Yu Gothic" w:cs="Yu Gothic" w:eastAsia="Yu Gothic" w:hAnsi="Yu Gothic"/>
          <w:b/>
          <w:bCs/>
          <w:sz w:val="21"/>
          <w:szCs w:val="21"/>
        </w:rPr>
        <w:t xml:space="preserve">④ 交渉責任者(クラウドグループ長)　</w:t>
      </w:r>
      <w:r>
        <w:rPr>
          <w:rFonts w:ascii="Yu Gothic" w:cs="Yu Gothic" w:eastAsia="Yu Gothic" w:hAnsi="Yu Gothic"/>
          <w:sz w:val="21"/>
          <w:szCs w:val="21"/>
        </w:rPr>
        <w:t xml:space="preserve">ベンダーとの交渉における意思決定権者。エスカレーション経路上でMicrosoft・AWS側のアカウント責任者と対峙し、コミット水準・価格条件についての最終合意を行う。6.5で述べた「相手方の意思決定構造の把握」を踏まえ、ベンダー側の承認権限者と自社側の交渉責任者を同格で対峙させることが交渉力を保つ上で重要になる。</w:t>
      </w:r>
    </w:p>
    <w:p>
      <w:pPr>
        <w:spacing w:after="160" w:line="300"/>
      </w:pPr>
      <w:r>
        <w:rPr>
          <w:rFonts w:ascii="Yu Gothic" w:cs="Yu Gothic" w:eastAsia="Yu Gothic" w:hAnsi="Yu Gothic"/>
          <w:b/>
          <w:bCs/>
          <w:sz w:val="21"/>
          <w:szCs w:val="21"/>
        </w:rPr>
        <w:t xml:space="preserve">⑤ 調達部門担当者　</w:t>
      </w:r>
      <w:r>
        <w:rPr>
          <w:rFonts w:ascii="Yu Gothic" w:cs="Yu Gothic" w:eastAsia="Yu Gothic" w:hAnsi="Yu Gothic"/>
          <w:sz w:val="21"/>
          <w:szCs w:val="21"/>
        </w:rPr>
        <w:t xml:space="preserve">契約手続き・法務レビュー・入札プロセスの運営を担う。マルチLAR入札(6.3)や第三者アドバイザリーの起用手続き、契約書上のProduct Terms・監査条項・Exit条項(6.2)のレビューを実務面で担当し、交渉で合意した内容を正式な契約条件に落とし込む役割を持つ。</w:t>
      </w:r>
    </w:p>
    <w:p>
      <w:pPr>
        <w:spacing w:after="160" w:line="300"/>
      </w:pPr>
      <w:r>
        <w:rPr>
          <w:rFonts w:ascii="Yu Gothic" w:cs="Yu Gothic" w:eastAsia="Yu Gothic" w:hAnsi="Yu Gothic"/>
          <w:b/>
          <w:bCs/>
          <w:sz w:val="21"/>
          <w:szCs w:val="21"/>
        </w:rPr>
        <w:t xml:space="preserve">⑥ ベンダーマネジメント担当者　</w:t>
      </w:r>
      <w:r>
        <w:rPr>
          <w:rFonts w:ascii="Yu Gothic" w:cs="Yu Gothic" w:eastAsia="Yu Gothic" w:hAnsi="Yu Gothic"/>
          <w:sz w:val="21"/>
          <w:szCs w:val="21"/>
        </w:rPr>
        <w:t xml:space="preserve">契約・運用・交渉・予算の各機能をつなぐ調整のハブとして、ベンダー横断での戦略立案とベンチマーク情報の収集(6.5「情報の非対称性の是正」)を主導する。個別契約の担当者(①②③)が持つデータを統合し、Microsoft関連契約(EA/MCA-E・Azure・Unified Support)を一体で見る視点(4.3・5.3)を提供する、本資料で一貫して述べてきた分析・戦略機能そのものを担う。</w:t>
      </w:r>
    </w:p>
    <w:p>
      <w:pPr>
        <w:spacing w:after="160" w:line="300"/>
      </w:pPr>
      <w:r>
        <w:rPr>
          <w:rFonts w:ascii="Yu Gothic" w:cs="Yu Gothic" w:eastAsia="Yu Gothic" w:hAnsi="Yu Gothic"/>
          <w:b/>
          <w:bCs/>
          <w:sz w:val="21"/>
          <w:szCs w:val="21"/>
        </w:rPr>
        <w:t xml:space="preserve">⑦ 部門予算統括責任者　</w:t>
      </w:r>
      <w:r>
        <w:rPr>
          <w:rFonts w:ascii="Yu Gothic" w:cs="Yu Gothic" w:eastAsia="Yu Gothic" w:hAnsi="Yu Gothic"/>
          <w:sz w:val="21"/>
          <w:szCs w:val="21"/>
        </w:rPr>
        <w:t xml:space="preserve">IT予算全体に対する最終的な予算権限を持ち、交渉結果が来年度予算・経営説明にどう反映されるかの責任を負う。2章で述べた「増加要因の3分類」を踏まえた経営層への説明、AI投資のような戦略的増加項目についての投資対効果管理の方針決定など、個別交渉の結果を経営レベルの意思決定につなぐ役割を持つ。</w:t>
      </w:r>
    </w:p>
    <w:p>
      <w:pPr>
        <w:pStyle w:val="Heading2"/>
        <w:spacing w:after="150" w:before="300"/>
      </w:pPr>
      <w:r>
        <w:rPr>
          <w:rFonts w:ascii="Yu Gothic" w:cs="Yu Gothic" w:eastAsia="Yu Gothic" w:hAnsi="Yu Gothic"/>
          <w:b/>
          <w:bCs/>
          <w:color w:val="2E5395"/>
          <w:sz w:val="25"/>
          <w:szCs w:val="25"/>
        </w:rPr>
        <w:t xml:space="preserve">10.3 各ロール間の関係図</w:t>
      </w:r>
    </w:p>
    <w:p>
      <w:pPr>
        <w:spacing w:after="160" w:line="300"/>
      </w:pPr>
      <w:r>
        <w:rPr>
          <w:rFonts w:ascii="Yu Gothic" w:cs="Yu Gothic" w:eastAsia="Yu Gothic" w:hAnsi="Yu Gothic"/>
          <w:sz w:val="21"/>
          <w:szCs w:val="21"/>
        </w:rPr>
        <w:t xml:space="preserve">各ロールが具体的にどのような情報・役務をやり取りするかを一枚図に整理すると、次のようになる。①②③が保持する契約・利用実績データが⑥ベンダーマネジメント担当者に集約され、⑥が④交渉責任者・⑤調達部門担当者・⑦部門予算統括責任者との調整を行う。ベンダーと直接交渉する窓口は④に一本化する。</w:t>
      </w:r>
    </w:p>
    <w:p>
      <w:pPr>
        <w:spacing w:after="120" w:before="120"/>
        <w:jc w:val="center"/>
      </w:pPr>
      <w:r>
        <w:drawing>
          <wp:inline distT="0" distB="0" distL="0" distR="0">
            <wp:extent cx="5905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00375"/>
                    </a:xfrm>
                    <a:prstGeom prst="rect">
                      <a:avLst/>
                    </a:prstGeom>
                  </pic:spPr>
                </pic:pic>
              </a:graphicData>
            </a:graphic>
          </wp:inline>
        </w:drawing>
      </w:r>
    </w:p>
    <w:p>
      <w:pPr>
        <w:spacing w:after="200"/>
        <w:jc w:val="center"/>
      </w:pPr>
      <w:r>
        <w:rPr>
          <w:rFonts w:ascii="Yu Gothic" w:cs="Yu Gothic" w:eastAsia="Yu Gothic" w:hAnsi="Yu Gothic"/>
          <w:color w:val="555555"/>
          <w:sz w:val="17"/>
          <w:szCs w:val="17"/>
        </w:rPr>
        <w:t xml:space="preserve">図：各ロール間の情報・役務の関係</w:t>
      </w:r>
    </w:p>
    <w:p>
      <w:pPr>
        <w:sectPr>
          <w:footerReference w:type="default" r:id="rId10"/>
          <w:pgSz w:w="11906" w:h="16838" w:orient="portrait"/>
          <w:pgMar w:top="1134" w:right="1134" w:bottom="1134" w:left="1134" w:header="708" w:footer="708" w:gutter="0"/>
          <w:pgNumType/>
          <w:docGrid w:linePitch="360"/>
        </w:sectPr>
      </w:pPr>
    </w:p>
    <w:p>
      <w:pPr>
        <w:pStyle w:val="Heading1"/>
        <w:pBdr>
          <w:bottom w:val="single" w:color="1F3864" w:sz="8" w:space="4"/>
        </w:pBdr>
        <w:spacing w:after="200" w:before="400"/>
      </w:pPr>
      <w:r>
        <w:rPr>
          <w:rFonts w:ascii="Yu Gothic" w:cs="Yu Gothic" w:eastAsia="Yu Gothic" w:hAnsi="Yu Gothic"/>
          <w:b/>
          <w:bCs/>
          <w:color w:val="1F3864"/>
          <w:sz w:val="30"/>
          <w:szCs w:val="30"/>
        </w:rPr>
        <w:t xml:space="preserve">10.4 交渉プロセスにおける役割分担表</w:t>
      </w:r>
    </w:p>
    <w:p>
      <w:pPr>
        <w:spacing w:after="160" w:line="300"/>
      </w:pPr>
      <w:r>
        <w:rPr>
          <w:rFonts w:ascii="Yu Gothic" w:cs="Yu Gothic" w:eastAsia="Yu Gothic" w:hAnsi="Yu Gothic"/>
          <w:sz w:val="21"/>
          <w:szCs w:val="21"/>
        </w:rPr>
        <w:t xml:space="preserve">凡例：◎=主担当(実務のオーナーとして遂行)　●=意思決定・最終承認　○=協議・関与(専門知見の提供や実務支援)　△=情報共有・事後報告　－=原則関与なし</w:t>
      </w:r>
    </w:p>
    <w:p>
      <w:pPr>
        <w:spacing w:after="160" w:line="300"/>
      </w:pPr>
      <w:r>
        <w:rPr>
          <w:rFonts w:ascii="Yu Gothic" w:cs="Yu Gothic" w:eastAsia="Yu Gothic" w:hAnsi="Yu Gothic"/>
          <w:sz w:val="21"/>
          <w:szCs w:val="21"/>
        </w:rPr>
        <w:t xml:space="preserve">①AWS・MSライセンス・クラウド予算契約の各管理者　②AWS・Azure運用管理者　③MSライセンス運用管理者　④交渉責任者(クラウドグループ長)　⑤調達部門担当者　⑥ベンダーマネジメント担当者　⑦部門予算統括責任者</w:t>
      </w:r>
    </w:p>
    <w:tbl>
      <w:tblPr>
        <w:tblW w:type="dxa" w:w="14490"/>
        <w:tblBorders>
          <w:top w:val="single" w:color="auto" w:sz="4"/>
          <w:left w:val="single" w:color="auto" w:sz="4"/>
          <w:bottom w:val="single" w:color="auto" w:sz="4"/>
          <w:right w:val="single" w:color="auto" w:sz="4"/>
          <w:insideH w:val="single" w:color="auto" w:sz="4"/>
          <w:insideV w:val="single" w:color="auto" w:sz="4"/>
        </w:tblBorders>
      </w:tblPr>
      <w:tblGrid>
        <w:gridCol w:w="2800"/>
        <w:gridCol w:w="1670"/>
        <w:gridCol w:w="1670"/>
        <w:gridCol w:w="1670"/>
        <w:gridCol w:w="1670"/>
        <w:gridCol w:w="1670"/>
        <w:gridCol w:w="1670"/>
        <w:gridCol w:w="1670"/>
      </w:tblGrid>
      <w:tr>
        <w:trPr>
          <w:tblHeader/>
        </w:trPr>
        <w:tc>
          <w:tcPr>
            <w:tcW w:type="dxa" w:w="280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フェーズ</w:t>
            </w:r>
          </w:p>
        </w:tc>
        <w:tc>
          <w:tcPr>
            <w:tcW w:type="dxa" w:w="167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①</w:t>
            </w:r>
          </w:p>
        </w:tc>
        <w:tc>
          <w:tcPr>
            <w:tcW w:type="dxa" w:w="167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②</w:t>
            </w:r>
          </w:p>
        </w:tc>
        <w:tc>
          <w:tcPr>
            <w:tcW w:type="dxa" w:w="167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③</w:t>
            </w:r>
          </w:p>
        </w:tc>
        <w:tc>
          <w:tcPr>
            <w:tcW w:type="dxa" w:w="167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④</w:t>
            </w:r>
          </w:p>
        </w:tc>
        <w:tc>
          <w:tcPr>
            <w:tcW w:type="dxa" w:w="167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⑤</w:t>
            </w:r>
          </w:p>
        </w:tc>
        <w:tc>
          <w:tcPr>
            <w:tcW w:type="dxa" w:w="167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⑥</w:t>
            </w:r>
          </w:p>
        </w:tc>
        <w:tc>
          <w:tcPr>
            <w:tcW w:type="dxa" w:w="1670"/>
            <w:shd w:fill="2E5395" w:val="clear"/>
            <w:tcMar>
              <w:top w:type="dxa" w:w="80"/>
              <w:left w:type="dxa" w:w="100"/>
              <w:bottom w:type="dxa" w:w="80"/>
              <w:right w:type="dxa" w:w="100"/>
            </w:tcMar>
            <w:vAlign w:val="center"/>
          </w:tcPr>
          <w:p>
            <w:pPr>
              <w:spacing w:after="0" w:line="260"/>
            </w:pPr>
            <w:r>
              <w:rPr>
                <w:rFonts w:ascii="Yu Gothic" w:cs="Yu Gothic" w:eastAsia="Yu Gothic" w:hAnsi="Yu Gothic"/>
                <w:b/>
                <w:bCs/>
                <w:color w:val="FFFFFF"/>
                <w:sz w:val="19"/>
                <w:szCs w:val="19"/>
              </w:rPr>
              <w:t xml:space="preserve">⑦</w:t>
            </w:r>
          </w:p>
        </w:tc>
      </w:tr>
      <w:tr>
        <w:tc>
          <w:tcPr>
            <w:tcW w:type="dxa" w:w="28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平時ガバナンス</w:t>
            </w:r>
          </w:p>
          <w:p>
            <w:pPr>
              <w:spacing w:after="0" w:line="260"/>
            </w:pPr>
            <w:r>
              <w:rPr>
                <w:rFonts w:ascii="Yu Gothic" w:cs="Yu Gothic" w:eastAsia="Yu Gothic" w:hAnsi="Yu Gothic"/>
                <w:b w:val="false"/>
                <w:bCs w:val="false"/>
                <w:color w:val="000000"/>
                <w:sz w:val="18"/>
                <w:szCs w:val="18"/>
              </w:rPr>
              <w:t xml:space="preserve">(更新カレンダー管理・利用モニタリング・新規サービス採用の事前統制)</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契約情報の一元管理</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利用データ提供、PoC事前申請</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利用データ提供、PoC事前申請</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方針確認</w:t>
            </w:r>
          </w:p>
        </w:tc>
        <w:tc>
          <w:tcPr>
            <w:tcW w:type="dxa" w:w="167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全体統括・ドリフト監視</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定期報告受領</w:t>
            </w:r>
          </w:p>
        </w:tc>
      </w:tr>
      <w:tr>
        <w:tc>
          <w:tcPr>
            <w:tcW w:type="dxa" w:w="28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交渉準備</w:t>
            </w:r>
          </w:p>
          <w:p>
            <w:pPr>
              <w:spacing w:after="0" w:line="260"/>
            </w:pPr>
            <w:r>
              <w:rPr>
                <w:rFonts w:ascii="Yu Gothic" w:cs="Yu Gothic" w:eastAsia="Yu Gothic" w:hAnsi="Yu Gothic"/>
                <w:b w:val="false"/>
                <w:bCs w:val="false"/>
                <w:color w:val="000000"/>
                <w:sz w:val="18"/>
                <w:szCs w:val="18"/>
              </w:rPr>
              <w:t xml:space="preserve">(最適化後基準点の算出・外部ベンチマーク・戦略立案)</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現行契約条件の提供</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利用実績分析・最適化後水準の試算</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利用実績分析・最適化後水準の試算</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戦略の承認</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アドバイザリー起用等の手続き</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ベンチマーク収集・戦略立案の主導</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投資判断への示唆共有</w:t>
            </w:r>
          </w:p>
        </w:tc>
      </w:tr>
      <w:tr>
        <w:tc>
          <w:tcPr>
            <w:tcW w:type="dxa" w:w="28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交渉実行</w:t>
            </w:r>
          </w:p>
          <w:p>
            <w:pPr>
              <w:spacing w:after="0" w:line="260"/>
            </w:pPr>
            <w:r>
              <w:rPr>
                <w:rFonts w:ascii="Yu Gothic" w:cs="Yu Gothic" w:eastAsia="Yu Gothic" w:hAnsi="Yu Gothic"/>
                <w:b w:val="false"/>
                <w:bCs w:val="false"/>
                <w:color w:val="000000"/>
                <w:sz w:val="18"/>
                <w:szCs w:val="18"/>
              </w:rPr>
              <w:t xml:space="preserve">(ベンダー折衝・エスカレーション対応)</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実務データの提供</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技術的質問への対応</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技術的質問への対応</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交渉の意思決定</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契約条件面の助言</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ファシリテーション・記録</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(金額上限超過時のみ関与)</w:t>
            </w:r>
          </w:p>
        </w:tc>
      </w:tr>
      <w:tr>
        <w:tc>
          <w:tcPr>
            <w:tcW w:type="dxa" w:w="28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契約締結</w:t>
            </w:r>
          </w:p>
          <w:p>
            <w:pPr>
              <w:spacing w:after="0" w:line="260"/>
            </w:pPr>
            <w:r>
              <w:rPr>
                <w:rFonts w:ascii="Yu Gothic" w:cs="Yu Gothic" w:eastAsia="Yu Gothic" w:hAnsi="Yu Gothic"/>
                <w:b w:val="false"/>
                <w:bCs w:val="false"/>
                <w:color w:val="000000"/>
                <w:sz w:val="18"/>
                <w:szCs w:val="18"/>
              </w:rPr>
              <w:t xml:space="preserve">(条項レビュー・入札プロセス・法務確認)</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実務確認</w:t>
            </w:r>
          </w:p>
        </w:tc>
        <w:tc>
          <w:tcPr>
            <w:tcW w:type="dxa" w:w="167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w:t>
            </w:r>
          </w:p>
        </w:tc>
        <w:tc>
          <w:tcPr>
            <w:tcW w:type="dxa" w:w="167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最終合意の承認</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入札運営・契約書レビュー・締結手続き</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内容確認・関連契約との整合性チェック</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予算影響がある場合の最終承認</w:t>
            </w:r>
          </w:p>
        </w:tc>
      </w:tr>
      <w:tr>
        <w:tc>
          <w:tcPr>
            <w:tcW w:type="dxa" w:w="280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予算反映・経営報告</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契約条件の予算反映</w:t>
            </w:r>
          </w:p>
        </w:tc>
        <w:tc>
          <w:tcPr>
            <w:tcW w:type="dxa" w:w="167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w:t>
            </w:r>
          </w:p>
        </w:tc>
        <w:tc>
          <w:tcPr>
            <w:tcW w:type="dxa" w:w="167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交渉結果の説明</w:t>
            </w:r>
          </w:p>
        </w:tc>
        <w:tc>
          <w:tcPr>
            <w:tcW w:type="dxa" w:w="167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資料作成支援・全体整理</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予算計上・経営層への説明責任</w:t>
            </w:r>
          </w:p>
        </w:tc>
      </w:tr>
      <w:tr>
        <w:tc>
          <w:tcPr>
            <w:tcW w:type="dxa" w:w="280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契約後フォロー</w:t>
            </w:r>
          </w:p>
          <w:p>
            <w:pPr>
              <w:spacing w:after="0" w:line="260"/>
            </w:pPr>
            <w:r>
              <w:rPr>
                <w:rFonts w:ascii="Yu Gothic" w:cs="Yu Gothic" w:eastAsia="Yu Gothic" w:hAnsi="Yu Gothic"/>
                <w:b w:val="false"/>
                <w:bCs w:val="false"/>
                <w:color w:val="000000"/>
                <w:sz w:val="18"/>
                <w:szCs w:val="18"/>
              </w:rPr>
              <w:t xml:space="preserve">(履行状況モニタリング・次回更新への申し送り)</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消化状況・true-up等のトラッキング</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利用実績の継続収集</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利用実績の継続収集</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定期報告受領</w:t>
            </w:r>
          </w:p>
        </w:tc>
        <w:tc>
          <w:tcPr>
            <w:tcW w:type="dxa" w:w="1670"/>
            <w:tcMar>
              <w:top w:type="dxa" w:w="80"/>
              <w:left w:type="dxa" w:w="100"/>
              <w:bottom w:type="dxa" w:w="80"/>
              <w:right w:type="dxa" w:w="100"/>
            </w:tcMar>
            <w:vAlign w:val="center"/>
          </w:tcPr>
          <w:p>
            <w:pPr>
              <w:spacing w:after="0" w:line="260"/>
            </w:pPr>
            <w:r>
              <w:rPr>
                <w:rFonts w:ascii="Yu Gothic" w:cs="Yu Gothic" w:eastAsia="Yu Gothic" w:hAnsi="Yu Gothic"/>
                <w:b w:val="false"/>
                <w:bCs w:val="false"/>
                <w:color w:val="000000"/>
                <w:sz w:val="18"/>
                <w:szCs w:val="18"/>
              </w:rPr>
              <w:t xml:space="preserve">－</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次回交渉への論点整理・引き継ぎ</w:t>
            </w:r>
          </w:p>
        </w:tc>
        <w:tc>
          <w:tcPr>
            <w:tcW w:type="dxa" w:w="1670"/>
            <w:tcMar>
              <w:top w:type="dxa" w:w="80"/>
              <w:left w:type="dxa" w:w="100"/>
              <w:bottom w:type="dxa" w:w="80"/>
              <w:right w:type="dxa" w:w="100"/>
            </w:tcMar>
            <w:vAlign w:val="center"/>
          </w:tcPr>
          <w:p>
            <w:pPr>
              <w:spacing w:after="20" w:line="260"/>
            </w:pPr>
            <w:r>
              <w:rPr>
                <w:rFonts w:ascii="Yu Gothic" w:cs="Yu Gothic" w:eastAsia="Yu Gothic" w:hAnsi="Yu Gothic"/>
                <w:b w:val="false"/>
                <w:bCs w:val="false"/>
                <w:color w:val="000000"/>
                <w:sz w:val="18"/>
                <w:szCs w:val="18"/>
              </w:rPr>
              <w:t xml:space="preserve">△</w:t>
            </w:r>
          </w:p>
          <w:p>
            <w:pPr>
              <w:spacing w:after="0" w:line="260"/>
            </w:pPr>
            <w:r>
              <w:rPr>
                <w:rFonts w:ascii="Yu Gothic" w:cs="Yu Gothic" w:eastAsia="Yu Gothic" w:hAnsi="Yu Gothic"/>
                <w:b w:val="false"/>
                <w:bCs w:val="false"/>
                <w:color w:val="000000"/>
                <w:sz w:val="18"/>
                <w:szCs w:val="18"/>
              </w:rPr>
              <w:t xml:space="preserve">定期報告受領</w:t>
            </w:r>
          </w:p>
        </w:tc>
      </w:tr>
    </w:tbl>
    <w:p>
      <w:pPr>
        <w:sectPr>
          <w:footerReference w:type="default" r:id="rId11"/>
          <w:pgSz w:w="16838" w:h="11906" w:orient="landscape"/>
          <w:pgMar w:top="1134" w:right="1134" w:bottom="1134" w:left="1134" w:header="708" w:footer="708" w:gutter="0"/>
          <w:pgNumType/>
          <w:docGrid w:linePitch="360"/>
        </w:sectPr>
      </w:pPr>
    </w:p>
    <w:p>
      <w:pPr>
        <w:pStyle w:val="Heading2"/>
        <w:spacing w:after="150" w:before="300"/>
      </w:pPr>
      <w:r>
        <w:rPr>
          <w:rFonts w:ascii="Yu Gothic" w:cs="Yu Gothic" w:eastAsia="Yu Gothic" w:hAnsi="Yu Gothic"/>
          <w:b/>
          <w:bCs/>
          <w:color w:val="2E5395"/>
          <w:sz w:val="25"/>
          <w:szCs w:val="25"/>
        </w:rPr>
        <w:t xml:space="preserve">10.5 推奨される運営体制</w:t>
      </w:r>
    </w:p>
    <w:p>
      <w:pPr>
        <w:spacing w:after="160" w:line="300"/>
      </w:pPr>
      <w:r>
        <w:rPr>
          <w:rFonts w:ascii="Yu Gothic" w:cs="Yu Gothic" w:eastAsia="Yu Gothic" w:hAnsi="Yu Gothic"/>
          <w:sz w:val="21"/>
          <w:szCs w:val="21"/>
        </w:rPr>
        <w:t xml:space="preserve">上記の役割分担を機能させるには、随時のやり取りだけでなく、定例の場を設けることが望ましい。</w:t>
      </w:r>
    </w:p>
    <w:p>
      <w:pPr>
        <w:spacing w:after="160" w:line="300"/>
      </w:pPr>
      <w:r>
        <w:rPr>
          <w:rFonts w:ascii="Yu Gothic" w:cs="Yu Gothic" w:eastAsia="Yu Gothic" w:hAnsi="Yu Gothic"/>
          <w:b/>
          <w:bCs/>
          <w:sz w:val="21"/>
          <w:szCs w:val="21"/>
        </w:rPr>
        <w:t xml:space="preserve">月次のベンダー管理ワーキング：</w:t>
      </w:r>
      <w:r>
        <w:rPr>
          <w:rFonts w:ascii="Yu Gothic" w:cs="Yu Gothic" w:eastAsia="Yu Gothic" w:hAnsi="Yu Gothic"/>
          <w:sz w:val="21"/>
          <w:szCs w:val="21"/>
        </w:rPr>
        <w:t xml:space="preserve">①②③⑥が参加し、⑥ベンダーマネジメント担当者が事務局を務める。契約更新カレンダーの確認、利用実績・最適化余地のアップデート、監査・SAMレビューへの対応状況などを共有する実務レベルの場とする。</w:t>
      </w:r>
    </w:p>
    <w:p>
      <w:pPr>
        <w:spacing w:after="160" w:line="300"/>
      </w:pPr>
      <w:r>
        <w:rPr>
          <w:rFonts w:ascii="Yu Gothic" w:cs="Yu Gothic" w:eastAsia="Yu Gothic" w:hAnsi="Yu Gothic"/>
          <w:b/>
          <w:bCs/>
          <w:sz w:val="21"/>
          <w:szCs w:val="21"/>
        </w:rPr>
        <w:t xml:space="preserve">四半期の交渉戦略レビュー：</w:t>
      </w:r>
      <w:r>
        <w:rPr>
          <w:rFonts w:ascii="Yu Gothic" w:cs="Yu Gothic" w:eastAsia="Yu Gothic" w:hAnsi="Yu Gothic"/>
          <w:sz w:val="21"/>
          <w:szCs w:val="21"/>
        </w:rPr>
        <w:t xml:space="preserve">④⑥⑦が参加し、④交渉責任者が主催する。進行中の交渉の状況、ベンチマーク情報のアップデート、予算への影響を確認し、必要に応じてエスカレーション方針や投資判断(AI関連等の戦略投資の扱い)を確認する。</w:t>
      </w:r>
    </w:p>
    <w:p>
      <w:pPr>
        <w:spacing w:after="160" w:line="300"/>
      </w:pPr>
      <w:r>
        <w:rPr>
          <w:rFonts w:ascii="Yu Gothic" w:cs="Yu Gothic" w:eastAsia="Yu Gothic" w:hAnsi="Yu Gothic"/>
          <w:b/>
          <w:bCs/>
          <w:sz w:val="21"/>
          <w:szCs w:val="21"/>
        </w:rPr>
        <w:t xml:space="preserve">交渉開始時のキックオフ：</w:t>
      </w:r>
      <w:r>
        <w:rPr>
          <w:rFonts w:ascii="Yu Gothic" w:cs="Yu Gothic" w:eastAsia="Yu Gothic" w:hAnsi="Yu Gothic"/>
          <w:sz w:val="21"/>
          <w:szCs w:val="21"/>
        </w:rPr>
        <w:t xml:space="preserve">更新の12〜18か月前を目安に、対象契約について①②③⑥⑤が参加するキックオフを行い、最適化後基準点の試算方針とスケジュールを合意する。この時点で④・⑦にも交渉の全体方針を共有し、着地水準のイメージについて事前にすり合わせておく。</w:t>
      </w:r>
    </w:p>
    <w:p>
      <w:pPr>
        <w:spacing w:after="160" w:line="300"/>
      </w:pPr>
      <w:r>
        <w:rPr>
          <w:rFonts w:ascii="Yu Gothic" w:cs="Yu Gothic" w:eastAsia="Yu Gothic" w:hAnsi="Yu Gothic"/>
          <w:sz w:val="21"/>
          <w:szCs w:val="21"/>
        </w:rPr>
        <w:t xml:space="preserve">エスカレーションフローとしては、日常的な契約・利用実態の把握は①②③が担い、異常値や交渉が必要な事象が生じた場合は⑥ベンダーマネジメント担当者に集約する。⑥が全体観点で戦略を整理したうえで④交渉責任者に上申し、④がベンダーとの交渉を主導する。⑤調達部門は契約手続き・法務面から一貫して関与し、契約条件が予算計画を超える場合や経営説明が必要な場合には⑦部門予算統括責任者の承認を得る、という流れを基本形とする。この体制により、現場の個別判断が先行して既成事実化する事態(4章で指摘したAzureのビーチヘッド拡大のような状況)を防ぎ、ベンダーとの交渉において常に自社側が基準点とタイミングを主導できる状態を維持することを狙いとする。</w:t>
      </w:r>
    </w:p>
    <w:sectPr>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9afaf5c1b8110c1c291e39deec47056dccb69e2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2026-08-18T00:01:39.599Z</dcterms:created>
  <dcterms:modified xsi:type="dcterms:W3CDTF">2026-08-18T00:01:39.599Z</dcterms:modified>
</cp:coreProperties>
</file>

<file path=docProps/custom.xml><?xml version="1.0" encoding="utf-8"?>
<Properties xmlns="http://schemas.openxmlformats.org/officeDocument/2006/custom-properties" xmlns:vt="http://schemas.openxmlformats.org/officeDocument/2006/docPropsVTypes"/>
</file>