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游ゴシック" w:cs="游ゴシック" w:eastAsia="游ゴシック" w:hAnsi="游ゴシック"/>
          <w:b/>
          <w:bCs/>
          <w:sz w:val="40"/>
          <w:szCs w:val="40"/>
        </w:rPr>
        <w:t xml:space="preserve">ITサービス運用アウトソーシング</w:t>
      </w:r>
    </w:p>
    <w:p>
      <w:pPr>
        <w:spacing w:after="200"/>
        <w:jc w:val="center"/>
      </w:pPr>
      <w:r>
        <w:rPr>
          <w:rFonts w:ascii="游ゴシック" w:cs="游ゴシック" w:eastAsia="游ゴシック" w:hAnsi="游ゴシック"/>
          <w:b/>
          <w:bCs/>
          <w:sz w:val="40"/>
          <w:szCs w:val="40"/>
        </w:rPr>
        <w:t xml:space="preserve">複数年契約の設計検討</w:t>
      </w:r>
    </w:p>
    <w:p>
      <w:pPr>
        <w:spacing w:after="400"/>
        <w:jc w:val="center"/>
      </w:pPr>
      <w:r>
        <w:rPr>
          <w:rFonts w:ascii="游ゴシック" w:cs="游ゴシック" w:eastAsia="游ゴシック" w:hAnsi="游ゴシック"/>
          <w:sz w:val="26"/>
          <w:szCs w:val="26"/>
        </w:rPr>
        <w:t xml:space="preserve">── 中間整理資料 ──</w:t>
      </w:r>
    </w:p>
    <w:p>
      <w:pPr>
        <w:spacing w:after="100"/>
        <w:jc w:val="center"/>
      </w:pPr>
      <w:r>
        <w:rPr>
          <w:rFonts w:ascii="游ゴシック" w:cs="游ゴシック" w:eastAsia="游ゴシック" w:hAnsi="游ゴシック"/>
          <w:sz w:val="22"/>
          <w:szCs w:val="22"/>
        </w:rPr>
        <w:t xml:space="preserve">ベンダーマネジメント担当　検討メモ</w:t>
      </w:r>
    </w:p>
    <w:p>
      <w:pPr>
        <w:spacing w:after="800"/>
        <w:jc w:val="center"/>
      </w:pPr>
      <w:r>
        <w:rPr>
          <w:rFonts w:ascii="游ゴシック" w:cs="游ゴシック" w:eastAsia="游ゴシック" w:hAnsi="游ゴシック"/>
          <w:sz w:val="22"/>
          <w:szCs w:val="22"/>
        </w:rPr>
        <w:t xml:space="preserve">作成日：2026年8月29日</w:t>
      </w:r>
      <w:r>
        <w:rPr>
          <w:rFonts w:ascii="游ゴシック" w:cs="游ゴシック" w:eastAsia="游ゴシック" w:hAnsi="游ゴシック"/>
          <w:sz w:val="18"/>
          <w:szCs w:val="18"/>
        </w:rPr>
        <w:t xml:space="preserve">(初版はベンダー切替検討として作成。方針確認の結果、対象を「1月のサービス開始に伴う複数年アウトソーシング契約の整理」に修正)</w:t>
      </w:r>
    </w:p>
    <w:p>
      <w:pPr>
        <w:spacing w:after="160"/>
      </w:pPr>
      <w:r>
        <w:rPr>
          <w:rFonts w:ascii="游ゴシック" w:cs="游ゴシック" w:eastAsia="游ゴシック" w:hAnsi="游ゴシック"/>
          <w:sz w:val="21"/>
          <w:szCs w:val="21"/>
        </w:rPr>
        <w:t xml:space="preserve">本資料は、サービスデスク(L1)・インフラ領域のサービスマネジメント(L2)、および一部アプリケーションのエスカレーション対応(L1.5)について、新ベンダーによるサービス開始(来年1月)に伴って締結する複数年のアウトソーシング契約の考え方を整理したものである。ベンダー切替の意思決定・切替先ベンダーの選定・移行プロジェクト(3か月での新体制移行、1月からの全領域稼働)は、新ベンダーとのコミットメントとして請負契約によりすでに合意・進行中であり、本資料の対象外である。本資料が扱うのは、その先の複数年アウトソーシング契約そのものであり、大枠は合意済みという前提のもと、詳細を詰めるために必要な論点を整理する。</w:t>
      </w:r>
    </w:p>
    <w:p>
      <w:r>
        <w:br w:type="page"/>
      </w:r>
    </w:p>
    <w:p>
      <w:pPr>
        <w:pStyle w:val="Heading1"/>
        <w:spacing w:after="200" w:before="400"/>
      </w:pPr>
      <w:r>
        <w:rPr>
          <w:rFonts w:ascii="游ゴシック" w:cs="游ゴシック" w:eastAsia="游ゴシック" w:hAnsi="游ゴシック"/>
        </w:rPr>
        <w:t xml:space="preserve">1. 本資料の位置づけ</w:t>
      </w:r>
    </w:p>
    <w:p>
      <w:pPr>
        <w:spacing w:after="160"/>
      </w:pPr>
      <w:r>
        <w:rPr>
          <w:rFonts w:ascii="游ゴシック" w:cs="游ゴシック" w:eastAsia="游ゴシック" w:hAnsi="游ゴシック"/>
          <w:sz w:val="21"/>
          <w:szCs w:val="21"/>
        </w:rPr>
        <w:t xml:space="preserve">サービスデスク(L1)・インフラ領域のサービスマネジメント(L2)、および一部アプリケーションのエスカレーション対応(L1.5)は、自社ITオペレーションコストの約10％を占める。この領域について、調達部・サービスデスク担当チーム・インフラ領域担当チームによるRFPプロセスを経て、新ベンダーへの切替が既に決定している。</w:t>
      </w:r>
    </w:p>
    <w:p>
      <w:pPr>
        <w:spacing w:after="160"/>
      </w:pPr>
      <w:r>
        <w:rPr>
          <w:rFonts w:ascii="游ゴシック" w:cs="游ゴシック" w:eastAsia="游ゴシック" w:hAnsi="游ゴシック"/>
          <w:sz w:val="21"/>
          <w:szCs w:val="21"/>
        </w:rPr>
        <w:t xml:space="preserve">新ベンダーによる移行プロジェクトは既に開始しており、3か月で新体制へ移行し、来年1月から全領域(L1・L1.5・L2)を新体制で稼働開始することが、新ベンダーとのコミットメントとして請負契約により合意済みである。移行プロジェクトそのものの進行管理は本資料の対象外とする。</w:t>
      </w:r>
    </w:p>
    <w:p>
      <w:pPr>
        <w:spacing w:after="160"/>
      </w:pPr>
      <w:r>
        <w:rPr>
          <w:rFonts w:ascii="游ゴシック" w:cs="游ゴシック" w:eastAsia="游ゴシック" w:hAnsi="游ゴシック"/>
          <w:sz w:val="21"/>
          <w:szCs w:val="21"/>
        </w:rPr>
        <w:t xml:space="preserve">本資料が対象とするのは、1月のサービス開始以降の運用を担う複数年のアウトソーシング契約である。契約の大枠(基本方針)は既に合意されているが、SLA・サービスクレジット・要員体制に関する取り決め・ベンチマーキング条項など、詳細な条件はこれから詰める段階にある。</w:t>
      </w:r>
    </w:p>
    <w:p>
      <w:pPr>
        <w:pStyle w:val="Heading2"/>
        <w:spacing w:after="150" w:before="300"/>
      </w:pPr>
      <w:r>
        <w:rPr>
          <w:rFonts w:ascii="游ゴシック" w:cs="游ゴシック" w:eastAsia="游ゴシック" w:hAnsi="游ゴシック"/>
        </w:rPr>
        <w:t xml:space="preserve">1.1 本資料の整理の仕方</w:t>
      </w:r>
    </w:p>
    <w:p>
      <w:pPr>
        <w:spacing w:after="160"/>
      </w:pPr>
      <w:r>
        <w:rPr>
          <w:rFonts w:ascii="游ゴシック" w:cs="游ゴシック" w:eastAsia="游ゴシック" w:hAnsi="游ゴシック"/>
          <w:sz w:val="21"/>
          <w:szCs w:val="21"/>
        </w:rPr>
        <w:t xml:space="preserve">it-cost-optimizationの検討では、Microsoft・AWSという具体的な対象について、契約体系・価格転嫁の力学を比較することで、今後の交渉に向けた情報を整理した。本資料も同様のアプローチをとる。すなわち、アウトソーシングサービスの契約類型(価格モデル)を挙げ、それぞれの特徴を比較し、SLA・サービスクレジット・要員体制・ベンチマーキング条項といった、契約を詰めるうえで押さえておくべき一般的な知識を整理する。個別のベンダー名・金額は扱わない。</w:t>
      </w:r>
    </w:p>
    <w:p>
      <w:pPr>
        <w:pStyle w:val="Heading2"/>
        <w:spacing w:after="150" w:before="300"/>
      </w:pPr>
      <w:r>
        <w:rPr>
          <w:rFonts w:ascii="游ゴシック" w:cs="游ゴシック" w:eastAsia="游ゴシック" w:hAnsi="游ゴシック"/>
        </w:rPr>
        <w:t xml:space="preserve">1.2 本資料の対象範囲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00"/>
      </w:tblGrid>
      <w:tr>
        <w:trPr>
          <w:tblHeader/>
        </w:trPr>
        <w:tc>
          <w:tcPr>
            <w:tcW w:type="dxa" w:w="30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領域</w:t>
            </w:r>
          </w:p>
        </w:tc>
        <w:tc>
          <w:tcPr>
            <w:tcW w:type="dxa" w:w="36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内容</w:t>
            </w:r>
          </w:p>
        </w:tc>
        <w:tc>
          <w:tcPr>
            <w:tcW w:type="dxa" w:w="24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本資料での扱い</w:t>
            </w:r>
          </w:p>
        </w:tc>
      </w:tr>
      <w:tr>
        <w:tc>
          <w:tcPr>
            <w:tcW w:type="dxa" w:w="3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L1　サービスデスク</w:t>
            </w:r>
          </w:p>
        </w:tc>
        <w:tc>
          <w:tcPr>
            <w:tcW w:type="dxa" w:w="3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一次受付・一次切り分け</w:t>
            </w:r>
          </w:p>
        </w:tc>
        <w:tc>
          <w:tcPr>
            <w:tcW w:type="dxa" w:w="24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複数年アウトソーシング契約の対象。SLA・契約条件を整理</w:t>
            </w:r>
          </w:p>
        </w:tc>
      </w:tr>
      <w:tr>
        <w:tc>
          <w:tcPr>
            <w:tcW w:type="dxa" w:w="3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L2　インフラサービスマネジメント</w:t>
            </w:r>
          </w:p>
        </w:tc>
        <w:tc>
          <w:tcPr>
            <w:tcW w:type="dxa" w:w="3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インフラ運用の二次対応・サービスマネジメント</w:t>
            </w:r>
          </w:p>
        </w:tc>
        <w:tc>
          <w:tcPr>
            <w:tcW w:type="dxa" w:w="24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複数年アウトソーシング契約の対象。SLA・契約条件を整理</w:t>
            </w:r>
          </w:p>
        </w:tc>
      </w:tr>
      <w:tr>
        <w:tc>
          <w:tcPr>
            <w:tcW w:type="dxa" w:w="3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L1.5　アプリケーションエスカレーション対応</w:t>
            </w:r>
          </w:p>
        </w:tc>
        <w:tc>
          <w:tcPr>
            <w:tcW w:type="dxa" w:w="3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各アプリケーション保守ベンダーへの取次・チケット起票</w:t>
            </w:r>
          </w:p>
        </w:tc>
        <w:tc>
          <w:tcPr>
            <w:tcW w:type="dxa" w:w="24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契約の対象に含むが、業務プロセスは現行踏襲(第9章)</w:t>
            </w:r>
          </w:p>
        </w:tc>
      </w:tr>
    </w:tbl>
    <w:p>
      <w:pPr>
        <w:spacing w:after="200"/>
      </w:pPr>
      <w:r>
        <w:rPr>
          <w:rFonts w:ascii="游ゴシック" w:cs="游ゴシック" w:eastAsia="游ゴシック" w:hAnsi="游ゴシック"/>
        </w:rPr>
        <w:t xml:space="preserve"/>
      </w:r>
    </w:p>
    <w:p>
      <w:pPr>
        <w:pStyle w:val="Heading2"/>
        <w:spacing w:after="150" w:before="300"/>
      </w:pPr>
      <w:r>
        <w:rPr>
          <w:rFonts w:ascii="游ゴシック" w:cs="游ゴシック" w:eastAsia="游ゴシック" w:hAnsi="游ゴシック"/>
        </w:rPr>
        <w:t xml:space="preserve">1.3 本資料が扱わない事項</w:t>
      </w:r>
    </w:p>
    <w:p>
      <w:pPr>
        <w:pStyle w:val="ListParagraph"/>
        <w:numPr>
          <w:ilvl w:val="0"/>
          <w:numId w:val="2"/>
        </w:numPr>
        <w:spacing w:after="100"/>
      </w:pPr>
      <w:r>
        <w:rPr>
          <w:rFonts w:ascii="游ゴシック" w:cs="游ゴシック" w:eastAsia="游ゴシック" w:hAnsi="游ゴシック"/>
          <w:sz w:val="21"/>
          <w:szCs w:val="21"/>
        </w:rPr>
        <w:t xml:space="preserve">移行プロジェクトそのものの進行管理・スケジュール(請負契約の範囲であり、本資料の対象外)。</w:t>
      </w:r>
    </w:p>
    <w:p>
      <w:pPr>
        <w:pStyle w:val="ListParagraph"/>
        <w:numPr>
          <w:ilvl w:val="0"/>
          <w:numId w:val="2"/>
        </w:numPr>
        <w:spacing w:after="100"/>
      </w:pPr>
      <w:r>
        <w:rPr>
          <w:rFonts w:ascii="游ゴシック" w:cs="游ゴシック" w:eastAsia="游ゴシック" w:hAnsi="游ゴシック"/>
          <w:sz w:val="21"/>
          <w:szCs w:val="21"/>
        </w:rPr>
        <w:t xml:space="preserve">具体的な契約金額、および現行ベンダー・新ベンダーの固有名称(本資料では「新ベンダー」と表記する)。</w:t>
      </w:r>
    </w:p>
    <w:p>
      <w:pPr>
        <w:pStyle w:val="ListParagraph"/>
        <w:numPr>
          <w:ilvl w:val="0"/>
          <w:numId w:val="2"/>
        </w:numPr>
        <w:spacing w:after="100"/>
      </w:pPr>
      <w:r>
        <w:rPr>
          <w:rFonts w:ascii="游ゴシック" w:cs="游ゴシック" w:eastAsia="游ゴシック" w:hAnsi="游ゴシック"/>
          <w:sz w:val="21"/>
          <w:szCs w:val="21"/>
        </w:rPr>
        <w:t xml:space="preserve">L1.5の業務プロセス自体の再設計(現行運用を踏襲する)。</w:t>
      </w:r>
    </w:p>
    <w:p>
      <w:pPr>
        <w:pStyle w:val="Heading1"/>
        <w:spacing w:after="200" w:before="400"/>
      </w:pPr>
      <w:r>
        <w:rPr>
          <w:rFonts w:ascii="游ゴシック" w:cs="游ゴシック" w:eastAsia="游ゴシック" w:hAnsi="游ゴシック"/>
        </w:rPr>
        <w:t xml:space="preserve">2. 状況整理と全体方針</w:t>
      </w:r>
    </w:p>
    <w:p>
      <w:pPr>
        <w:spacing w:after="160"/>
      </w:pPr>
      <w:r>
        <w:rPr>
          <w:rFonts w:ascii="游ゴシック" w:cs="游ゴシック" w:eastAsia="游ゴシック" w:hAnsi="游ゴシック"/>
          <w:sz w:val="21"/>
          <w:szCs w:val="21"/>
        </w:rPr>
        <w:t xml:space="preserve">現行ベンダーは100人を超える体制でL1・L2の業務を担ってきたが、業務範囲ごとに担当が分かれる分業構造をとっており、体制内での連携・情報共有が難しい。加えて離職率が高く、月次で体制の1割程度が入れ替わってきた。単純に年換算すると100％を超える水準になり得るが、これは米国のコンタクトセンター・BPO業界における一般的な年間離職率(平均30〜45％、上位5％の事業者でも15％未満とされる)と比較しても著しく高い水準である(出典1)。新人が経験者と同等の生産性に達するまでには一般に6か月以上を要するとされ(出典1)、離職率の高さは採用・教育コストだけでなく、品質の継続的な低下という形で運用全体に影響する。</w:t>
      </w:r>
    </w:p>
    <w:p>
      <w:pPr>
        <w:spacing w:after="160"/>
      </w:pPr>
      <w:r>
        <w:rPr>
          <w:rFonts w:ascii="游ゴシック" w:cs="游ゴシック" w:eastAsia="游ゴシック" w:hAnsi="游ゴシック"/>
          <w:sz w:val="21"/>
          <w:szCs w:val="21"/>
        </w:rPr>
        <w:t xml:space="preserve">この経験を踏まえると、新ベンダーとの複数年アウトソーシング契約においては、稼働率やインシデント対応時間といった従来型の指標だけでなく、要員体制の持続可能性そのものを可視化する仕組みを契約・レポーティングに組み込む価値があると考えられる(詳細は第6章)。</w:t>
      </w:r>
    </w:p>
    <w:p>
      <w:pPr>
        <w:pStyle w:val="Heading2"/>
        <w:spacing w:after="150" w:before="300"/>
      </w:pPr>
      <w:r>
        <w:rPr>
          <w:rFonts w:ascii="游ゴシック" w:cs="游ゴシック" w:eastAsia="游ゴシック" w:hAnsi="游ゴシック"/>
        </w:rPr>
        <w:t xml:space="preserve">2.1 詳細化すべき論点の全体像</w:t>
      </w:r>
    </w:p>
    <w:p>
      <w:pPr>
        <w:spacing w:after="160"/>
      </w:pPr>
      <w:r>
        <w:rPr>
          <w:rFonts w:ascii="游ゴシック" w:cs="游ゴシック" w:eastAsia="游ゴシック" w:hAnsi="游ゴシック"/>
          <w:sz w:val="21"/>
          <w:szCs w:val="21"/>
        </w:rPr>
        <w:t xml:space="preserve">大枠が合意済みの複数年アウトソーシング契約について、詳細を詰めるべき論点は次の5領域に整理できる。</w:t>
      </w:r>
    </w:p>
    <w:p>
      <w:pPr>
        <w:pStyle w:val="ListParagraph"/>
        <w:numPr>
          <w:ilvl w:val="0"/>
          <w:numId w:val="2"/>
        </w:numPr>
        <w:spacing w:after="100"/>
      </w:pPr>
      <w:r>
        <w:rPr>
          <w:rFonts w:ascii="游ゴシック" w:cs="游ゴシック" w:eastAsia="游ゴシック" w:hAnsi="游ゴシック"/>
          <w:sz w:val="21"/>
          <w:szCs w:val="21"/>
        </w:rPr>
        <w:t xml:space="preserve">価格モデルの選択：スタッフオーグメンテーション型・固定価格型・T&amp;M型・マネージドサービス型・消費量型のいずれの考え方に基づくか、またはその組み合わせか(第3章)</w:t>
      </w:r>
    </w:p>
    <w:p>
      <w:pPr>
        <w:pStyle w:val="ListParagraph"/>
        <w:numPr>
          <w:ilvl w:val="0"/>
          <w:numId w:val="2"/>
        </w:numPr>
        <w:spacing w:after="100"/>
      </w:pPr>
      <w:r>
        <w:rPr>
          <w:rFonts w:ascii="游ゴシック" w:cs="游ゴシック" w:eastAsia="游ゴシック" w:hAnsi="游ゴシック"/>
          <w:sz w:val="21"/>
          <w:szCs w:val="21"/>
        </w:rPr>
        <w:t xml:space="preserve">SLA・サービスクレジットの設計：何を測定し、未達時にどう扱うか(第4章)</w:t>
      </w:r>
    </w:p>
    <w:p>
      <w:pPr>
        <w:pStyle w:val="ListParagraph"/>
        <w:numPr>
          <w:ilvl w:val="0"/>
          <w:numId w:val="2"/>
        </w:numPr>
        <w:spacing w:after="100"/>
      </w:pPr>
      <w:r>
        <w:rPr>
          <w:rFonts w:ascii="游ゴシック" w:cs="游ゴシック" w:eastAsia="游ゴシック" w:hAnsi="游ゴシック"/>
          <w:sz w:val="21"/>
          <w:szCs w:val="21"/>
        </w:rPr>
        <w:t xml:space="preserve">要員体制・離職リスクへの対応：現行ベンダーの課題を繰り返さないための仕組み(第5章)</w:t>
      </w:r>
    </w:p>
    <w:p>
      <w:pPr>
        <w:pStyle w:val="ListParagraph"/>
        <w:numPr>
          <w:ilvl w:val="0"/>
          <w:numId w:val="2"/>
        </w:numPr>
        <w:spacing w:after="100"/>
      </w:pPr>
      <w:r>
        <w:rPr>
          <w:rFonts w:ascii="游ゴシック" w:cs="游ゴシック" w:eastAsia="游ゴシック" w:hAnsi="游ゴシック"/>
          <w:sz w:val="21"/>
          <w:szCs w:val="21"/>
        </w:rPr>
        <w:t xml:space="preserve">ベンチマーキング・価格改定条項：複数年契約の期間中、価格・水準の妥当性をどう担保するか(第6章)</w:t>
      </w:r>
    </w:p>
    <w:p>
      <w:pPr>
        <w:pStyle w:val="ListParagraph"/>
        <w:numPr>
          <w:ilvl w:val="0"/>
          <w:numId w:val="2"/>
        </w:numPr>
        <w:spacing w:after="100"/>
      </w:pPr>
      <w:r>
        <w:rPr>
          <w:rFonts w:ascii="游ゴシック" w:cs="游ゴシック" w:eastAsia="游ゴシック" w:hAnsi="游ゴシック"/>
          <w:sz w:val="21"/>
          <w:szCs w:val="21"/>
        </w:rPr>
        <w:t xml:space="preserve">グローバルデリバリーモデル：オンショア・ニアショア・オフショアの構成をどう契約に反映するか(第7章)</w:t>
      </w:r>
    </w:p>
    <w:p>
      <w:pPr>
        <w:pStyle w:val="Heading1"/>
        <w:spacing w:after="200" w:before="400"/>
      </w:pPr>
      <w:r>
        <w:rPr>
          <w:rFonts w:ascii="游ゴシック" w:cs="游ゴシック" w:eastAsia="游ゴシック" w:hAnsi="游ゴシック"/>
        </w:rPr>
        <w:t xml:space="preserve">3. アウトソーシング契約の価格モデル類型</w:t>
      </w:r>
    </w:p>
    <w:p>
      <w:pPr>
        <w:spacing w:after="160"/>
      </w:pPr>
      <w:r>
        <w:rPr>
          <w:rFonts w:ascii="游ゴシック" w:cs="游ゴシック" w:eastAsia="游ゴシック" w:hAnsi="游ゴシック"/>
          <w:sz w:val="21"/>
          <w:szCs w:val="21"/>
        </w:rPr>
        <w:t xml:space="preserve">アウトソーシングサービスの契約は、価格モデル(コミットメントの取り方)によっていくつかの類型に整理できる。それぞれリスクの配分と柔軟性が異なり、適した領域も異なる(出典2, 出典6)。</w:t>
      </w:r>
    </w:p>
    <w:p>
      <w:pPr>
        <w:pStyle w:val="Heading2"/>
        <w:spacing w:after="150" w:before="300"/>
      </w:pPr>
      <w:r>
        <w:rPr>
          <w:rFonts w:ascii="游ゴシック" w:cs="游ゴシック" w:eastAsia="游ゴシック" w:hAnsi="游ゴシック"/>
        </w:rPr>
        <w:t xml:space="preserve">3.1 価格モデルの類型比較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100"/>
        <w:gridCol w:w="2100"/>
      </w:tblGrid>
      <w:tr>
        <w:trPr>
          <w:tblHeader/>
        </w:trPr>
        <w:tc>
          <w:tcPr>
            <w:tcW w:type="dxa" w:w="18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価格モデル</w:t>
            </w:r>
          </w:p>
        </w:tc>
        <w:tc>
          <w:tcPr>
            <w:tcW w:type="dxa" w:w="30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特徴</w:t>
            </w:r>
          </w:p>
        </w:tc>
        <w:tc>
          <w:tcPr>
            <w:tcW w:type="dxa" w:w="21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Pros</w:t>
            </w:r>
          </w:p>
        </w:tc>
        <w:tc>
          <w:tcPr>
            <w:tcW w:type="dxa" w:w="21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Cons</w:t>
            </w:r>
          </w:p>
        </w:tc>
      </w:tr>
      <w:tr>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スタッフオーグメンテーション
(要員常駐)型</w:t>
            </w:r>
          </w:p>
        </w:tc>
        <w:tc>
          <w:tcPr>
            <w:tcW w:type="dxa" w:w="3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自社体制にベンダー要員を組み込み、稼働時間・人月単位で課金。指揮命令・優先順位付けは発注側が担う(出典6)</w:t>
            </w:r>
          </w:p>
        </w:tc>
        <w:tc>
          <w:tcPr>
            <w:tcW w:type="dxa" w:w="21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立ち上げが速い。稼働配分を柔軟に調整しやすい</w:t>
            </w:r>
          </w:p>
        </w:tc>
        <w:tc>
          <w:tcPr>
            <w:tcW w:type="dxa" w:w="21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要員の管理・成果責任は発注側に残る。現行契約はこの型に近い構造</w:t>
            </w:r>
          </w:p>
        </w:tc>
      </w:tr>
      <w:tr>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固定価格(Fixed-Price)型</w:t>
            </w:r>
          </w:p>
        </w:tc>
        <w:tc>
          <w:tcPr>
            <w:tcW w:type="dxa" w:w="3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明確に定義された作業範囲に対して総額を固定する(出典2, 出典6)</w:t>
            </w:r>
          </w:p>
        </w:tc>
        <w:tc>
          <w:tcPr>
            <w:tcW w:type="dxa" w:w="21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コストの予見可能性が高い。要件が明確な業務に適する</w:t>
            </w:r>
          </w:p>
        </w:tc>
        <w:tc>
          <w:tcPr>
            <w:tcW w:type="dxa" w:w="21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範囲外の変更に追加費用が発生しやすく、変更の多い運用業務にはなじみにくい</w:t>
            </w:r>
          </w:p>
        </w:tc>
      </w:tr>
      <w:tr>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タイム&amp;マテリアルズ(T&amp;M)
／コストプラス型</w:t>
            </w:r>
          </w:p>
        </w:tc>
        <w:tc>
          <w:tcPr>
            <w:tcW w:type="dxa" w:w="3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ベンダーの実コスト(人件費・諸経費)に合意した利益率を上乗せして支払う(出典2)</w:t>
            </w:r>
          </w:p>
        </w:tc>
        <w:tc>
          <w:tcPr>
            <w:tcW w:type="dxa" w:w="21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透明性が高い。大規模・複雑な業務に向く</w:t>
            </w:r>
          </w:p>
        </w:tc>
        <w:tc>
          <w:tcPr>
            <w:tcW w:type="dxa" w:w="21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コストの上振れを発注側が引き受ける構造になりやすい</w:t>
            </w:r>
          </w:p>
        </w:tc>
      </w:tr>
      <w:tr>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マネージドサービス
(アウトカムベース)型</w:t>
            </w:r>
          </w:p>
        </w:tc>
        <w:tc>
          <w:tcPr>
            <w:tcW w:type="dxa" w:w="3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運用機能そのものをベンダーに委ね、合意したサービスレベルの達成を求める。月額固定が多い(出典6)</w:t>
            </w:r>
          </w:p>
        </w:tc>
        <w:tc>
          <w:tcPr>
            <w:tcW w:type="dxa" w:w="21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コストの予測可能性が高い。発注側の運用負担が小さい</w:t>
            </w:r>
          </w:p>
        </w:tc>
        <w:tc>
          <w:tcPr>
            <w:tcW w:type="dxa" w:w="21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ベンダーへの依存度が高まる</w:t>
            </w:r>
          </w:p>
        </w:tc>
      </w:tr>
      <w:tr>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消費量(チケット従量)型</w:t>
            </w:r>
          </w:p>
        </w:tc>
        <w:tc>
          <w:tcPr>
            <w:tcW w:type="dxa" w:w="3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対応したチケット件数・作業量に応じて課金する</w:t>
            </w:r>
          </w:p>
        </w:tc>
        <w:tc>
          <w:tcPr>
            <w:tcW w:type="dxa" w:w="21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業務量の変動が大きい場合、コストを実態に近づけられる</w:t>
            </w:r>
          </w:p>
        </w:tc>
        <w:tc>
          <w:tcPr>
            <w:tcW w:type="dxa" w:w="21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チケット件数を人為的に細分化する等、インセンティブの歪みに注意が必要</w:t>
            </w:r>
          </w:p>
        </w:tc>
      </w:tr>
    </w:tbl>
    <w:p>
      <w:pPr>
        <w:spacing w:after="200"/>
      </w:pPr>
      <w:r>
        <w:rPr>
          <w:rFonts w:ascii="游ゴシック" w:cs="游ゴシック" w:eastAsia="游ゴシック" w:hAnsi="游ゴシック"/>
        </w:rPr>
        <w:t xml:space="preserve"/>
      </w:r>
    </w:p>
    <w:p>
      <w:pPr>
        <w:pStyle w:val="Heading2"/>
        <w:spacing w:after="150" w:before="300"/>
      </w:pPr>
      <w:r>
        <w:rPr>
          <w:rFonts w:ascii="游ゴシック" w:cs="游ゴシック" w:eastAsia="游ゴシック" w:hAnsi="游ゴシック"/>
        </w:rPr>
        <w:t xml:space="preserve">3.2 新ベンダーとの契約設計への示唆</w:t>
      </w:r>
    </w:p>
    <w:p>
      <w:pPr>
        <w:spacing w:after="160"/>
      </w:pPr>
      <w:r>
        <w:rPr>
          <w:rFonts w:ascii="游ゴシック" w:cs="游ゴシック" w:eastAsia="游ゴシック" w:hAnsi="游ゴシック"/>
          <w:sz w:val="21"/>
          <w:szCs w:val="21"/>
        </w:rPr>
        <w:t xml:space="preserve">現行契約(要員常駐型に近い構造)が抱えていた問題は、体制の量(人数)を保証する代わりにコストを引き出すという構造そのものが、要員の質・定着へのインセンティブを持たなかった点にある。マネージドサービス型・アウトカムベース型の要素を取り入れ、成果(SLA達成)に連動した対価設計にすることで、体制維持スパイラルの再発を防ぐ設計上のレバーになり得る。どの程度をアウトカムベースにするかは、大枠合意済みの価格体系の範囲内で検討する詳細論点となる。</w:t>
      </w:r>
    </w:p>
    <w:p>
      <w:pPr>
        <w:pStyle w:val="Heading1"/>
        <w:spacing w:after="200" w:before="400"/>
      </w:pPr>
      <w:r>
        <w:rPr>
          <w:rFonts w:ascii="游ゴシック" w:cs="游ゴシック" w:eastAsia="游ゴシック" w:hAnsi="游ゴシック"/>
        </w:rPr>
        <w:t xml:space="preserve">4. SLA・サービスクレジット設計のリファレンス</w:t>
      </w:r>
    </w:p>
    <w:p>
      <w:pPr>
        <w:pStyle w:val="Heading2"/>
        <w:spacing w:after="150" w:before="300"/>
      </w:pPr>
      <w:r>
        <w:rPr>
          <w:rFonts w:ascii="游ゴシック" w:cs="游ゴシック" w:eastAsia="游ゴシック" w:hAnsi="游ゴシック"/>
        </w:rPr>
        <w:t xml:space="preserve">4.1 代表的なKPI指標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指標</w:t>
            </w:r>
          </w:p>
        </w:tc>
        <w:tc>
          <w:tcPr>
            <w:tcW w:type="dxa" w:w="58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内容</w:t>
            </w:r>
          </w:p>
        </w:tc>
      </w:tr>
      <w:tr>
        <w:tc>
          <w:tcPr>
            <w:tcW w:type="dxa" w:w="32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First Contact Resolution(初回解決率)</w:t>
            </w:r>
          </w:p>
        </w:tc>
        <w:tc>
          <w:tcPr>
            <w:tcW w:type="dxa" w:w="5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一次対応で解決した割合。高いほどサービスデスクの成熟度が高いとされる(出典3)</w:t>
            </w:r>
          </w:p>
        </w:tc>
      </w:tr>
      <w:tr>
        <w:tc>
          <w:tcPr>
            <w:tcW w:type="dxa" w:w="32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MTTR(平均解決時間)</w:t>
            </w:r>
          </w:p>
        </w:tc>
        <w:tc>
          <w:tcPr>
            <w:tcW w:type="dxa" w:w="5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インシデント報告から解決までの平均時間(出典3)</w:t>
            </w:r>
          </w:p>
        </w:tc>
      </w:tr>
      <w:tr>
        <w:tc>
          <w:tcPr>
            <w:tcW w:type="dxa" w:w="32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SLA達成率</w:t>
            </w:r>
          </w:p>
        </w:tc>
        <w:tc>
          <w:tcPr>
            <w:tcW w:type="dxa" w:w="5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応答時間・優先順位付け等、合意した基準を満たした割合(出典3)</w:t>
            </w:r>
          </w:p>
        </w:tc>
      </w:tr>
      <w:tr>
        <w:tc>
          <w:tcPr>
            <w:tcW w:type="dxa" w:w="32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エスカレーション率</w:t>
            </w:r>
          </w:p>
        </w:tc>
        <w:tc>
          <w:tcPr>
            <w:tcW w:type="dxa" w:w="5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L2・L3にエスカレーションされた件数の割合。高い場合はL1のスキルギャップを示唆(出典3)</w:t>
            </w:r>
          </w:p>
        </w:tc>
      </w:tr>
      <w:tr>
        <w:tc>
          <w:tcPr>
            <w:tcW w:type="dxa" w:w="32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再オープン率</w:t>
            </w:r>
          </w:p>
        </w:tc>
        <w:tc>
          <w:tcPr>
            <w:tcW w:type="dxa" w:w="5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解決後に再度開かれたチケットの割合(出典3)</w:t>
            </w:r>
          </w:p>
        </w:tc>
      </w:tr>
      <w:tr>
        <w:tc>
          <w:tcPr>
            <w:tcW w:type="dxa" w:w="32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CSAT</w:t>
            </w:r>
          </w:p>
        </w:tc>
        <w:tc>
          <w:tcPr>
            <w:tcW w:type="dxa" w:w="5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利用者満足度調査の結果(出典3, 出典4)</w:t>
            </w:r>
          </w:p>
        </w:tc>
      </w:tr>
    </w:tbl>
    <w:p>
      <w:pPr>
        <w:spacing w:after="200"/>
      </w:pPr>
      <w:r>
        <w:rPr>
          <w:rFonts w:ascii="游ゴシック" w:cs="游ゴシック" w:eastAsia="游ゴシック" w:hAnsi="游ゴシック"/>
        </w:rPr>
        <w:t xml:space="preserve"/>
      </w:r>
    </w:p>
    <w:p>
      <w:pPr>
        <w:pStyle w:val="Heading3"/>
        <w:spacing w:after="120" w:before="200"/>
      </w:pPr>
      <w:r>
        <w:rPr>
          <w:rFonts w:ascii="游ゴシック" w:cs="游ゴシック" w:eastAsia="游ゴシック" w:hAnsi="游ゴシック"/>
        </w:rPr>
        <w:t xml:space="preserve">算出方法の例(数値はイメージであり、実際の目標値ではない)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指標</w:t>
            </w:r>
          </w:p>
        </w:tc>
        <w:tc>
          <w:tcPr>
            <w:tcW w:type="dxa" w:w="38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算出式</w:t>
            </w:r>
          </w:p>
        </w:tc>
        <w:tc>
          <w:tcPr>
            <w:tcW w:type="dxa" w:w="30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数値例</w:t>
            </w:r>
          </w:p>
        </w:tc>
      </w:tr>
      <w:tr>
        <w:tc>
          <w:tcPr>
            <w:tcW w:type="dxa" w:w="22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First Contact Resolution</w:t>
            </w:r>
          </w:p>
        </w:tc>
        <w:tc>
          <w:tcPr>
            <w:tcW w:type="dxa" w:w="3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初回解決件数 ÷ 総受付件数 × 100</w:t>
            </w:r>
          </w:p>
        </w:tc>
        <w:tc>
          <w:tcPr>
            <w:tcW w:type="dxa" w:w="3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月間受付1,000件のうち850件を初回解決 → 85％</w:t>
            </w:r>
          </w:p>
        </w:tc>
      </w:tr>
      <w:tr>
        <w:tc>
          <w:tcPr>
            <w:tcW w:type="dxa" w:w="22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MTTR(平均解決時間)</w:t>
            </w:r>
          </w:p>
        </w:tc>
        <w:tc>
          <w:tcPr>
            <w:tcW w:type="dxa" w:w="3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Σ(解決日時－起票日時) ÷ 解決件数</w:t>
            </w:r>
          </w:p>
        </w:tc>
        <w:tc>
          <w:tcPr>
            <w:tcW w:type="dxa" w:w="3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10件の合計解決時間が40時間 → 1件あたり4時間</w:t>
            </w:r>
          </w:p>
        </w:tc>
      </w:tr>
      <w:tr>
        <w:tc>
          <w:tcPr>
            <w:tcW w:type="dxa" w:w="22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SLA達成率</w:t>
            </w:r>
          </w:p>
        </w:tc>
        <w:tc>
          <w:tcPr>
            <w:tcW w:type="dxa" w:w="3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SLA基準内に解決した件数 ÷ 対象件数 × 100</w:t>
            </w:r>
          </w:p>
        </w:tc>
        <w:tc>
          <w:tcPr>
            <w:tcW w:type="dxa" w:w="3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対象500件のうち470件が基準内 → 94％</w:t>
            </w:r>
          </w:p>
        </w:tc>
      </w:tr>
      <w:tr>
        <w:tc>
          <w:tcPr>
            <w:tcW w:type="dxa" w:w="22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エスカレーション率</w:t>
            </w:r>
          </w:p>
        </w:tc>
        <w:tc>
          <w:tcPr>
            <w:tcW w:type="dxa" w:w="3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L2・L3へのエスカレーション件数 ÷ 総受付件数 × 100</w:t>
            </w:r>
          </w:p>
        </w:tc>
        <w:tc>
          <w:tcPr>
            <w:tcW w:type="dxa" w:w="3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1,000件中80件がエスカレーション → 8％</w:t>
            </w:r>
          </w:p>
        </w:tc>
      </w:tr>
      <w:tr>
        <w:tc>
          <w:tcPr>
            <w:tcW w:type="dxa" w:w="22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再オープン率</w:t>
            </w:r>
          </w:p>
        </w:tc>
        <w:tc>
          <w:tcPr>
            <w:tcW w:type="dxa" w:w="3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再オープンされた件数 ÷ 解決済み件数 × 100</w:t>
            </w:r>
          </w:p>
        </w:tc>
        <w:tc>
          <w:tcPr>
            <w:tcW w:type="dxa" w:w="3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解決900件のうち27件が再オープン → 3％</w:t>
            </w:r>
          </w:p>
        </w:tc>
      </w:tr>
      <w:tr>
        <w:tc>
          <w:tcPr>
            <w:tcW w:type="dxa" w:w="22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CSAT</w:t>
            </w:r>
          </w:p>
        </w:tc>
        <w:tc>
          <w:tcPr>
            <w:tcW w:type="dxa" w:w="3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満足以上の回答数 ÷ 回答総数 × 100(5段階評価の場合は平均点表記も可)</w:t>
            </w:r>
          </w:p>
        </w:tc>
        <w:tc>
          <w:tcPr>
            <w:tcW w:type="dxa" w:w="3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200件の回答のうち170件が「満足」以上 → 85％</w:t>
            </w:r>
          </w:p>
        </w:tc>
      </w:tr>
    </w:tbl>
    <w:p>
      <w:pPr>
        <w:spacing w:after="200"/>
      </w:pPr>
      <w:r>
        <w:rPr>
          <w:rFonts w:ascii="游ゴシック" w:cs="游ゴシック" w:eastAsia="游ゴシック" w:hAnsi="游ゴシック"/>
        </w:rPr>
        <w:t xml:space="preserve"/>
      </w:r>
    </w:p>
    <w:p>
      <w:pPr>
        <w:pStyle w:val="Heading2"/>
        <w:spacing w:after="150" w:before="300"/>
      </w:pPr>
      <w:r>
        <w:rPr>
          <w:rFonts w:ascii="游ゴシック" w:cs="游ゴシック" w:eastAsia="游ゴシック" w:hAnsi="游ゴシック"/>
        </w:rPr>
        <w:t xml:space="preserve">4.2 サービスクレジットの一般的な設計</w:t>
      </w:r>
    </w:p>
    <w:p>
      <w:pPr>
        <w:spacing w:after="160"/>
      </w:pPr>
      <w:r>
        <w:rPr>
          <w:rFonts w:ascii="游ゴシック" w:cs="游ゴシック" w:eastAsia="游ゴシック" w:hAnsi="游ゴシック"/>
          <w:sz w:val="21"/>
          <w:szCs w:val="21"/>
        </w:rPr>
        <w:t xml:space="preserve">サービスクレジットは、月額費用の一定割合(多くの場合、ベンダーの想定利益率相当額)を「リスクにさらす」形で設計されることが一般的である(出典1)。一部のベンダーは、その後の高パフォーマンスによってクレジットを取り戻す「アーンバック」条項を求めることがあるが、これはクレジットの実効性を弱める可能性があるため、導入する場合は条件を慎重に設計する必要がある(出典1)。</w:t>
      </w:r>
    </w:p>
    <w:p>
      <w:pPr>
        <w:pStyle w:val="Heading2"/>
        <w:spacing w:after="150" w:before="300"/>
      </w:pPr>
      <w:r>
        <w:rPr>
          <w:rFonts w:ascii="游ゴシック" w:cs="游ゴシック" w:eastAsia="游ゴシック" w:hAnsi="游ゴシック"/>
        </w:rPr>
        <w:t xml:space="preserve">4.3 段階的なペナルティ設計</w:t>
      </w:r>
    </w:p>
    <w:p>
      <w:pPr>
        <w:spacing w:after="160"/>
      </w:pPr>
      <w:r>
        <w:rPr>
          <w:rFonts w:ascii="游ゴシック" w:cs="游ゴシック" w:eastAsia="游ゴシック" w:hAnsi="游ゴシック"/>
          <w:sz w:val="21"/>
          <w:szCs w:val="21"/>
        </w:rPr>
        <w:t xml:space="preserve">軽微な逸脱には改善協議、重大かつ継続的な未達にはサービスクレジット、致命的な違反には解約権を段階的に紐づける設計が一般的である。財務的なペナルティの対象は5〜7程度の重要指標に絞り、それ以外は包括的なレポーティング対象とすることで、過度に複雑な監視構造を避けるべきとされる(出典4)。</w:t>
      </w:r>
    </w:p>
    <w:p>
      <w:pPr>
        <w:pStyle w:val="Heading2"/>
        <w:spacing w:after="150" w:before="300"/>
      </w:pPr>
      <w:r>
        <w:rPr>
          <w:rFonts w:ascii="游ゴシック" w:cs="游ゴシック" w:eastAsia="游ゴシック" w:hAnsi="游ゴシック"/>
        </w:rPr>
        <w:t xml:space="preserve">4.4 ガバナンスの頻度</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000"/>
      </w:tblGrid>
      <w:tr>
        <w:trPr>
          <w:tblHeader/>
        </w:trPr>
        <w:tc>
          <w:tcPr>
            <w:tcW w:type="dxa" w:w="16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タイミング</w:t>
            </w:r>
          </w:p>
        </w:tc>
        <w:tc>
          <w:tcPr>
            <w:tcW w:type="dxa" w:w="44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何を管理するか</w:t>
            </w:r>
          </w:p>
        </w:tc>
        <w:tc>
          <w:tcPr>
            <w:tcW w:type="dxa" w:w="30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目的</w:t>
            </w:r>
          </w:p>
        </w:tc>
      </w:tr>
      <w:tr>
        <w:tc>
          <w:tcPr>
            <w:tcW w:type="dxa" w:w="1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日次</w:t>
            </w:r>
          </w:p>
        </w:tc>
        <w:tc>
          <w:tcPr>
            <w:tcW w:type="dxa" w:w="44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運用ダッシュボード(件数・応答時間等の速報値)</w:t>
            </w:r>
          </w:p>
        </w:tc>
        <w:tc>
          <w:tcPr>
            <w:tcW w:type="dxa" w:w="3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異常の早期検知</w:t>
            </w:r>
          </w:p>
        </w:tc>
      </w:tr>
      <w:tr>
        <w:tc>
          <w:tcPr>
            <w:tcW w:type="dxa" w:w="1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週次</w:t>
            </w:r>
          </w:p>
        </w:tc>
        <w:tc>
          <w:tcPr>
            <w:tcW w:type="dxa" w:w="44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トレンドレポート(指標の推移)</w:t>
            </w:r>
          </w:p>
        </w:tc>
        <w:tc>
          <w:tcPr>
            <w:tcW w:type="dxa" w:w="3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悪化の兆候を早期に共有する</w:t>
            </w:r>
          </w:p>
        </w:tc>
      </w:tr>
      <w:tr>
        <w:tc>
          <w:tcPr>
            <w:tcW w:type="dxa" w:w="1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月次</w:t>
            </w:r>
          </w:p>
        </w:tc>
        <w:tc>
          <w:tcPr>
            <w:tcW w:type="dxa" w:w="44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包括的パフォーマンスレビュー(SLA達成率・サービスクレジット精算)</w:t>
            </w:r>
          </w:p>
        </w:tc>
        <w:tc>
          <w:tcPr>
            <w:tcW w:type="dxa" w:w="3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契約上の合意事項の確認・是正</w:t>
            </w:r>
          </w:p>
        </w:tc>
      </w:tr>
      <w:tr>
        <w:tc>
          <w:tcPr>
            <w:tcW w:type="dxa" w:w="1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四半期</w:t>
            </w:r>
          </w:p>
        </w:tc>
        <w:tc>
          <w:tcPr>
            <w:tcW w:type="dxa" w:w="44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ビジネスレビュー(指標・目標値そのものの妥当性)</w:t>
            </w:r>
          </w:p>
        </w:tc>
        <w:tc>
          <w:tcPr>
            <w:tcW w:type="dxa" w:w="3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指標設計自体の見直し(出典4)</w:t>
            </w:r>
          </w:p>
        </w:tc>
      </w:tr>
    </w:tbl>
    <w:p>
      <w:pPr>
        <w:pStyle w:val="Heading1"/>
        <w:spacing w:after="200" w:before="400"/>
      </w:pPr>
      <w:r>
        <w:rPr>
          <w:rFonts w:ascii="游ゴシック" w:cs="游ゴシック" w:eastAsia="游ゴシック" w:hAnsi="游ゴシック"/>
        </w:rPr>
        <w:t xml:space="preserve">5. 要員体制・離職リスクへの契約上の対応</w:t>
      </w:r>
    </w:p>
    <w:p>
      <w:pPr>
        <w:spacing w:after="160"/>
      </w:pPr>
      <w:r>
        <w:rPr>
          <w:rFonts w:ascii="游ゴシック" w:cs="游ゴシック" w:eastAsia="游ゴシック" w:hAnsi="游ゴシック"/>
          <w:sz w:val="21"/>
          <w:szCs w:val="21"/>
        </w:rPr>
        <w:t xml:space="preserve">現行ベンダーの課題の核心は、コストではなく実行能力、その根本は高い離職率にあった。この経験を新ベンダーとの契約にどう反映するかを整理する。</w:t>
      </w:r>
    </w:p>
    <w:p>
      <w:pPr>
        <w:pStyle w:val="Heading2"/>
        <w:spacing w:after="150" w:before="300"/>
      </w:pPr>
      <w:r>
        <w:rPr>
          <w:rFonts w:ascii="游ゴシック" w:cs="游ゴシック" w:eastAsia="游ゴシック" w:hAnsi="游ゴシック"/>
        </w:rPr>
        <w:t xml:space="preserve">5.1 離職の「見えないコスト」構造</w:t>
      </w:r>
    </w:p>
    <w:p>
      <w:pPr>
        <w:spacing w:after="160"/>
      </w:pPr>
      <w:r>
        <w:rPr>
          <w:rFonts w:ascii="游ゴシック" w:cs="游ゴシック" w:eastAsia="游ゴシック" w:hAnsi="游ゴシック"/>
          <w:sz w:val="21"/>
          <w:szCs w:val="21"/>
        </w:rPr>
        <w:t xml:space="preserve">離職は請求書には現れないコストだが、採用・教育コスト、立ち上げ期間中の生産性低下、品質の劣化、監督者の負荷増大という形で運用全体に及ぶ(出典2)。離職の約4割は入社後90日以内に発生するとされ、要員が十分に生産性を発揮する前に離脱するケースが多い(出典2)。</w:t>
      </w:r>
    </w:p>
    <w:p>
      <w:pPr>
        <w:pStyle w:val="Heading2"/>
        <w:spacing w:after="150" w:before="300"/>
      </w:pPr>
      <w:r>
        <w:rPr>
          <w:rFonts w:ascii="游ゴシック" w:cs="游ゴシック" w:eastAsia="游ゴシック" w:hAnsi="游ゴシック"/>
        </w:rPr>
        <w:t xml:space="preserve">5.2 業界ベンチマークとの比較</w:t>
      </w:r>
    </w:p>
    <w:p>
      <w:pPr>
        <w:spacing w:after="160"/>
      </w:pPr>
      <w:r>
        <w:rPr>
          <w:rFonts w:ascii="游ゴシック" w:cs="游ゴシック" w:eastAsia="游ゴシック" w:hAnsi="游ゴシック"/>
          <w:sz w:val="21"/>
          <w:szCs w:val="21"/>
        </w:rPr>
        <w:t xml:space="preserve">米国のコンタクトセンター・BPO業界における年間離職率は平均30〜45％とされ、上位5％の事業者でも15％未満とされる(出典2)。現行ベンダーの月次1割という離職率は、単純な年換算では業界平均を大きく上回る水準であり、業界内でも特異な状態にあったと考えられる。</w:t>
      </w:r>
    </w:p>
    <w:p>
      <w:pPr>
        <w:pStyle w:val="Heading2"/>
        <w:spacing w:after="150" w:before="300"/>
      </w:pPr>
      <w:r>
        <w:rPr>
          <w:rFonts w:ascii="游ゴシック" w:cs="游ゴシック" w:eastAsia="游ゴシック" w:hAnsi="游ゴシック"/>
        </w:rPr>
        <w:t xml:space="preserve">5.3 契約条項だけでは解決しないという知見</w:t>
      </w:r>
    </w:p>
    <w:p>
      <w:pPr>
        <w:spacing w:after="160"/>
      </w:pPr>
      <w:r>
        <w:rPr>
          <w:rFonts w:ascii="游ゴシック" w:cs="游ゴシック" w:eastAsia="游ゴシック" w:hAnsi="游ゴシック"/>
          <w:sz w:val="21"/>
          <w:szCs w:val="21"/>
        </w:rPr>
        <w:t xml:space="preserve">調査によれば、離職対策は契約条項そのものよりも、ベンダー選定時のデューデリジェンスと、継続的なモニタリングによって担保すべきとされる(出典2)。具体的には、プログラム別の離職率、入社90日以内の離職率、平均在籍期間、オンボーディング体制の詳細を選定時に確認することが推奨されている(出典2)。新ベンダーは既にRFPで選定済みであるため、今後の契約設計では「選定」ではなく「継続的なモニタリングの仕組み化」に重点を置くことになる。</w:t>
      </w:r>
    </w:p>
    <w:p>
      <w:pPr>
        <w:pStyle w:val="Heading2"/>
        <w:spacing w:after="150" w:before="300"/>
      </w:pPr>
      <w:r>
        <w:rPr>
          <w:rFonts w:ascii="游ゴシック" w:cs="游ゴシック" w:eastAsia="游ゴシック" w:hAnsi="游ゴシック"/>
        </w:rPr>
        <w:t xml:space="preserve">5.4 新ベンダーとの契約への組み込み案</w:t>
      </w:r>
    </w:p>
    <w:p>
      <w:pPr>
        <w:pStyle w:val="ListParagraph"/>
        <w:numPr>
          <w:ilvl w:val="0"/>
          <w:numId w:val="2"/>
        </w:numPr>
        <w:spacing w:after="100"/>
      </w:pPr>
      <w:r>
        <w:rPr>
          <w:rFonts w:ascii="游ゴシック" w:cs="游ゴシック" w:eastAsia="游ゴシック" w:hAnsi="游ゴシック"/>
          <w:sz w:val="21"/>
          <w:szCs w:val="21"/>
        </w:rPr>
        <w:t xml:space="preserve">定例レポーティング項目に、稼働指標に加えて離職率・平均在籍期間を含める。</w:t>
      </w:r>
    </w:p>
    <w:p>
      <w:pPr>
        <w:pStyle w:val="ListParagraph"/>
        <w:numPr>
          <w:ilvl w:val="0"/>
          <w:numId w:val="2"/>
        </w:numPr>
        <w:spacing w:after="100"/>
      </w:pPr>
      <w:r>
        <w:rPr>
          <w:rFonts w:ascii="游ゴシック" w:cs="游ゴシック" w:eastAsia="游ゴシック" w:hAnsi="游ゴシック"/>
          <w:sz w:val="21"/>
          <w:szCs w:val="21"/>
        </w:rPr>
        <w:t xml:space="preserve">オンボーディング体制(教育期間・OJT設計)の説明を契約の付属資料として明文化する。</w:t>
      </w:r>
    </w:p>
    <w:p>
      <w:pPr>
        <w:pStyle w:val="ListParagraph"/>
        <w:numPr>
          <w:ilvl w:val="0"/>
          <w:numId w:val="2"/>
        </w:numPr>
        <w:spacing w:after="100"/>
      </w:pPr>
      <w:r>
        <w:rPr>
          <w:rFonts w:ascii="游ゴシック" w:cs="游ゴシック" w:eastAsia="游ゴシック" w:hAnsi="游ゴシック"/>
          <w:sz w:val="21"/>
          <w:szCs w:val="21"/>
        </w:rPr>
        <w:t xml:space="preserve">第4章のSLA・サービスクレジットの指標設計において、要員体制の安定性を示す先行指標を補助的に組み込むかどうかを検討する。</w:t>
      </w:r>
    </w:p>
    <w:p>
      <w:pPr>
        <w:pStyle w:val="Heading1"/>
        <w:spacing w:after="200" w:before="400"/>
      </w:pPr>
      <w:r>
        <w:rPr>
          <w:rFonts w:ascii="游ゴシック" w:cs="游ゴシック" w:eastAsia="游ゴシック" w:hAnsi="游ゴシック"/>
        </w:rPr>
        <w:t xml:space="preserve">6. ベンチマーキング・価格改定条項という論点</w:t>
      </w:r>
    </w:p>
    <w:p>
      <w:pPr>
        <w:pStyle w:val="Heading2"/>
        <w:spacing w:after="150" w:before="300"/>
      </w:pPr>
      <w:r>
        <w:rPr>
          <w:rFonts w:ascii="游ゴシック" w:cs="游ゴシック" w:eastAsia="游ゴシック" w:hAnsi="游ゴシック"/>
        </w:rPr>
        <w:t xml:space="preserve">6.1 ベンチマーキング条項とは</w:t>
      </w:r>
    </w:p>
    <w:p>
      <w:pPr>
        <w:spacing w:after="160"/>
      </w:pPr>
      <w:r>
        <w:rPr>
          <w:rFonts w:ascii="游ゴシック" w:cs="游ゴシック" w:eastAsia="游ゴシック" w:hAnsi="游ゴシック"/>
          <w:sz w:val="21"/>
          <w:szCs w:val="21"/>
        </w:rPr>
        <w:t xml:space="preserve">ベンチマーキング条項とは、契約期間中に、価格・サービスレベル・運用パフォーマンスを市場水準と比較する仕組みである。複数年契約においては、市場価格の変動から発注側を守るための代表的な価格保護手段とされる(出典5)。一般的には、中立な第三者機関が、類似の市場契約と比較・分析し、著しい乖離があれば再交渉につなげる(出典5)。</w:t>
      </w:r>
    </w:p>
    <w:p>
      <w:pPr>
        <w:pStyle w:val="Heading2"/>
        <w:spacing w:after="150" w:before="300"/>
      </w:pPr>
      <w:r>
        <w:rPr>
          <w:rFonts w:ascii="游ゴシック" w:cs="游ゴシック" w:eastAsia="游ゴシック" w:hAnsi="游ゴシック"/>
        </w:rPr>
        <w:t xml:space="preserve">6.2 設計上の要点</w:t>
      </w:r>
    </w:p>
    <w:p>
      <w:pPr>
        <w:pStyle w:val="ListParagraph"/>
        <w:numPr>
          <w:ilvl w:val="0"/>
          <w:numId w:val="2"/>
        </w:numPr>
        <w:spacing w:after="100"/>
      </w:pPr>
      <w:r>
        <w:rPr>
          <w:rFonts w:ascii="游ゴシック" w:cs="游ゴシック" w:eastAsia="游ゴシック" w:hAnsi="游ゴシック"/>
          <w:sz w:val="21"/>
          <w:szCs w:val="21"/>
        </w:rPr>
        <w:t xml:space="preserve">比較対象と実施時期・頻度を明確に定義する。</w:t>
      </w:r>
    </w:p>
    <w:p>
      <w:pPr>
        <w:pStyle w:val="ListParagraph"/>
        <w:numPr>
          <w:ilvl w:val="0"/>
          <w:numId w:val="2"/>
        </w:numPr>
        <w:spacing w:after="100"/>
      </w:pPr>
      <w:r>
        <w:rPr>
          <w:rFonts w:ascii="游ゴシック" w:cs="游ゴシック" w:eastAsia="游ゴシック" w:hAnsi="游ゴシック"/>
          <w:sz w:val="21"/>
          <w:szCs w:val="21"/>
        </w:rPr>
        <w:t xml:space="preserve">地域・複雑性・規模の違いを調整する正規化の方法を決めておく。</w:t>
      </w:r>
    </w:p>
    <w:p>
      <w:pPr>
        <w:pStyle w:val="ListParagraph"/>
        <w:numPr>
          <w:ilvl w:val="0"/>
          <w:numId w:val="2"/>
        </w:numPr>
        <w:spacing w:after="100"/>
      </w:pPr>
      <w:r>
        <w:rPr>
          <w:rFonts w:ascii="游ゴシック" w:cs="游ゴシック" w:eastAsia="游ゴシック" w:hAnsi="游ゴシック"/>
          <w:sz w:val="21"/>
          <w:szCs w:val="21"/>
        </w:rPr>
        <w:t xml:space="preserve">ベンチマーク実施費用をどちらが負担するかを明確にする。</w:t>
      </w:r>
    </w:p>
    <w:p>
      <w:pPr>
        <w:pStyle w:val="ListParagraph"/>
        <w:numPr>
          <w:ilvl w:val="0"/>
          <w:numId w:val="2"/>
        </w:numPr>
        <w:spacing w:after="100"/>
      </w:pPr>
      <w:r>
        <w:rPr>
          <w:rFonts w:ascii="游ゴシック" w:cs="游ゴシック" w:eastAsia="游ゴシック" w:hAnsi="游ゴシック"/>
          <w:sz w:val="21"/>
          <w:szCs w:val="21"/>
        </w:rPr>
        <w:t xml:space="preserve">比較結果に対する紛争解決の手続きを定めておく。</w:t>
      </w:r>
    </w:p>
    <w:p>
      <w:pPr>
        <w:pStyle w:val="ListParagraph"/>
        <w:numPr>
          <w:ilvl w:val="0"/>
          <w:numId w:val="2"/>
        </w:numPr>
        <w:spacing w:after="100"/>
      </w:pPr>
      <w:r>
        <w:rPr>
          <w:rFonts w:ascii="游ゴシック" w:cs="游ゴシック" w:eastAsia="游ゴシック" w:hAnsi="游ゴシック"/>
          <w:sz w:val="21"/>
          <w:szCs w:val="21"/>
        </w:rPr>
        <w:t xml:space="preserve">価格・サービス水準の調整が発生する閾値をあらかじめ合意しておく(出典5)。</w:t>
      </w:r>
    </w:p>
    <w:p>
      <w:pPr>
        <w:pStyle w:val="Heading2"/>
        <w:spacing w:after="150" w:before="300"/>
      </w:pPr>
      <w:r>
        <w:rPr>
          <w:rFonts w:ascii="游ゴシック" w:cs="游ゴシック" w:eastAsia="游ゴシック" w:hAnsi="游ゴシック"/>
        </w:rPr>
        <w:t xml:space="preserve">6.3 交渉上のバランス</w:t>
      </w:r>
    </w:p>
    <w:p>
      <w:pPr>
        <w:spacing w:after="160"/>
      </w:pPr>
      <w:r>
        <w:rPr>
          <w:rFonts w:ascii="游ゴシック" w:cs="游ゴシック" w:eastAsia="游ゴシック" w:hAnsi="游ゴシック"/>
          <w:sz w:val="21"/>
          <w:szCs w:val="21"/>
        </w:rPr>
        <w:t xml:space="preserve">ベンダー側は、比較範囲の限定や下振れの上限キャップ、比較機関の相互承認、異議申立権といった防御的な条件を求める傾向がある(出典5)。複数年契約を締結する段階で、双方にとって受け入れ可能な設計を交渉しておくことが望ましい。</w:t>
      </w:r>
    </w:p>
    <w:p>
      <w:pPr>
        <w:pStyle w:val="Heading1"/>
        <w:spacing w:after="200" w:before="400"/>
      </w:pPr>
      <w:r>
        <w:rPr>
          <w:rFonts w:ascii="游ゴシック" w:cs="游ゴシック" w:eastAsia="游ゴシック" w:hAnsi="游ゴシック"/>
        </w:rPr>
        <w:t xml:space="preserve">7. グローバルデリバリーモデルという論点</w:t>
      </w:r>
    </w:p>
    <w:p>
      <w:pPr>
        <w:spacing w:after="160"/>
      </w:pPr>
      <w:r>
        <w:rPr>
          <w:rFonts w:ascii="游ゴシック" w:cs="游ゴシック" w:eastAsia="游ゴシック" w:hAnsi="游ゴシック"/>
          <w:sz w:val="21"/>
          <w:szCs w:val="21"/>
        </w:rPr>
        <w:t xml:space="preserve">新ベンダーはRFPにおいてグローバル対応の面で優位と評価された。オンショア・ニアショア・オフショアの拠点構成は、コスト構造・タイムゾーンカバレッジ・コミュニケーションのしやすさに影響する。複数年契約においては、拠点構成そのものだけでなく、特定拠点に障害が生じた際の代替対応(BCP)や、拠点間の引継ぎ品質を契約・SLAにどう反映するかが論点になる。</w:t>
      </w:r>
    </w:p>
    <w:p>
      <w:pPr>
        <w:spacing w:after="160"/>
      </w:pPr>
      <w:r>
        <w:rPr>
          <w:rFonts w:ascii="游ゴシック" w:cs="游ゴシック" w:eastAsia="游ゴシック" w:hAnsi="游ゴシック"/>
          <w:sz w:val="21"/>
          <w:szCs w:val="21"/>
        </w:rPr>
        <w:t xml:space="preserve">現行ベンダーもインド拠点を中心とした大規模体制であったが、規模の大きさそのものは実行能力を保証しない(第2章)。新ベンダーの拠点構成についても、規模だけでなく、拠点ごとの離職率・定着状況(第5章)を含めて確認することが望ましい。</w:t>
      </w:r>
    </w:p>
    <w:p>
      <w:pPr>
        <w:pStyle w:val="Heading1"/>
        <w:spacing w:after="200" w:before="400"/>
      </w:pPr>
      <w:r>
        <w:rPr>
          <w:rFonts w:ascii="游ゴシック" w:cs="游ゴシック" w:eastAsia="游ゴシック" w:hAnsi="游ゴシック"/>
        </w:rPr>
        <w:t xml:space="preserve">8. 契約類型比較表(まとめ)</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00"/>
      </w:tblGrid>
      <w:tr>
        <w:trPr>
          <w:tblHeader/>
        </w:trPr>
        <w:tc>
          <w:tcPr>
            <w:tcW w:type="dxa" w:w="20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価格モデル</w:t>
            </w:r>
          </w:p>
        </w:tc>
        <w:tc>
          <w:tcPr>
            <w:tcW w:type="dxa" w:w="18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価格構造</w:t>
            </w:r>
          </w:p>
        </w:tc>
        <w:tc>
          <w:tcPr>
            <w:tcW w:type="dxa" w:w="18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リスク配分</w:t>
            </w:r>
          </w:p>
        </w:tc>
        <w:tc>
          <w:tcPr>
            <w:tcW w:type="dxa" w:w="18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柔軟性</w:t>
            </w:r>
          </w:p>
        </w:tc>
        <w:tc>
          <w:tcPr>
            <w:tcW w:type="dxa" w:w="16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適した領域</w:t>
            </w:r>
          </w:p>
        </w:tc>
      </w:tr>
      <w:tr>
        <w:tc>
          <w:tcPr>
            <w:tcW w:type="dxa" w:w="2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スタッフオーグメンテーション型</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人月・稼働時間単位</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成果責任は発注側</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高い(指揮命令は発注側)</w:t>
            </w:r>
          </w:p>
        </w:tc>
        <w:tc>
          <w:tcPr>
            <w:tcW w:type="dxa" w:w="1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自社に運用管理能力がある場合</w:t>
            </w:r>
          </w:p>
        </w:tc>
      </w:tr>
      <w:tr>
        <w:tc>
          <w:tcPr>
            <w:tcW w:type="dxa" w:w="2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固定価格型</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範囲固定の総額</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実行リスクはベンダー側</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低い(範囲変更に弱い)</w:t>
            </w:r>
          </w:p>
        </w:tc>
        <w:tc>
          <w:tcPr>
            <w:tcW w:type="dxa" w:w="1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要件が明確な単発業務</w:t>
            </w:r>
          </w:p>
        </w:tc>
      </w:tr>
      <w:tr>
        <w:tc>
          <w:tcPr>
            <w:tcW w:type="dxa" w:w="2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T&amp;M／コストプラス型</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実コスト＋利益率</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コスト上振れは発注側寄り</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中程度</w:t>
            </w:r>
          </w:p>
        </w:tc>
        <w:tc>
          <w:tcPr>
            <w:tcW w:type="dxa" w:w="1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大規模・複雑で透明性が必要な業務</w:t>
            </w:r>
          </w:p>
        </w:tc>
      </w:tr>
      <w:tr>
        <w:tc>
          <w:tcPr>
            <w:tcW w:type="dxa" w:w="2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マネージドサービス型</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月額固定・アウトカム連動</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運用リスクはベンダー側</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運用負担は小さいが依存度は高い</w:t>
            </w:r>
          </w:p>
        </w:tc>
        <w:tc>
          <w:tcPr>
            <w:tcW w:type="dxa" w:w="1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継続的な運用機能で自社の差別化要素でない領域</w:t>
            </w:r>
          </w:p>
        </w:tc>
      </w:tr>
      <w:tr>
        <w:tc>
          <w:tcPr>
            <w:tcW w:type="dxa" w:w="20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消費量型</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処理件数・作業量に連動</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需要変動リスクを分散</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中程度(指標設計に注意)</w:t>
            </w:r>
          </w:p>
        </w:tc>
        <w:tc>
          <w:tcPr>
            <w:tcW w:type="dxa" w:w="1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業務量の変動が大きい領域</w:t>
            </w:r>
          </w:p>
        </w:tc>
      </w:tr>
    </w:tbl>
    <w:p>
      <w:pPr>
        <w:pStyle w:val="Heading1"/>
        <w:spacing w:after="200" w:before="400"/>
      </w:pPr>
      <w:r>
        <w:rPr>
          <w:rFonts w:ascii="游ゴシック" w:cs="游ゴシック" w:eastAsia="游ゴシック" w:hAnsi="游ゴシック"/>
        </w:rPr>
        <w:t xml:space="preserve">9. L1.5の契約上の扱い</w:t>
      </w:r>
    </w:p>
    <w:p>
      <w:pPr>
        <w:spacing w:after="160"/>
      </w:pPr>
      <w:r>
        <w:rPr>
          <w:rFonts w:ascii="游ゴシック" w:cs="游ゴシック" w:eastAsia="游ゴシック" w:hAnsi="游ゴシック"/>
          <w:sz w:val="21"/>
          <w:szCs w:val="21"/>
        </w:rPr>
        <w:t xml:space="preserve">アプリケーション保守運用はそのほぼ全領域が個別のアプリケーションベンダーに依存しており、各ベンダーが自社のチケット管理の仕組みで対応を行っている。L1.5の役割は、利用者(依頼者)と各アプリケーションベンダーとの「つなぎ役」に限定される。複数年アウトソーシング契約においては、L1.5の契約上の担い手は新ベンダーに含めるが、業務プロセスそのものの再設計は対象とせず、現行運用を踏襲する。</w:t>
      </w:r>
    </w:p>
    <w:p>
      <w:pPr>
        <w:pStyle w:val="Heading1"/>
        <w:spacing w:after="200" w:before="400"/>
      </w:pPr>
      <w:r>
        <w:rPr>
          <w:rFonts w:ascii="游ゴシック" w:cs="游ゴシック" w:eastAsia="游ゴシック" w:hAnsi="游ゴシック"/>
        </w:rPr>
        <w:t xml:space="preserve">10. 契約交渉・設計チェックリスト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00"/>
      </w:tblGrid>
      <w:tr>
        <w:trPr>
          <w:tblHeader/>
        </w:trPr>
        <w:tc>
          <w:tcPr>
            <w:tcW w:type="dxa" w:w="7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確認</w:t>
            </w:r>
          </w:p>
        </w:tc>
        <w:tc>
          <w:tcPr>
            <w:tcW w:type="dxa" w:w="26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分類</w:t>
            </w:r>
          </w:p>
        </w:tc>
        <w:tc>
          <w:tcPr>
            <w:tcW w:type="dxa" w:w="57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チェック項目</w:t>
            </w:r>
          </w:p>
        </w:tc>
      </w:tr>
      <w:tr>
        <w:tc>
          <w:tcPr>
            <w:tcW w:type="dxa" w:w="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2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価格モデル</w:t>
            </w:r>
          </w:p>
        </w:tc>
        <w:tc>
          <w:tcPr>
            <w:tcW w:type="dxa" w:w="5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合意済みの価格体系が第3章のどの類型に近いかの確認</w:t>
            </w:r>
          </w:p>
        </w:tc>
      </w:tr>
      <w:tr>
        <w:tc>
          <w:tcPr>
            <w:tcW w:type="dxa" w:w="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2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価格モデル</w:t>
            </w:r>
          </w:p>
        </w:tc>
        <w:tc>
          <w:tcPr>
            <w:tcW w:type="dxa" w:w="5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アウトカムベースの要素をどの程度組み込むかの検討</w:t>
            </w:r>
          </w:p>
        </w:tc>
      </w:tr>
      <w:tr>
        <w:tc>
          <w:tcPr>
            <w:tcW w:type="dxa" w:w="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2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SLA・サービスクレジット</w:t>
            </w:r>
          </w:p>
        </w:tc>
        <w:tc>
          <w:tcPr>
            <w:tcW w:type="dxa" w:w="5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測定指標の選定(第4章の代表的KPIを参照)</w:t>
            </w:r>
          </w:p>
        </w:tc>
      </w:tr>
      <w:tr>
        <w:tc>
          <w:tcPr>
            <w:tcW w:type="dxa" w:w="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2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SLA・サービスクレジット</w:t>
            </w:r>
          </w:p>
        </w:tc>
        <w:tc>
          <w:tcPr>
            <w:tcW w:type="dxa" w:w="5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サービスクレジットの算定方法・上限・アーンバック条項の要否</w:t>
            </w:r>
          </w:p>
        </w:tc>
      </w:tr>
      <w:tr>
        <w:tc>
          <w:tcPr>
            <w:tcW w:type="dxa" w:w="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2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SLA・サービスクレジット</w:t>
            </w:r>
          </w:p>
        </w:tc>
        <w:tc>
          <w:tcPr>
            <w:tcW w:type="dxa" w:w="5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レビュー頻度・報告フォーマットの合意</w:t>
            </w:r>
          </w:p>
        </w:tc>
      </w:tr>
      <w:tr>
        <w:tc>
          <w:tcPr>
            <w:tcW w:type="dxa" w:w="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2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要員体制</w:t>
            </w:r>
          </w:p>
        </w:tc>
        <w:tc>
          <w:tcPr>
            <w:tcW w:type="dxa" w:w="5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離職率・平均在籍期間の定例報告義務の組み込み</w:t>
            </w:r>
          </w:p>
        </w:tc>
      </w:tr>
      <w:tr>
        <w:tc>
          <w:tcPr>
            <w:tcW w:type="dxa" w:w="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2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要員体制</w:t>
            </w:r>
          </w:p>
        </w:tc>
        <w:tc>
          <w:tcPr>
            <w:tcW w:type="dxa" w:w="5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オンボーディング体制の説明資料の契約添付</w:t>
            </w:r>
          </w:p>
        </w:tc>
      </w:tr>
      <w:tr>
        <w:tc>
          <w:tcPr>
            <w:tcW w:type="dxa" w:w="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2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価格改定・ベンチマーキング</w:t>
            </w:r>
          </w:p>
        </w:tc>
        <w:tc>
          <w:tcPr>
            <w:tcW w:type="dxa" w:w="5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ベンチマーキング条項の要否・頻度の合意</w:t>
            </w:r>
          </w:p>
        </w:tc>
      </w:tr>
      <w:tr>
        <w:tc>
          <w:tcPr>
            <w:tcW w:type="dxa" w:w="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2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価格改定・ベンチマーキング</w:t>
            </w:r>
          </w:p>
        </w:tc>
        <w:tc>
          <w:tcPr>
            <w:tcW w:type="dxa" w:w="5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正規化方法・費用負担・紛争解決手続きの明確化</w:t>
            </w:r>
          </w:p>
        </w:tc>
      </w:tr>
      <w:tr>
        <w:tc>
          <w:tcPr>
            <w:tcW w:type="dxa" w:w="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2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その他</w:t>
            </w:r>
          </w:p>
        </w:tc>
        <w:tc>
          <w:tcPr>
            <w:tcW w:type="dxa" w:w="5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グローバルデリバリー拠点構成とBCPの確認</w:t>
            </w:r>
          </w:p>
        </w:tc>
      </w:tr>
      <w:tr>
        <w:tc>
          <w:tcPr>
            <w:tcW w:type="dxa" w:w="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2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その他</w:t>
            </w:r>
          </w:p>
        </w:tc>
        <w:tc>
          <w:tcPr>
            <w:tcW w:type="dxa" w:w="5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L1.5の契約範囲への含め方の確認</w:t>
            </w:r>
          </w:p>
        </w:tc>
      </w:tr>
      <w:tr>
        <w:tc>
          <w:tcPr>
            <w:tcW w:type="dxa" w:w="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2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その他</w:t>
            </w:r>
          </w:p>
        </w:tc>
        <w:tc>
          <w:tcPr>
            <w:tcW w:type="dxa" w:w="5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契約期間・更新・解約条件の確認</w:t>
            </w:r>
          </w:p>
        </w:tc>
      </w:tr>
    </w:tbl>
    <w:p>
      <w:pPr>
        <w:pStyle w:val="Heading1"/>
        <w:spacing w:after="200" w:before="400"/>
      </w:pPr>
      <w:r>
        <w:rPr>
          <w:rFonts w:ascii="游ゴシック" w:cs="游ゴシック" w:eastAsia="游ゴシック" w:hAnsi="游ゴシック"/>
        </w:rPr>
        <w:t xml:space="preserve">11. 体制：交渉・契約設計の役割分担(提案)</w:t>
      </w:r>
    </w:p>
    <w:p>
      <w:pPr>
        <w:pStyle w:val="Heading2"/>
        <w:spacing w:after="150" w:before="300"/>
      </w:pPr>
      <w:r>
        <w:rPr>
          <w:rFonts w:ascii="游ゴシック" w:cs="游ゴシック" w:eastAsia="游ゴシック" w:hAnsi="游ゴシック"/>
        </w:rPr>
        <w:t xml:space="preserve">11.1 提案の趣旨</w:t>
      </w:r>
    </w:p>
    <w:p>
      <w:pPr>
        <w:spacing w:after="160"/>
      </w:pPr>
      <w:r>
        <w:rPr>
          <w:rFonts w:ascii="游ゴシック" w:cs="游ゴシック" w:eastAsia="游ゴシック" w:hAnsi="游ゴシック"/>
          <w:sz w:val="21"/>
          <w:szCs w:val="21"/>
        </w:rPr>
        <w:t xml:space="preserve">it-cost-optimizationにおける体制設計と同じ考え方を踏襲し、本資料の作成主体であるベンダーマネジメント担当者(⑥)を、情報集約・戦略立案のハブとして位置づける。サービスデスク・インフラ領域それぞれの運用管理者から実績・課題を集約し、交渉責任者へベンチマークと交渉戦略を提示、調達部門と契約手続きを連携するという役割分担である。</w:t>
      </w:r>
    </w:p>
    <w:p>
      <w:pPr>
        <w:pStyle w:val="Heading2"/>
        <w:spacing w:after="150" w:before="300"/>
      </w:pPr>
      <w:r>
        <w:rPr>
          <w:rFonts w:ascii="游ゴシック" w:cs="游ゴシック" w:eastAsia="游ゴシック" w:hAnsi="游ゴシック"/>
        </w:rPr>
        <w:t xml:space="preserve">11.2 各ロールの役割定義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役割</w:t>
            </w:r>
          </w:p>
        </w:tc>
        <w:tc>
          <w:tcPr>
            <w:tcW w:type="dxa" w:w="54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内容</w:t>
            </w:r>
          </w:p>
        </w:tc>
      </w:tr>
      <w:tr>
        <w:tc>
          <w:tcPr>
            <w:tcW w:type="dxa" w:w="3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①サービスデスク運用管理者(L1)</w:t>
            </w:r>
          </w:p>
        </w:tc>
        <w:tc>
          <w:tcPr>
            <w:tcW w:type="dxa" w:w="54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L1の稼働実績を把握し、SLA・KPI設計への改善提案を行う</w:t>
            </w:r>
          </w:p>
        </w:tc>
      </w:tr>
      <w:tr>
        <w:tc>
          <w:tcPr>
            <w:tcW w:type="dxa" w:w="3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②インフラマネジメント運用管理者(L2：サーバ・ネットワーク・クラウド・EUC等)</w:t>
            </w:r>
          </w:p>
        </w:tc>
        <w:tc>
          <w:tcPr>
            <w:tcW w:type="dxa" w:w="54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L2の稼働実績・体制状況を把握し、SLA・KPI設計への改善提案を行う</w:t>
            </w:r>
          </w:p>
        </w:tc>
      </w:tr>
      <w:tr>
        <w:tc>
          <w:tcPr>
            <w:tcW w:type="dxa" w:w="3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③アプリケーション保守運用管理者(L1.5：コーポレート領域・SCM領域・ファイナンス領域・事業領域等)</w:t>
            </w:r>
          </w:p>
        </w:tc>
        <w:tc>
          <w:tcPr>
            <w:tcW w:type="dxa" w:w="54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各アプリケーション保守ベンダーとの取次実績・ベンダー状況を把握し、L1.5に関する契約条件への改善提案を行う</w:t>
            </w:r>
          </w:p>
        </w:tc>
      </w:tr>
      <w:tr>
        <w:tc>
          <w:tcPr>
            <w:tcW w:type="dxa" w:w="3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④交渉責任者(IT運用グループ長)</w:t>
            </w:r>
          </w:p>
        </w:tc>
        <w:tc>
          <w:tcPr>
            <w:tcW w:type="dxa" w:w="54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新ベンダーとの唯一の対外交渉窓口。価格モデル・ベンチマーキング条項の最終判断を行う</w:t>
            </w:r>
          </w:p>
        </w:tc>
      </w:tr>
      <w:tr>
        <w:tc>
          <w:tcPr>
            <w:tcW w:type="dxa" w:w="3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⑤調達部門担当者</w:t>
            </w:r>
          </w:p>
        </w:tc>
        <w:tc>
          <w:tcPr>
            <w:tcW w:type="dxa" w:w="54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契約化の実務・法務対応を担う。④と実務連携する</w:t>
            </w:r>
          </w:p>
        </w:tc>
      </w:tr>
      <w:tr>
        <w:tc>
          <w:tcPr>
            <w:tcW w:type="dxa" w:w="3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⑥ベンダーマネジメント担当者(情報集約・戦略立案のハブ)</w:t>
            </w:r>
          </w:p>
        </w:tc>
        <w:tc>
          <w:tcPr>
            <w:tcW w:type="dxa" w:w="54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①②③の情報を集約し、④に交渉戦略・ベンチマークを提示。⑤と調達手続きを連携する</w:t>
            </w:r>
          </w:p>
        </w:tc>
      </w:tr>
      <w:tr>
        <w:tc>
          <w:tcPr>
            <w:tcW w:type="dxa" w:w="3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⑦部門予算統括責任者</w:t>
            </w:r>
          </w:p>
        </w:tc>
        <w:tc>
          <w:tcPr>
            <w:tcW w:type="dxa" w:w="54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契約の予算影響を把握し、投資判断を共有される</w:t>
            </w:r>
          </w:p>
        </w:tc>
      </w:tr>
    </w:tbl>
    <w:p>
      <w:pPr>
        <w:spacing w:after="200"/>
      </w:pPr>
      <w:r>
        <w:rPr>
          <w:rFonts w:ascii="游ゴシック" w:cs="游ゴシック" w:eastAsia="游ゴシック" w:hAnsi="游ゴシック"/>
        </w:rPr>
        <w:t xml:space="preserve"/>
      </w:r>
    </w:p>
    <w:p>
      <w:pPr>
        <w:pStyle w:val="Heading2"/>
        <w:spacing w:after="150" w:before="300"/>
      </w:pPr>
      <w:r>
        <w:rPr>
          <w:rFonts w:ascii="游ゴシック" w:cs="游ゴシック" w:eastAsia="游ゴシック" w:hAnsi="游ゴシック"/>
        </w:rPr>
        <w:t xml:space="preserve">11.3 各ロール間の関係図</w:t>
      </w:r>
    </w:p>
    <w:p>
      <w:r>
        <w:drawing>
          <wp:inline distT="0" distB="0" distL="0" distR="0">
            <wp:extent cx="5334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962400"/>
                    </a:xfrm>
                    <a:prstGeom prst="rect">
                      <a:avLst/>
                    </a:prstGeom>
                  </pic:spPr>
                </pic:pic>
              </a:graphicData>
            </a:graphic>
          </wp:inline>
        </w:drawing>
      </w:r>
    </w:p>
    <w:p>
      <w:pPr>
        <w:spacing w:before="80"/>
        <w:jc w:val="center"/>
      </w:pPr>
      <w:r>
        <w:rPr>
          <w:rFonts w:ascii="游ゴシック" w:cs="游ゴシック" w:eastAsia="游ゴシック" w:hAnsi="游ゴシック"/>
          <w:i/>
          <w:iCs/>
          <w:sz w:val="18"/>
          <w:szCs w:val="18"/>
        </w:rPr>
        <w:t xml:space="preserve">図　各ロール間の情報・役務の関係</w:t>
      </w:r>
    </w:p>
    <w:p>
      <w:pPr>
        <w:spacing w:after="200"/>
      </w:pPr>
      <w:r>
        <w:rPr>
          <w:rFonts w:ascii="游ゴシック" w:cs="游ゴシック" w:eastAsia="游ゴシック" w:hAnsi="游ゴシック"/>
        </w:rPr>
        <w:t xml:space="preserve"/>
      </w:r>
    </w:p>
    <w:p>
      <w:pPr>
        <w:pStyle w:val="Heading2"/>
        <w:spacing w:after="150" w:before="300"/>
      </w:pPr>
      <w:r>
        <w:rPr>
          <w:rFonts w:ascii="游ゴシック" w:cs="游ゴシック" w:eastAsia="游ゴシック" w:hAnsi="游ゴシック"/>
        </w:rPr>
        <w:t xml:space="preserve">11.4 契約交渉プロセスにおける役割分担表</w:t>
      </w:r>
    </w:p>
    <w:p>
      <w:pPr>
        <w:spacing w:after="160"/>
      </w:pPr>
      <w:r>
        <w:rPr>
          <w:rFonts w:ascii="游ゴシック" w:cs="游ゴシック" w:eastAsia="游ゴシック" w:hAnsi="游ゴシック"/>
          <w:sz w:val="21"/>
          <w:szCs w:val="21"/>
        </w:rPr>
        <w:t xml:space="preserve">凡例：◎主担当／●意思決定・最終承認／○協議・関与／△情報共有・事後報告／－原則関与なし</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900"/>
        <w:gridCol w:w="900"/>
        <w:gridCol w:w="900"/>
        <w:gridCol w:w="900"/>
        <w:gridCol w:w="900"/>
      </w:tblGrid>
      <w:tr>
        <w:trPr>
          <w:tblHeader/>
        </w:trPr>
        <w:tc>
          <w:tcPr>
            <w:tcW w:type="dxa" w:w="26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フェーズ</w:t>
            </w:r>
          </w:p>
        </w:tc>
        <w:tc>
          <w:tcPr>
            <w:tcW w:type="dxa" w:w="9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①</w:t>
            </w:r>
          </w:p>
        </w:tc>
        <w:tc>
          <w:tcPr>
            <w:tcW w:type="dxa" w:w="9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②</w:t>
            </w:r>
          </w:p>
        </w:tc>
        <w:tc>
          <w:tcPr>
            <w:tcW w:type="dxa" w:w="9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③</w:t>
            </w:r>
          </w:p>
        </w:tc>
        <w:tc>
          <w:tcPr>
            <w:tcW w:type="dxa" w:w="9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④</w:t>
            </w:r>
          </w:p>
        </w:tc>
        <w:tc>
          <w:tcPr>
            <w:tcW w:type="dxa" w:w="9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⑤</w:t>
            </w:r>
          </w:p>
        </w:tc>
        <w:tc>
          <w:tcPr>
            <w:tcW w:type="dxa" w:w="9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⑥</w:t>
            </w:r>
          </w:p>
        </w:tc>
        <w:tc>
          <w:tcPr>
            <w:tcW w:type="dxa" w:w="9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⑦</w:t>
            </w:r>
          </w:p>
        </w:tc>
      </w:tr>
      <w:tr>
        <w:tc>
          <w:tcPr>
            <w:tcW w:type="dxa" w:w="2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平時ガバナンス(モニタリング)</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r>
      <w:tr>
        <w:tc>
          <w:tcPr>
            <w:tcW w:type="dxa" w:w="2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契約条件設計(SLA・価格モデル)</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r>
      <w:tr>
        <w:tc>
          <w:tcPr>
            <w:tcW w:type="dxa" w:w="2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交渉実行</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r>
      <w:tr>
        <w:tc>
          <w:tcPr>
            <w:tcW w:type="dxa" w:w="2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契約締結</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r>
      <w:tr>
        <w:tc>
          <w:tcPr>
            <w:tcW w:type="dxa" w:w="2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予算反映・経営報告</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r>
      <w:tr>
        <w:tc>
          <w:tcPr>
            <w:tcW w:type="dxa" w:w="26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契約後フォロー</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c>
          <w:tcPr>
            <w:tcW w:type="dxa" w:w="9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w:t>
            </w:r>
          </w:p>
        </w:tc>
      </w:tr>
    </w:tbl>
    <w:p>
      <w:pPr>
        <w:spacing w:after="200"/>
      </w:pPr>
      <w:r>
        <w:rPr>
          <w:rFonts w:ascii="游ゴシック" w:cs="游ゴシック" w:eastAsia="游ゴシック" w:hAnsi="游ゴシック"/>
        </w:rPr>
        <w:t xml:space="preserve"/>
      </w:r>
    </w:p>
    <w:p>
      <w:pPr>
        <w:pStyle w:val="Heading2"/>
        <w:spacing w:after="150" w:before="300"/>
      </w:pPr>
      <w:r>
        <w:rPr>
          <w:rFonts w:ascii="游ゴシック" w:cs="游ゴシック" w:eastAsia="游ゴシック" w:hAnsi="游ゴシック"/>
        </w:rPr>
        <w:t xml:space="preserve">11.5 推奨される運営体制</w:t>
      </w:r>
    </w:p>
    <w:p>
      <w:pPr>
        <w:spacing w:after="160"/>
      </w:pPr>
      <w:r>
        <w:rPr>
          <w:rFonts w:ascii="游ゴシック" w:cs="游ゴシック" w:eastAsia="游ゴシック" w:hAnsi="游ゴシック"/>
          <w:sz w:val="21"/>
          <w:szCs w:val="21"/>
        </w:rPr>
        <w:t xml:space="preserve">移行プロジェクト側の体制(請負契約の実行体制)とは別に、この契約交渉・設計側の体制を明確に分けておくことが望ましい。両者の情報連携(移行で判明した実態を契約条件に反映する等)は必要だが、責任の所在は分離する。月次でのワーキングに加え、契約締結(12月)に向けては週次での進捗確認を推奨する。</w:t>
      </w:r>
    </w:p>
    <w:p>
      <w:pPr>
        <w:pStyle w:val="Heading1"/>
        <w:spacing w:after="200" w:before="400"/>
      </w:pPr>
      <w:r>
        <w:rPr>
          <w:rFonts w:ascii="游ゴシック" w:cs="游ゴシック" w:eastAsia="游ゴシック" w:hAnsi="游ゴシック"/>
        </w:rPr>
        <w:t xml:space="preserve">12. 施策一覧と優先順位(1月の契約開始に向けて)</w:t>
      </w:r>
    </w:p>
    <w:p>
      <w:pPr>
        <w:spacing w:after="160"/>
      </w:pPr>
      <w:r>
        <w:rPr>
          <w:rFonts w:ascii="游ゴシック" w:cs="游ゴシック" w:eastAsia="游ゴシック" w:hAnsi="游ゴシック"/>
          <w:sz w:val="21"/>
          <w:szCs w:val="21"/>
        </w:rPr>
        <w:t xml:space="preserve">移行プロジェクトは既に別トラックで進行しているため、本資料が扱う複数年アウトソーシング契約の詳細設計は、1月のサービス開始までに並行して完了させる必要がある。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5700"/>
        <w:gridCol w:w="1800"/>
      </w:tblGrid>
      <w:tr>
        <w:trPr>
          <w:tblHeader/>
        </w:trPr>
        <w:tc>
          <w:tcPr>
            <w:tcW w:type="dxa" w:w="15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時期</w:t>
            </w:r>
          </w:p>
        </w:tc>
        <w:tc>
          <w:tcPr>
            <w:tcW w:type="dxa" w:w="57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主な検討事項</w:t>
            </w:r>
          </w:p>
        </w:tc>
        <w:tc>
          <w:tcPr>
            <w:tcW w:type="dxa" w:w="1800"/>
            <w:shd w:fill="E7E6E6" w:val="clear"/>
            <w:tcMar>
              <w:top w:type="dxa" w:w="60"/>
              <w:left w:type="dxa" w:w="100"/>
              <w:bottom w:type="dxa" w:w="60"/>
              <w:right w:type="dxa" w:w="100"/>
            </w:tcMar>
            <w:vAlign w:val="center"/>
          </w:tcPr>
          <w:p>
            <w:r>
              <w:rPr>
                <w:rFonts w:ascii="游ゴシック" w:cs="游ゴシック" w:eastAsia="游ゴシック" w:hAnsi="游ゴシック"/>
                <w:b/>
                <w:bCs/>
                <w:sz w:val="20"/>
                <w:szCs w:val="20"/>
              </w:rPr>
              <w:t xml:space="preserve">主担当</w:t>
            </w:r>
          </w:p>
        </w:tc>
      </w:tr>
      <w:tr>
        <w:tc>
          <w:tcPr>
            <w:tcW w:type="dxa" w:w="15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9月</w:t>
            </w:r>
          </w:p>
        </w:tc>
        <w:tc>
          <w:tcPr>
            <w:tcW w:type="dxa" w:w="5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価格モデル・SLA指標の詳細設計、要員体制レポーティング要件の検討</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交渉責任者／サービスデスク・インフラ担当</w:t>
            </w:r>
          </w:p>
        </w:tc>
      </w:tr>
      <w:tr>
        <w:tc>
          <w:tcPr>
            <w:tcW w:type="dxa" w:w="15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10月</w:t>
            </w:r>
          </w:p>
        </w:tc>
        <w:tc>
          <w:tcPr>
            <w:tcW w:type="dxa" w:w="5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サービスクレジット・ベンチマーキング条項の交渉</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交渉責任者／調達部</w:t>
            </w:r>
          </w:p>
        </w:tc>
      </w:tr>
      <w:tr>
        <w:tc>
          <w:tcPr>
            <w:tcW w:type="dxa" w:w="15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11月</w:t>
            </w:r>
          </w:p>
        </w:tc>
        <w:tc>
          <w:tcPr>
            <w:tcW w:type="dxa" w:w="5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契約ドラフトのレビュー、移行プロジェクトの進捗を踏まえた条件の最終調整</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全ロール</w:t>
            </w:r>
          </w:p>
        </w:tc>
      </w:tr>
      <w:tr>
        <w:tc>
          <w:tcPr>
            <w:tcW w:type="dxa" w:w="15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12月</w:t>
            </w:r>
          </w:p>
        </w:tc>
        <w:tc>
          <w:tcPr>
            <w:tcW w:type="dxa" w:w="5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契約締結</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交渉責任者／調達部</w:t>
            </w:r>
          </w:p>
        </w:tc>
      </w:tr>
      <w:tr>
        <w:tc>
          <w:tcPr>
            <w:tcW w:type="dxa" w:w="15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1月</w:t>
            </w:r>
          </w:p>
        </w:tc>
        <w:tc>
          <w:tcPr>
            <w:tcW w:type="dxa" w:w="57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新体制でのサービス開始、モニタリング体制の稼働開始</w:t>
            </w:r>
          </w:p>
        </w:tc>
        <w:tc>
          <w:tcPr>
            <w:tcW w:type="dxa" w:w="1800"/>
            <w:tcMar>
              <w:top w:type="dxa" w:w="60"/>
              <w:left w:type="dxa" w:w="100"/>
              <w:bottom w:type="dxa" w:w="60"/>
              <w:right w:type="dxa" w:w="100"/>
            </w:tcMar>
            <w:vAlign w:val="center"/>
          </w:tcPr>
          <w:p>
            <w:r>
              <w:rPr>
                <w:rFonts w:ascii="游ゴシック" w:cs="游ゴシック" w:eastAsia="游ゴシック" w:hAnsi="游ゴシック"/>
                <w:b w:val="false"/>
                <w:bCs w:val="false"/>
                <w:sz w:val="20"/>
                <w:szCs w:val="20"/>
              </w:rPr>
              <w:t xml:space="preserve">ガバナンス責任者</w:t>
            </w:r>
          </w:p>
        </w:tc>
      </w:tr>
    </w:tbl>
    <w:p>
      <w:pPr>
        <w:spacing w:after="200"/>
      </w:pPr>
      <w:r>
        <w:rPr>
          <w:rFonts w:ascii="游ゴシック" w:cs="游ゴシック" w:eastAsia="游ゴシック" w:hAnsi="游ゴシック"/>
        </w:rPr>
        <w:t xml:space="preserve"/>
      </w:r>
    </w:p>
    <w:p>
      <w:pPr>
        <w:pStyle w:val="Heading2"/>
        <w:spacing w:after="150" w:before="300"/>
      </w:pPr>
      <w:r>
        <w:rPr>
          <w:rFonts w:ascii="游ゴシック" w:cs="游ゴシック" w:eastAsia="游ゴシック" w:hAnsi="游ゴシック"/>
        </w:rPr>
        <w:t xml:space="preserve">12.1 現時点で不足している情報</w:t>
      </w:r>
    </w:p>
    <w:p>
      <w:pPr>
        <w:pStyle w:val="ListParagraph"/>
        <w:numPr>
          <w:ilvl w:val="0"/>
          <w:numId w:val="2"/>
        </w:numPr>
        <w:spacing w:after="100"/>
      </w:pPr>
      <w:r>
        <w:rPr>
          <w:rFonts w:ascii="游ゴシック" w:cs="游ゴシック" w:eastAsia="游ゴシック" w:hAnsi="游ゴシック"/>
          <w:sz w:val="21"/>
          <w:szCs w:val="21"/>
        </w:rPr>
        <w:t xml:space="preserve">価格体系の大枠のうち、本資料の類型(第3章)のどれに最も近いかの確認がまだ本資料に反映されていない。</w:t>
      </w:r>
    </w:p>
    <w:p>
      <w:pPr>
        <w:pStyle w:val="ListParagraph"/>
        <w:numPr>
          <w:ilvl w:val="0"/>
          <w:numId w:val="2"/>
        </w:numPr>
        <w:spacing w:after="100"/>
      </w:pPr>
      <w:r>
        <w:rPr>
          <w:rFonts w:ascii="游ゴシック" w:cs="游ゴシック" w:eastAsia="游ゴシック" w:hAnsi="游ゴシック"/>
          <w:sz w:val="21"/>
          <w:szCs w:val="21"/>
        </w:rPr>
        <w:t xml:space="preserve">SLA・サービスクレジットの具体的な指標・数値基準は今後の詳細設計に委ねられている。</w:t>
      </w:r>
    </w:p>
    <w:p>
      <w:pPr>
        <w:pStyle w:val="ListParagraph"/>
        <w:numPr>
          <w:ilvl w:val="0"/>
          <w:numId w:val="2"/>
        </w:numPr>
        <w:spacing w:after="100"/>
      </w:pPr>
      <w:r>
        <w:rPr>
          <w:rFonts w:ascii="游ゴシック" w:cs="游ゴシック" w:eastAsia="游ゴシック" w:hAnsi="游ゴシック"/>
          <w:sz w:val="21"/>
          <w:szCs w:val="21"/>
        </w:rPr>
        <w:t xml:space="preserve">第11章の体制案は提案段階であり、移行プロジェクト側の体制との役割分担の確認が必要。</w:t>
      </w:r>
    </w:p>
    <w:p>
      <w:pPr>
        <w:pStyle w:val="Heading1"/>
        <w:spacing w:after="200" w:before="400"/>
      </w:pPr>
      <w:r>
        <w:rPr>
          <w:rFonts w:ascii="游ゴシック" w:cs="游ゴシック" w:eastAsia="游ゴシック" w:hAnsi="游ゴシック"/>
        </w:rPr>
        <w:t xml:space="preserve">出典</w:t>
      </w:r>
    </w:p>
    <w:p>
      <w:pPr>
        <w:pStyle w:val="ListParagraph"/>
        <w:numPr>
          <w:ilvl w:val="0"/>
          <w:numId w:val="2"/>
        </w:numPr>
        <w:spacing w:after="100"/>
      </w:pPr>
      <w:r>
        <w:rPr>
          <w:rFonts w:ascii="游ゴシック" w:cs="游ゴシック" w:eastAsia="游ゴシック" w:hAnsi="游ゴシック"/>
          <w:sz w:val="21"/>
          <w:szCs w:val="21"/>
        </w:rPr>
        <w:t xml:space="preserve">出典1：CIO, "What is an SLA? Best practices for service-level agreements" (https://www.cio.com/article/274740/outsourcing-sla-definitions-and-solutions.html)</w:t>
      </w:r>
    </w:p>
    <w:p>
      <w:pPr>
        <w:pStyle w:val="ListParagraph"/>
        <w:numPr>
          <w:ilvl w:val="0"/>
          <w:numId w:val="2"/>
        </w:numPr>
        <w:spacing w:after="100"/>
      </w:pPr>
      <w:r>
        <w:rPr>
          <w:rFonts w:ascii="游ゴシック" w:cs="游ゴシック" w:eastAsia="游ゴシック" w:hAnsi="游ゴシック"/>
          <w:sz w:val="21"/>
          <w:szCs w:val="21"/>
        </w:rPr>
        <w:t xml:space="preserve">出典2：NTS Blog, "Why Your BPO's Attrition Rate Is Your Biggest Hidden Cost" (https://nexustech-egy.com/blog/bpo-attrition-hidden-cost)</w:t>
      </w:r>
    </w:p>
    <w:p>
      <w:pPr>
        <w:pStyle w:val="ListParagraph"/>
        <w:numPr>
          <w:ilvl w:val="0"/>
          <w:numId w:val="2"/>
        </w:numPr>
        <w:spacing w:after="100"/>
      </w:pPr>
      <w:r>
        <w:rPr>
          <w:rFonts w:ascii="游ゴシック" w:cs="游ゴシック" w:eastAsia="游ゴシック" w:hAnsi="游ゴシック"/>
          <w:sz w:val="21"/>
          <w:szCs w:val="21"/>
        </w:rPr>
        <w:t xml:space="preserve">出典3：SolarWinds, "15 ITSM ITIL Metrics for Tracking Incident Management Success" (https://www.solarwinds.com/blog/15-itsm-itil-metrics-for-tracking-incident-management-success)</w:t>
      </w:r>
    </w:p>
    <w:p>
      <w:pPr>
        <w:pStyle w:val="ListParagraph"/>
        <w:numPr>
          <w:ilvl w:val="0"/>
          <w:numId w:val="2"/>
        </w:numPr>
        <w:spacing w:after="100"/>
      </w:pPr>
      <w:r>
        <w:rPr>
          <w:rFonts w:ascii="游ゴシック" w:cs="游ゴシック" w:eastAsia="游ゴシック" w:hAnsi="游ゴシック"/>
          <w:sz w:val="21"/>
          <w:szCs w:val="21"/>
        </w:rPr>
        <w:t xml:space="preserve">出典4：BPO Insight Hub, "BPO SLA Guide 2026: What to Include in Your Contract" (https://www.bpoinsighthub.com/blog/bpo-sla-guide-2026-what-to-include-in-your-outsourcing-contract)</w:t>
      </w:r>
    </w:p>
    <w:p>
      <w:pPr>
        <w:pStyle w:val="ListParagraph"/>
        <w:numPr>
          <w:ilvl w:val="0"/>
          <w:numId w:val="2"/>
        </w:numPr>
        <w:spacing w:after="100"/>
      </w:pPr>
      <w:r>
        <w:rPr>
          <w:rFonts w:ascii="游ゴシック" w:cs="游ゴシック" w:eastAsia="游ゴシック" w:hAnsi="游ゴシック"/>
          <w:sz w:val="21"/>
          <w:szCs w:val="21"/>
        </w:rPr>
        <w:t xml:space="preserve">出典5：Sirion, "What Is a Benchmarking Clause and Why Should Every Service Contract Include One?" (https://www.sirion.ai/library/contract-clauses/benchmarking-clause/)</w:t>
      </w:r>
    </w:p>
    <w:p>
      <w:pPr>
        <w:pStyle w:val="ListParagraph"/>
        <w:numPr>
          <w:ilvl w:val="0"/>
          <w:numId w:val="2"/>
        </w:numPr>
        <w:spacing w:after="100"/>
      </w:pPr>
      <w:r>
        <w:rPr>
          <w:rFonts w:ascii="游ゴシック" w:cs="游ゴシック" w:eastAsia="游ゴシック" w:hAnsi="游ゴシック"/>
          <w:sz w:val="21"/>
          <w:szCs w:val="21"/>
        </w:rPr>
        <w:t xml:space="preserve">出典6：Arc.dev, "Staff Augmentation vs Outsourcing vs Managed Services" (https://arc.dev/employer-blog/staff-augmentation-vs-outsourcing-vs-managed-services/)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093cad1bb00efa53158d03d82562107ed580e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2026-08-29T04:16:37.935Z</dcterms:created>
  <dcterms:modified xsi:type="dcterms:W3CDTF">2026-08-29T04:16:37.935Z</dcterms:modified>
</cp:coreProperties>
</file>

<file path=docProps/custom.xml><?xml version="1.0" encoding="utf-8"?>
<Properties xmlns="http://schemas.openxmlformats.org/officeDocument/2006/custom-properties" xmlns:vt="http://schemas.openxmlformats.org/officeDocument/2006/docPropsVTypes"/>
</file>