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{{GOV_DOMAIN}} 標準作業手順書：{{業務名}}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{{DOC_PREFIX}}-P-07-01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{{OWNER_DEPT}}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{{STANDARD_APPROVER}}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{{EFFECTIVE_DATE}}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運用基準（{{DOC_PREFIX}}-R-03）。作らない場合は{{GOV_DOMAIN}} 憲章（{{DOC_PREFIX}}-R-02）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{{REVIEW_CYCLE}}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79"/>
        <w:gridCol w:w="2679"/>
        <w:gridCol w:w="2680"/>
      </w:tblGrid>
      <w:tr>
        <w:trPr>
          <w:tblHeader/>
        </w:trPr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79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作成</w:t>
            </w:r>
          </w:p>
        </w:tc>
        <w:tc>
          <w:tcPr>
            <w:tcW w:type="dxa" w:w="2679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確認</w:t>
            </w:r>
          </w:p>
        </w:tc>
        <w:tc>
          <w:tcPr>
            <w:tcW w:type="dxa" w:w="268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氏名</w:t>
            </w:r>
          </w:p>
        </w:tc>
        <w:tc>
          <w:tcPr>
            <w:tcW w:type="dxa" w:w="2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日付</w:t>
            </w:r>
          </w:p>
        </w:tc>
        <w:tc>
          <w:tcPr>
            <w:tcW w:type="dxa" w:w="2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1. 目的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{{この手順書が定める業務と、その目的}}</w:t>
      </w:r>
    </w:p>
    <w:p>
      <w:pPr>
        <w:pStyle w:val="Heading1"/>
      </w:pPr>
      <w:r>
        <w:rPr>
          <w:rFonts w:ascii="Yu Gothic" w:eastAsia="Yu Gothic" w:hAnsi="Yu Gothic"/>
        </w:rPr>
        <w:t xml:space="preserve">2. 適用範囲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{{対象となる業務・システム・組織。対象外も明記する}}</w:t>
      </w:r>
    </w:p>
    <w:p>
      <w:pPr>
        <w:pStyle w:val="Heading1"/>
      </w:pPr>
      <w:r>
        <w:rPr>
          <w:rFonts w:ascii="Yu Gothic" w:eastAsia="Yu Gothic" w:hAnsi="Yu Gothic"/>
        </w:rPr>
        <w:t xml:space="preserve">3. 責任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役割</w:t>
            </w:r>
          </w:p>
        </w:tc>
        <w:tc>
          <w:tcPr>
            <w:tcW w:type="dxa" w:w="7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責任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{{役割}}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{{役割}}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4. 定義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本手順書で使う用語は、用語集（{{DOC_PREFIX}}-F-14）による。本手順書に固有の用語は次のとおり。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用語</w:t>
            </w:r>
          </w:p>
        </w:tc>
        <w:tc>
          <w:tcPr>
            <w:tcW w:type="dxa" w:w="7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5. 手順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38"/>
        <w:gridCol w:w="24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担当</w:t>
            </w:r>
          </w:p>
        </w:tc>
        <w:tc>
          <w:tcPr>
            <w:tcW w:type="dxa" w:w="45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作業</w:t>
            </w:r>
          </w:p>
        </w:tc>
        <w:tc>
          <w:tcPr>
            <w:tcW w:type="dxa" w:w="24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記録（証跡）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6. 記録の保管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2438"/>
      </w:tblGrid>
      <w:tr>
        <w:trPr>
          <w:tblHeader/>
        </w:trPr>
        <w:tc>
          <w:tcPr>
            <w:tcW w:type="dxa" w:w="2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保管場所</w:t>
            </w:r>
          </w:p>
        </w:tc>
        <w:tc>
          <w:tcPr>
            <w:tcW w:type="dxa" w:w="1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保管期間</w:t>
            </w:r>
          </w:p>
        </w:tc>
        <w:tc>
          <w:tcPr>
            <w:tcW w:type="dxa" w:w="24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保管責任者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7. 教育訓練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{{本手順書の業務を行う者に求める教育訓練と、その記録}}</w:t>
      </w:r>
    </w:p>
    <w:p>
      <w:pPr>
        <w:pStyle w:val="Heading1"/>
      </w:pPr>
      <w:r>
        <w:rPr>
          <w:rFonts w:ascii="Yu Gothic" w:eastAsia="Yu Gothic" w:hAnsi="Yu Gothic"/>
        </w:rPr>
        <w:t xml:space="preserve">8. 逸脱時の対応</w:t>
      </w:r>
    </w:p>
    <w:p>
      <w:pPr>
        <w:spacing w:after="120" w:line="320"/>
      </w:pPr>
      <w:r>
        <w:rPr>
          <w:rFonts w:ascii="Yu Gothic" w:eastAsia="Yu Gothic" w:hAnsi="Yu Gothic"/>
        </w:rPr>
        <w:t xml:space="preserve">{{手順どおりに実施できなかった場合の報告先・記録・是正の手順}}</w:t>
      </w:r>
    </w:p>
    <w:p>
      <w:pPr>
        <w:pStyle w:val="Heading1"/>
      </w:pPr>
      <w:r>
        <w:rPr>
          <w:rFonts w:ascii="Yu Gothic" w:eastAsia="Yu Gothic" w:hAnsi="Yu Gothic"/>
        </w:rPr>
        <w:t xml:space="preserve">9. 参考文書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文書名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{{DOC_PREFIX}}-R-03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運用基準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{{DOC_PREFIX}}-P-07　{{GOV_DOMAIN}} 標準作業手順書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標準作業手順書</dc:title>
  <dc:creator/>
  <cp:lastModifiedBy>Un-named</cp:lastModifiedBy>
  <cp:revision>1</cp:revision>
  <dcterms:created xsi:type="dcterms:W3CDTF">2026-09-29T22:32:16.484Z</dcterms:created>
  <dcterms:modified xsi:type="dcterms:W3CDTF">2026-09-29T22:32:16.484Z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