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Yu Gothic" w:eastAsia="Yu Gothic" w:hAnsi="Yu Gothic"/>
          <w:b/>
          <w:bCs/>
          <w:color w:val="1C2B45"/>
          <w:sz w:val="36"/>
          <w:szCs w:val="36"/>
        </w:rPr>
        <w:t xml:space="preserve">{{GOV_DOMAIN}} 方針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{{DOC_PREFIX}}-R-01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所管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{{OWNER_DEPT}}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{{POLICY_APPROVER}}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制定日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最終改訂日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施行日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{{EFFECTIVE_DATE}}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上位文書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{{上位の方針・規程（例: 全社ITポリシー）}}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見直し周期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{{REVIEW_CYCLE}}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第1章　総則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第1条（目的）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本方針は、{{ORG_NAME}}における{{GOV_DOMAIN}}の目的と基本原則を定める。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第2条（適用範囲）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本方針は、{{対象組織（例: 当社および国内外の子会社）}}の{{SUBJECT_UNIT}}に適用する。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次に掲げるものは本方針の対象外とする。{{例: 経費予算の継続案件（運用基準に定める境目を超えるものを除く）}}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第3条（定義）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本方針で使う用語の定義は、用語集（{{DOC_PREFIX}}-F-14）による。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第2章　基本原則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第4条（基本原則）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{{GOV_DOMAIN}}は、次の原則に従う。</w:t>
      </w:r>
    </w:p>
    <w:p>
      <w:pPr>
        <w:spacing w:after="60" w:line="320"/>
        <w:ind w:left="720" w:hanging="480"/>
      </w:pPr>
      <w:r>
        <w:rPr>
          <w:rFonts w:ascii="Yu Gothic" w:eastAsia="Yu Gothic" w:hAnsi="Yu Gothic"/>
        </w:rPr>
        <w:t xml:space="preserve">(1)　{{原則1の名称（例: 全件の把握）}}　{{例: 金額にかかわらず、全ての対象案件を登録し、所管部署が把握する。}}</w:t>
      </w:r>
    </w:p>
    <w:p>
      <w:pPr>
        <w:spacing w:after="60" w:line="320"/>
        <w:ind w:left="720" w:hanging="480"/>
      </w:pPr>
      <w:r>
        <w:rPr>
          <w:rFonts w:ascii="Yu Gothic" w:eastAsia="Yu Gothic" w:hAnsi="Yu Gothic"/>
        </w:rPr>
        <w:t xml:space="preserve">(2)　{{原則2の名称（例: 段階的な審議）}}　{{例: 案件は、戦略・計画・技術の観点ごとに段階を分けて審議する。}}</w:t>
      </w:r>
    </w:p>
    <w:p>
      <w:pPr>
        <w:spacing w:after="60" w:line="320"/>
        <w:ind w:left="720" w:hanging="480"/>
      </w:pPr>
      <w:r>
        <w:rPr>
          <w:rFonts w:ascii="Yu Gothic" w:eastAsia="Yu Gothic" w:hAnsi="Yu Gothic"/>
        </w:rPr>
        <w:t xml:space="preserve">(3)　{{原則3の名称（例: 決裁権の明示）}}　{{例: 実行を承認する権限は、予算計上の時点で案件ごとに定める。}}</w:t>
      </w:r>
    </w:p>
    <w:p>
      <w:pPr>
        <w:pStyle w:val="Heading1"/>
      </w:pPr>
      <w:r>
        <w:rPr>
          <w:rFonts w:ascii="Yu Gothic" w:eastAsia="Yu Gothic" w:hAnsi="Yu Gothic"/>
        </w:rPr>
        <w:t xml:space="preserve">第3章　体制と役割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第5条（体制）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{{GOV_DOMAIN}}の役割、責任および権限（会議体を置く場合は、その構成と権限）は、憲章（{{DOC_PREFIX}}-R-02）に定める。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役割</w:t>
            </w:r>
          </w:p>
        </w:tc>
        <w:tc>
          <w:tcPr>
            <w:tcW w:type="dxa" w:w="28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担う者</w:t>
            </w:r>
          </w:p>
        </w:tc>
        <w:tc>
          <w:tcPr>
            <w:tcW w:type="dxa" w:w="44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責任の概要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{{最終責任者}}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経営層}}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優先度の決定}}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Tier2}}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計画の承認と決裁権の配分}}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運営主体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{{SECRETARIAT}}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会議体の運営、案件の受付と記録}}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{{APPLICANT}}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事業部門・IT部門}}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案件の起案と実行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第4章　遵守と例外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第6条（遵守）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本方針の対象となる者は、本方針および下位の規程・基準に従う。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第7条（例外）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本方針によりがたい事情がある場合は、{{例外を承認する者}}の承認を得て例外とすることができる。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{{SECRETARIAT}}は、承認された例外を決定記録（{{DOC_PREFIX}}-F-15）に記録する。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第5章　見直し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第8条（見直し）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所管部署は、{{REVIEW_CYCLE}}ごとに本方針を見直し、その結果を改訂履歴に記録する。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附則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第9条（施行）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本方針は、{{EFFECTIVE_DATE}}から施行する。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038"/>
        <w:gridCol w:w="1600"/>
        <w:gridCol w:w="16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5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改訂者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制定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{{DOC_PREFIX}}-R-01　{{GOV_DOMAIN}} 方針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方針</dc:title>
  <dc:creator/>
  <cp:lastModifiedBy>Un-named</cp:lastModifiedBy>
  <cp:revision>1</cp:revision>
  <dcterms:created xsi:type="dcterms:W3CDTF">2026-09-29T22:32:16.413Z</dcterms:created>
  <dcterms:modified xsi:type="dcterms:W3CDTF">2026-09-29T22:32:16.414Z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