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Yu Gothic" w:eastAsia="Yu Gothic" w:hAnsi="Yu Gothic"/>
          <w:b/>
          <w:bCs/>
          <w:color w:val="1C2B45"/>
          <w:sz w:val="36"/>
          <w:szCs w:val="36"/>
        </w:rPr>
        <w:t xml:space="preserve">{{GOV_DOMAIN}} 憲章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文書番号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{{DOC_PREFIX}}-R-02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所管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{{OWNER_DEPT}}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{{POLICY_APPROVER}}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制定日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最終改訂日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施行日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{{EFFECTIVE_DATE}}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上位文書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{{GOV_DOMAIN}} 方針（{{DOC_PREFIX}}-R-01）。作らない場合は{{経営層の決定事項（議事録・通達）}}</w:t>
            </w:r>
          </w:p>
        </w:tc>
      </w:tr>
      <w:tr>
        <w:tc>
          <w:tcPr>
            <w:tcW w:type="dxa" w:w="22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見直し周期</w:t>
            </w:r>
          </w:p>
        </w:tc>
        <w:tc>
          <w:tcPr>
            <w:tcW w:type="dxa" w:w="74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{{REVIEW_CYCLE}}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第1章　総則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本憲章は、{{GOV_DOMAIN}} 方針（方針を作らない場合は{{経営層の決定事項（議事録・通達）}}）に基づき、{{GOV_DOMAIN}}の目的と範囲、役割と責任、および運営について定める。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第2条（定義）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本憲章で使う用語の定義は、用語集（{{DOC_PREFIX}}-F-14）による。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第2章　機能の目的と範囲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第3条（目的）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{{GOV_DOMAIN}}は、{{この機能によって、誰が何をできるようになるか}}ことを目的とする。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第4条（範囲）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{{GOV_DOMAIN}}の範囲は、次のとおりとする。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機能の型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{{README §2-2 の型。例: B 依頼・提供型（台帳・更新カレンダーの維持は C 定常運用型）}}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提供するもの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契約交渉の支援、相場情報の提供、契約更新の事前の声がけ}}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利用者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{{APPLICANT}}（{{例: IT部門の各チーム、事業部門のシステムオーナー}}）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対象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IT関連の外部委託・ライセンス・SaaSの契約}}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対象外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IT以外の購買}}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前後の機能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{{この機能に入力を渡す機能と、出力を受け取る機能。例: 需要管理、プロジェクト管理}}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対象と対象外の境目の判定基準は、運用基準（{{DOC_PREFIX}}-R-03）第○条に定める。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第3章　役割と責任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第5条（役割）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{{GOV_DOMAIN}}の役割は、次のとおりとする。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2238"/>
        <w:gridCol w:w="1900"/>
        <w:gridCol w:w="1900"/>
      </w:tblGrid>
      <w:tr>
        <w:trPr>
          <w:tblHeader/>
        </w:trPr>
        <w:tc>
          <w:tcPr>
            <w:tcW w:type="dxa" w:w="17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役割</w:t>
            </w:r>
          </w:p>
        </w:tc>
        <w:tc>
          <w:tcPr>
            <w:tcW w:type="dxa" w:w="1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担う者</w:t>
            </w:r>
          </w:p>
        </w:tc>
        <w:tc>
          <w:tcPr>
            <w:tcW w:type="dxa" w:w="22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責任</w:t>
            </w:r>
          </w:p>
        </w:tc>
        <w:tc>
          <w:tcPr>
            <w:tcW w:type="dxa" w:w="1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持つ権限</w:t>
            </w:r>
          </w:p>
        </w:tc>
        <w:tc>
          <w:tcPr>
            <w:tcW w:type="dxa" w:w="1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持たない権限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機能の責任者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{{役職}}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機能の成果に責任を負い、運営の方針を決める}}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運用基準の改訂の起案}}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運営主体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{{SECRETARIAT}}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受付、記録、関係者への連絡}}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個別案件の可否の決定}}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{{担当の役割}}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{{APPLICANT}}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依頼の内容を示し、結果を受け取って実行する}}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  <w:tr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{{関係部署}}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2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第6条（運営主体）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{{GOV_DOMAIN}}の運営は、{{SECRETARIAT}}が行う。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運営の手順は、Runbook（{{DOC_PREFIX}}-P-08）に定める。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第7条（決める事項と決める者）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{{GOV_DOMAIN}}に関わる主な事項と、それを決める者は、次のとおりとする。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838"/>
      </w:tblGrid>
      <w:tr>
        <w:trPr>
          <w:tblHeader/>
        </w:trPr>
        <w:tc>
          <w:tcPr>
            <w:tcW w:type="dxa" w:w="32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事項</w:t>
            </w:r>
          </w:p>
        </w:tc>
        <w:tc>
          <w:tcPr>
            <w:tcW w:type="dxa" w:w="2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決める者</w:t>
            </w:r>
          </w:p>
        </w:tc>
        <w:tc>
          <w:tcPr>
            <w:tcW w:type="dxa" w:w="38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この機能の関わり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投資案件の優先度}}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Tier1}}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会議体として決める}}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ベンダーの選定}}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依頼部門}}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比較と交渉を支援する（決めない）}}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{{事項}}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  <w:tc>
          <w:tcPr>
            <w:tcW w:type="dxa" w:w="3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 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決裁の権限を金額・区分などの条件ごとに定める必要がある場合は、決裁権限表（{{DOC_PREFIX}}-R-04）に定める。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第4章　会議体 [任意]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第8条（会議体の構成）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{{GOV_DOMAIN}}に、次の会議体を置く。{{MEETING_NAMES}}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各会議体の関係は、次のとおりとする。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38"/>
        <w:gridCol w:w="2000"/>
      </w:tblGrid>
      <w:tr>
        <w:trPr>
          <w:tblHeader/>
        </w:trPr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会議体</w:t>
            </w:r>
          </w:p>
        </w:tc>
        <w:tc>
          <w:tcPr>
            <w:tcW w:type="dxa" w:w="28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位置づけ</w:t>
            </w:r>
          </w:p>
        </w:tc>
        <w:tc>
          <w:tcPr>
            <w:tcW w:type="dxa" w:w="28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主な決定事項</w:t>
            </w:r>
          </w:p>
        </w:tc>
        <w:tc>
          <w:tcPr>
            <w:tcW w:type="dxa" w:w="20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上位の会議体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{{会議体A}}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戦略との接合性の審議}}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{{会議体B}}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計画の審議}}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予算計上、決裁権}}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{{会議体A}}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{{会議体C}}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技術面の補完}}</w:t>
            </w:r>
          </w:p>
        </w:tc>
        <w:tc>
          <w:tcPr>
            <w:tcW w:type="dxa" w:w="28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審議結果のレポート}}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{{会議体B}}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3　会議体の運営（議題の準備、記録、決定の通知）は、{{SECRETARIAT}}が行う。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第9条（各会議体の定め）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各会議体の目的、議長、構成員、付議事項、決定事項、開催頻度、定足数と決議方法、上申と差し戻し、記録は、会議体ごとに別表に定める。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第5章　利害関係の回避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第10条（利害関係者の回避）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1　{{GOV_DOMAIN}}の役割を担う者および会議体の構成員は、自らが{{APPLICANT}}である案件、または{{利害関係の定義}}のある案件の判断に加わらない。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2　前項により判断に加われない者がいる場合の扱いは、{{ }}とする。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第6章　報告と改廃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第11条（運営状況の報告）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{{機能の責任者}}は、{{報告先}}に対し、{{報告の周期}}ごとに{{GOV_DOMAIN}}の運営状況（{{例: 受付件数、対応期間、サービスレベルの達成状況}}）を報告する。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第12条（改廃）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本憲章の改廃は、{{POLICY_APPROVER}}の承認を得て行う。</w:t>
      </w:r>
    </w:p>
    <w:p>
      <w:pPr>
        <w:pStyle w:val="Heading1"/>
      </w:pPr>
      <w:r>
        <w:rPr>
          <w:rFonts w:ascii="Yu Gothic" w:eastAsia="Yu Gothic" w:hAnsi="Yu Gothic"/>
        </w:rPr>
        <w:t xml:space="preserve">附則</w:t>
      </w:r>
    </w:p>
    <w:p>
      <w:pPr>
        <w:spacing w:after="60" w:before="160"/>
      </w:pPr>
      <w:r>
        <w:rPr>
          <w:rFonts w:ascii="Yu Gothic" w:eastAsia="Yu Gothic" w:hAnsi="Yu Gothic"/>
          <w:b/>
          <w:bCs/>
        </w:rPr>
        <w:t xml:space="preserve">第13条（施行）</w:t>
      </w:r>
    </w:p>
    <w:p>
      <w:pPr>
        <w:spacing w:after="60" w:line="320"/>
        <w:ind w:left="240"/>
      </w:pPr>
      <w:r>
        <w:rPr>
          <w:rFonts w:ascii="Yu Gothic" w:eastAsia="Yu Gothic" w:hAnsi="Yu Gothic"/>
        </w:rPr>
        <w:t xml:space="preserve">本憲章は、{{EFFECTIVE_DATE}}から施行する。</w:t>
      </w:r>
    </w:p>
    <w:p>
      <w:pPr>
        <w:pStyle w:val="Heading1"/>
      </w:pPr>
      <w:r>
        <w:rPr>
          <w:rFonts w:ascii="Yu Gothic" w:eastAsia="Yu Gothic" w:hAnsi="Yu Gothic"/>
        </w:rPr>
        <w:t xml:space="preserve">別表</w:t>
      </w:r>
    </w:p>
    <w:p>
      <w:pPr>
        <w:pStyle w:val="Heading2"/>
      </w:pPr>
      <w:r>
        <w:rPr>
          <w:rFonts w:ascii="Yu Gothic" w:eastAsia="Yu Gothic" w:hAnsi="Yu Gothic"/>
        </w:rPr>
        <w:t xml:space="preserve">別表1　{{会議体A}}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{{この会議体が何を判断するか}}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{{役職を列挙。個人名は書かない}}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{{この会議体にかける案件の条件（運用基準 第○条を参照）}}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優先度／予算計上の可否／決裁権／実行承認}}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年1回（予算編成前）／月1回／随時}}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構成員の過半数の出席、出席者の合意により決する}}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上位会議体への意見具申、再審議の要請の手続き}}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議事録を作成し、決定記録（{{DOC_PREFIX}}-F-15）に登録する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別表2　{{会議体B}}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{{この会議体が何を判断するか}}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{{役職を列挙。個人名は書かない}}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{{この会議体にかける案件の条件（運用基準 第○条を参照）}}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優先度／予算計上の可否／決裁権／実行承認}}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年1回（予算編成前）／月1回／随時}}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構成員の過半数の出席、出席者の合意により決する}}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上位会議体への意見具申、再審議の要請の手続き}}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議事録を作成し、決定記録（{{DOC_PREFIX}}-F-15）に登録する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2"/>
      </w:pPr>
      <w:r>
        <w:rPr>
          <w:rFonts w:ascii="Yu Gothic" w:eastAsia="Yu Gothic" w:hAnsi="Yu Gothic"/>
        </w:rPr>
        <w:t xml:space="preserve">別表3　{{会議体C}}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目的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{{この会議体が何を判断するか}}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議長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構成員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{{役職を列挙。個人名は書かない}}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付議事項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{{この会議体にかける案件の条件（運用基準 第○条を参照）}}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決定事項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優先度／予算計上の可否／決裁権／実行承認}}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開催頻度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年1回（予算編成前）／月1回／随時}}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定足数・決議方法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構成員の過半数の出席、出席者の合意により決する}}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上申・差し戻し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{{例: 上位会議体への意見具申、再審議の要請の手続き}}</w:t>
            </w:r>
          </w:p>
        </w:tc>
      </w:tr>
      <w:tr>
        <w:tc>
          <w:tcPr>
            <w:tcW w:type="dxa" w:w="2400"/>
            <w:shd w:fill="F4F6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記録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議事録を作成し、決定記録（{{DOC_PREFIX}}-F-15）に登録する</w:t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p>
      <w:pPr>
        <w:pStyle w:val="Heading1"/>
      </w:pPr>
      <w:r>
        <w:rPr>
          <w:rFonts w:ascii="Yu Gothic" w:eastAsia="Yu Gothic" w:hAnsi="Yu Gothic"/>
        </w:rPr>
        <w:t xml:space="preserve">改訂履歴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4038"/>
        <w:gridCol w:w="1600"/>
        <w:gridCol w:w="1600"/>
      </w:tblGrid>
      <w:tr>
        <w:trPr>
          <w:tblHeader/>
        </w:trPr>
        <w:tc>
          <w:tcPr>
            <w:tcW w:type="dxa" w:w="9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版</w:t>
            </w:r>
          </w:p>
        </w:tc>
        <w:tc>
          <w:tcPr>
            <w:tcW w:type="dxa" w:w="15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日付</w:t>
            </w:r>
          </w:p>
        </w:tc>
        <w:tc>
          <w:tcPr>
            <w:tcW w:type="dxa" w:w="4038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改訂内容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改訂者</w:t>
            </w:r>
          </w:p>
        </w:tc>
        <w:tc>
          <w:tcPr>
            <w:tcW w:type="dxa" w:w="1600"/>
            <w:shd w:fill="DCE3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/>
                <w:bCs/>
                <w:sz w:val="19"/>
                <w:szCs w:val="19"/>
              </w:rPr>
              <w:t xml:space="preserve">承認者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YYYY-MM-DD</w:t>
            </w:r>
          </w:p>
        </w:tc>
        <w:tc>
          <w:tcPr>
            <w:tcW w:type="dxa" w:w="40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>制定</w:t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80"/>
            </w:pPr>
            <w:r>
              <w:rPr>
                <w:rFonts w:ascii="Yu Gothic" w:eastAsia="Yu Gothic" w:hAnsi="Yu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20"/>
      </w:pPr>
      <w:r>
        <w:rPr>
          <w:rFonts w:ascii="Yu Gothic" w:eastAsia="Yu Gothic" w:hAnsi="Yu Gothic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eastAsia="Yu Gothic" w:hAnsi="Yu Gothic"/>
        <w:color w:val="888888"/>
        <w:sz w:val="16"/>
        <w:szCs w:val="16"/>
      </w:rPr>
      <w:t xml:space="preserve">{{DOC_PREFIX}}-R-02　{{GOV_DOMAIN}} 憲章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Yu Gothic" w:eastAsia="Yu Gothic" w:hAnsi="Yu Gothic"/>
      <w:b/>
      <w:bCs/>
      <w:color w:val="1C2B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Yu Gothic" w:eastAsia="Yu Gothic" w:hAnsi="Yu Gothic"/>
      <w:b/>
      <w:bCs/>
      <w:color w:val="1C2B45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Yu Gothic" w:eastAsia="Yu Gothic" w:hAnsi="Yu Gothic"/>
      <w:b/>
      <w:bCs/>
      <w:color w:val="3F4F6A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憲章</dc:title>
  <dc:creator/>
  <cp:lastModifiedBy>Un-named</cp:lastModifiedBy>
  <cp:revision>1</cp:revision>
  <dcterms:created xsi:type="dcterms:W3CDTF">2026-09-29T22:32:16.438Z</dcterms:created>
  <dcterms:modified xsi:type="dcterms:W3CDTF">2026-09-29T22:32:16.438Z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