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color w:val="595959"/>
          <w:sz w:val="20"/>
          <w:szCs w:val="20"/>
        </w:rPr>
        <w:t xml:space="preserve">実行計画（叩き台）</w:t>
      </w:r>
    </w:p>
    <w:p>
      <w:pPr>
        <w:spacing w:after="60"/>
      </w:pPr>
      <w:r>
        <w:rPr>
          <w:rFonts w:ascii="Yu Gothic" w:cs="Yu Gothic" w:eastAsia="Yu Gothic" w:hAnsi="Yu Gothic"/>
          <w:b/>
          <w:bCs/>
          <w:color w:val="1F4E5F"/>
          <w:sz w:val="40"/>
          <w:szCs w:val="40"/>
        </w:rPr>
        <w:t xml:space="preserve">IT予算・決裁権移管プロジェクト</w:t>
      </w:r>
    </w:p>
    <w:p>
      <w:pPr>
        <w:pBdr>
          <w:bottom w:val="single" w:color="1F4E5F" w:sz="16" w:space="6"/>
        </w:pBdr>
        <w:spacing w:after="300"/>
      </w:pPr>
      <w:r>
        <w:rPr>
          <w:rFonts w:ascii="Yu Gothic" w:cs="Yu Gothic" w:eastAsia="Yu Gothic" w:hAnsi="Yu Gothic"/>
          <w:color w:val="595959"/>
          <w:sz w:val="19"/>
          <w:szCs w:val="19"/>
        </w:rPr>
        <w:t xml:space="preserve">作成日：2026年8月22日　　版：v0.1（叩き台）</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1. 背景・目的</w:t>
      </w:r>
    </w:p>
    <w:p>
      <w:pPr>
        <w:pStyle w:val="ListParagraph"/>
        <w:numPr>
          <w:ilvl w:val="0"/>
          <w:numId w:val="2"/>
        </w:numPr>
        <w:spacing w:after="70" w:line="300"/>
      </w:pPr>
      <w:r>
        <w:rPr>
          <w:rFonts w:ascii="Yu Gothic" w:cs="Yu Gothic" w:eastAsia="Yu Gothic" w:hAnsi="Yu Gothic"/>
          <w:color w:val="222222"/>
          <w:sz w:val="21"/>
          <w:szCs w:val="21"/>
        </w:rPr>
        <w:t xml:space="preserve">現在、IT投資に関する予算および決裁権は、対象部門（ビジネス部門側）が保持している。</w:t>
      </w:r>
    </w:p>
    <w:p>
      <w:pPr>
        <w:pStyle w:val="ListParagraph"/>
        <w:numPr>
          <w:ilvl w:val="0"/>
          <w:numId w:val="2"/>
        </w:numPr>
        <w:spacing w:after="70" w:line="300"/>
      </w:pPr>
      <w:r>
        <w:rPr>
          <w:rFonts w:ascii="Yu Gothic" w:cs="Yu Gothic" w:eastAsia="Yu Gothic" w:hAnsi="Yu Gothic"/>
          <w:color w:val="222222"/>
          <w:sz w:val="21"/>
          <w:szCs w:val="21"/>
        </w:rPr>
        <w:t xml:space="preserve">本部長が社長の承認を得て、当該予算・決裁権をIT部門へ移管する方針を決定した。</w:t>
      </w:r>
    </w:p>
    <w:p>
      <w:pPr>
        <w:pStyle w:val="ListParagraph"/>
        <w:numPr>
          <w:ilvl w:val="0"/>
          <w:numId w:val="2"/>
        </w:numPr>
        <w:spacing w:after="70" w:line="300"/>
      </w:pPr>
      <w:r>
        <w:rPr>
          <w:rFonts w:ascii="Yu Gothic" w:cs="Yu Gothic" w:eastAsia="Yu Gothic" w:hAnsi="Yu Gothic"/>
          <w:color w:val="222222"/>
          <w:sz w:val="21"/>
          <w:szCs w:val="21"/>
        </w:rPr>
        <w:t xml:space="preserve">本文書は、この方針を実務レベルで実行に移すための推進計画の叩き台である。関係部門との協議を通じて随時更新する。</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2. 対象範囲（スコープ）</w:t>
      </w:r>
    </w:p>
    <w:p>
      <w:pPr>
        <w:spacing w:after="120" w:line="320"/>
      </w:pPr>
      <w:r>
        <w:rPr>
          <w:rFonts w:ascii="Yu Gothic" w:cs="Yu Gothic" w:eastAsia="Yu Gothic" w:hAnsi="Yu Gothic"/>
          <w:color w:val="222222"/>
          <w:sz w:val="21"/>
          <w:szCs w:val="21"/>
        </w:rPr>
        <w:t xml:space="preserve">対象部門と対象外部門は以下の通り。</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10"/>
        <w:gridCol w:w="6010"/>
      </w:tblGrid>
      <w:tr>
        <w:tc>
          <w:tcPr>
            <w:tcW w:type="dxa" w:w="3010"/>
            <w:shd w:fill="EAF1F3" w:val="clear"/>
            <w:tcMar>
              <w:top w:type="dxa" w:w="100"/>
              <w:left w:type="dxa" w:w="120"/>
              <w:bottom w:type="dxa" w:w="100"/>
              <w:right w:type="dxa" w:w="120"/>
            </w:tcMar>
          </w:tcPr>
          <w:p>
            <w:pPr>
              <w:jc w:val="left"/>
            </w:pPr>
            <w:r>
              <w:rPr>
                <w:rFonts w:ascii="Yu Gothic" w:cs="Yu Gothic" w:eastAsia="Yu Gothic" w:hAnsi="Yu Gothic"/>
                <w:b/>
                <w:bCs/>
                <w:color w:val="1F4E5F"/>
                <w:sz w:val="20"/>
                <w:szCs w:val="20"/>
              </w:rPr>
              <w:t xml:space="preserve">区分</w:t>
            </w:r>
          </w:p>
        </w:tc>
        <w:tc>
          <w:tcPr>
            <w:tcW w:type="dxa" w:w="6010"/>
            <w:shd w:fill="EAF1F3" w:val="clear"/>
            <w:tcMar>
              <w:top w:type="dxa" w:w="100"/>
              <w:left w:type="dxa" w:w="120"/>
              <w:bottom w:type="dxa" w:w="100"/>
              <w:right w:type="dxa" w:w="120"/>
            </w:tcMar>
          </w:tcPr>
          <w:p>
            <w:pPr>
              <w:jc w:val="left"/>
            </w:pPr>
            <w:r>
              <w:rPr>
                <w:rFonts w:ascii="Yu Gothic" w:cs="Yu Gothic" w:eastAsia="Yu Gothic" w:hAnsi="Yu Gothic"/>
                <w:b/>
                <w:bCs/>
                <w:color w:val="1F4E5F"/>
                <w:sz w:val="20"/>
                <w:szCs w:val="20"/>
              </w:rPr>
              <w:t xml:space="preserve">部門</w:t>
            </w:r>
          </w:p>
        </w:tc>
      </w:tr>
      <w:tr>
        <w:tc>
          <w:tcPr>
            <w:tcW w:type="dxa" w:w="301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対象（移管する）</w:t>
            </w:r>
          </w:p>
        </w:tc>
        <w:tc>
          <w:tcPr>
            <w:tcW w:type="dxa" w:w="601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人事総務／法務／事業部門A／事業部門B／事業部門C</w:t>
            </w:r>
          </w:p>
        </w:tc>
      </w:tr>
      <w:tr>
        <w:tc>
          <w:tcPr>
            <w:tcW w:type="dxa" w:w="301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対象外（現状維持）</w:t>
            </w:r>
          </w:p>
        </w:tc>
        <w:tc>
          <w:tcPr>
            <w:tcW w:type="dxa" w:w="601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営業／生産／研究開発</w:t>
            </w:r>
          </w:p>
        </w:tc>
      </w:tr>
    </w:tbl>
    <w:p>
      <w:pPr>
        <w:spacing w:after="120" w:line="320"/>
      </w:pPr>
      <w:r>
        <w:rPr>
          <w:rFonts w:ascii="Yu Gothic" w:cs="Yu Gothic" w:eastAsia="Yu Gothic" w:hAnsi="Yu Gothic"/>
          <w:i w:val="false"/>
          <w:iCs w:val="false"/>
          <w:color w:val="222222"/>
          <w:sz w:val="21"/>
          <w:szCs w:val="21"/>
        </w:rPr>
        <w:t xml:space="preserve">対象外の3部門は、各部門固有の投資判断の特性を踏まえ現時点では対象外とする。将来的な見直しの可能性は排除しない。</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3. 移管の内容</w:t>
      </w:r>
    </w:p>
    <w:p>
      <w:pPr>
        <w:pStyle w:val="ListParagraph"/>
        <w:numPr>
          <w:ilvl w:val="0"/>
          <w:numId w:val="2"/>
        </w:numPr>
        <w:spacing w:after="70" w:line="300"/>
      </w:pPr>
      <w:r>
        <w:rPr>
          <w:rFonts w:ascii="Yu Gothic" w:cs="Yu Gothic" w:eastAsia="Yu Gothic" w:hAnsi="Yu Gothic"/>
          <w:color w:val="222222"/>
          <w:sz w:val="21"/>
          <w:szCs w:val="21"/>
        </w:rPr>
        <w:t xml:space="preserve">IT投資に関する予算の保有・執行権限</w:t>
      </w:r>
    </w:p>
    <w:p>
      <w:pPr>
        <w:pStyle w:val="ListParagraph"/>
        <w:numPr>
          <w:ilvl w:val="0"/>
          <w:numId w:val="2"/>
        </w:numPr>
        <w:spacing w:after="70" w:line="300"/>
      </w:pPr>
      <w:r>
        <w:rPr>
          <w:rFonts w:ascii="Yu Gothic" w:cs="Yu Gothic" w:eastAsia="Yu Gothic" w:hAnsi="Yu Gothic"/>
          <w:color w:val="222222"/>
          <w:sz w:val="21"/>
          <w:szCs w:val="21"/>
        </w:rPr>
        <w:t xml:space="preserve">IT投資に関する意思決定・決裁権限</w:t>
      </w:r>
    </w:p>
    <w:p>
      <w:pPr>
        <w:pStyle w:val="ListParagraph"/>
        <w:numPr>
          <w:ilvl w:val="0"/>
          <w:numId w:val="2"/>
        </w:numPr>
        <w:spacing w:after="70" w:line="300"/>
      </w:pPr>
      <w:r>
        <w:rPr>
          <w:rFonts w:ascii="Yu Gothic" w:cs="Yu Gothic" w:eastAsia="Yu Gothic" w:hAnsi="Yu Gothic"/>
          <w:color w:val="222222"/>
          <w:sz w:val="21"/>
          <w:szCs w:val="21"/>
        </w:rPr>
        <w:t xml:space="preserve">上記を実務として回すための機能：企画（投資の妥当性評価・提案）／実行（調達・導入）／検証（効果測定）／管理改善（PDCA）</w:t>
      </w:r>
    </w:p>
    <w:p>
      <w:pPr>
        <w:pStyle w:val="ListParagraph"/>
        <w:numPr>
          <w:ilvl w:val="0"/>
          <w:numId w:val="2"/>
        </w:numPr>
        <w:spacing w:after="70" w:line="300"/>
      </w:pPr>
      <w:r>
        <w:rPr>
          <w:rFonts w:ascii="Yu Gothic" w:cs="Yu Gothic" w:eastAsia="Yu Gothic" w:hAnsi="Yu Gothic"/>
          <w:color w:val="222222"/>
          <w:sz w:val="21"/>
          <w:szCs w:val="21"/>
        </w:rPr>
        <w:t xml:space="preserve">上記機能を担う人的リソース（部門からの異動、IT部門での新規採用、移行期間中の応援・兼務のいずれか、または組み合わせ）</w:t>
      </w:r>
    </w:p>
    <w:p>
      <w:pPr>
        <w:spacing w:after="120" w:line="320"/>
      </w:pPr>
      <w:r>
        <w:rPr>
          <w:rFonts w:ascii="Yu Gothic" w:cs="Yu Gothic" w:eastAsia="Yu Gothic" w:hAnsi="Yu Gothic"/>
          <w:color w:val="222222"/>
          <w:sz w:val="21"/>
          <w:szCs w:val="21"/>
        </w:rPr>
        <w:t xml:space="preserve">予算・決裁権のみを移管し、それを実務として回す機能・人的リソースを伴わない場合、①（企画→インフラの予算移管）と同型の「説明責任だけが先行し実務能力が伴わない」問題を、IT部門自身の中で再生産することになる。したがって本移管は、予算・決裁権と、それを支える機能・人員をセットで扱う。</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4. 現状の課題認識</w:t>
      </w:r>
    </w:p>
    <w:p>
      <w:pPr>
        <w:pStyle w:val="ListParagraph"/>
        <w:numPr>
          <w:ilvl w:val="0"/>
          <w:numId w:val="2"/>
        </w:numPr>
        <w:spacing w:after="70" w:line="300"/>
      </w:pPr>
      <w:r>
        <w:rPr>
          <w:rFonts w:ascii="Yu Gothic" w:cs="Yu Gothic" w:eastAsia="Yu Gothic" w:hAnsi="Yu Gothic"/>
          <w:color w:val="222222"/>
          <w:sz w:val="21"/>
          <w:szCs w:val="21"/>
        </w:rPr>
        <w:t xml:space="preserve">方針は決定済みだが、具体的な移管方法・実行手順は未策定である。</w:t>
      </w:r>
    </w:p>
    <w:p>
      <w:pPr>
        <w:pStyle w:val="ListParagraph"/>
        <w:numPr>
          <w:ilvl w:val="0"/>
          <w:numId w:val="2"/>
        </w:numPr>
        <w:spacing w:after="70" w:line="300"/>
      </w:pPr>
      <w:r>
        <w:rPr>
          <w:rFonts w:ascii="Yu Gothic" w:cs="Yu Gothic" w:eastAsia="Yu Gothic" w:hAnsi="Yu Gothic"/>
          <w:color w:val="222222"/>
          <w:sz w:val="21"/>
          <w:szCs w:val="21"/>
        </w:rPr>
        <w:t xml:space="preserve">対象部門側の当事者意識・巻き込みが現時点で不十分であり、実務レベルの協力体制が明確になっていない。</w:t>
      </w:r>
    </w:p>
    <w:p>
      <w:pPr>
        <w:pStyle w:val="ListParagraph"/>
        <w:numPr>
          <w:ilvl w:val="0"/>
          <w:numId w:val="2"/>
        </w:numPr>
        <w:spacing w:after="70" w:line="300"/>
      </w:pPr>
      <w:r>
        <w:rPr>
          <w:rFonts w:ascii="Yu Gothic" w:cs="Yu Gothic" w:eastAsia="Yu Gothic" w:hAnsi="Yu Gothic"/>
          <w:color w:val="222222"/>
          <w:sz w:val="21"/>
          <w:szCs w:val="21"/>
        </w:rPr>
        <w:t xml:space="preserve">進捗を確認・報告する仕組み（ガバナンス）が現時点で存在しない。</w:t>
      </w:r>
    </w:p>
    <w:p>
      <w:pPr>
        <w:pStyle w:val="ListParagraph"/>
        <w:numPr>
          <w:ilvl w:val="0"/>
          <w:numId w:val="2"/>
        </w:numPr>
        <w:spacing w:after="70" w:line="300"/>
      </w:pPr>
      <w:r>
        <w:rPr>
          <w:rFonts w:ascii="Yu Gothic" w:cs="Yu Gothic" w:eastAsia="Yu Gothic" w:hAnsi="Yu Gothic"/>
          <w:color w:val="222222"/>
          <w:sz w:val="21"/>
          <w:szCs w:val="21"/>
        </w:rPr>
        <w:t xml:space="preserve">対応が長期化・停滞した場合、責任の所在が曖昧なまま時間だけが経過するリスクがある。</w:t>
      </w:r>
    </w:p>
    <w:p>
      <w:pPr>
        <w:pStyle w:val="ListParagraph"/>
        <w:numPr>
          <w:ilvl w:val="0"/>
          <w:numId w:val="2"/>
        </w:numPr>
        <w:spacing w:after="70" w:line="300"/>
      </w:pPr>
      <w:r>
        <w:rPr>
          <w:rFonts w:ascii="Yu Gothic" w:cs="Yu Gothic" w:eastAsia="Yu Gothic" w:hAnsi="Yu Gothic"/>
          <w:color w:val="222222"/>
          <w:sz w:val="21"/>
          <w:szCs w:val="21"/>
        </w:rPr>
        <w:t xml:space="preserve">高額案件についてはビジネスパートナー同士のやり取りにより情報の対称性があるが、それ以外の大多数の案件（契約数、IT関連の課題等）はIT部門が関与しておらず可視化されていない（シャドーIT）。</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5. 実行体制・ガバナンス</w:t>
      </w:r>
    </w:p>
    <w:p>
      <w:pPr>
        <w:spacing w:after="60" w:before="140"/>
      </w:pPr>
      <w:r>
        <w:rPr>
          <w:rFonts w:ascii="Yu Gothic" w:cs="Yu Gothic" w:eastAsia="Yu Gothic" w:hAnsi="Yu Gothic"/>
          <w:b/>
          <w:bCs/>
          <w:color w:val="333333"/>
          <w:sz w:val="21"/>
          <w:szCs w:val="21"/>
        </w:rPr>
        <w:t xml:space="preserve">① IT部門としての受諾表明</w:t>
      </w:r>
    </w:p>
    <w:p>
      <w:pPr>
        <w:spacing w:after="120" w:line="320"/>
      </w:pPr>
      <w:r>
        <w:rPr>
          <w:rFonts w:ascii="Yu Gothic" w:cs="Yu Gothic" w:eastAsia="Yu Gothic" w:hAnsi="Yu Gothic"/>
          <w:color w:val="222222"/>
          <w:sz w:val="21"/>
          <w:szCs w:val="21"/>
        </w:rPr>
        <w:t xml:space="preserve">対象範囲・移管内容について、IT部門として正式に受諾する意思を早期に明文化する。</w:t>
      </w:r>
    </w:p>
    <w:p>
      <w:pPr>
        <w:spacing w:after="60" w:before="140"/>
      </w:pPr>
      <w:r>
        <w:rPr>
          <w:rFonts w:ascii="Yu Gothic" w:cs="Yu Gothic" w:eastAsia="Yu Gothic" w:hAnsi="Yu Gothic"/>
          <w:b/>
          <w:bCs/>
          <w:color w:val="333333"/>
          <w:sz w:val="21"/>
          <w:szCs w:val="21"/>
        </w:rPr>
        <w:t xml:space="preserve">② 実行責任者の指名</w:t>
      </w:r>
    </w:p>
    <w:p>
      <w:pPr>
        <w:spacing w:after="120" w:line="320"/>
      </w:pPr>
      <w:r>
        <w:rPr>
          <w:rFonts w:ascii="Yu Gothic" w:cs="Yu Gothic" w:eastAsia="Yu Gothic" w:hAnsi="Yu Gothic"/>
          <w:color w:val="222222"/>
          <w:sz w:val="21"/>
          <w:szCs w:val="21"/>
        </w:rPr>
        <w:t xml:space="preserve">本計画の実行を主導する責任者を指名する。</w:t>
      </w:r>
    </w:p>
    <w:p>
      <w:pPr>
        <w:spacing w:after="60" w:before="140"/>
      </w:pPr>
      <w:r>
        <w:rPr>
          <w:rFonts w:ascii="Yu Gothic" w:cs="Yu Gothic" w:eastAsia="Yu Gothic" w:hAnsi="Yu Gothic"/>
          <w:b/>
          <w:bCs/>
          <w:color w:val="333333"/>
          <w:sz w:val="21"/>
          <w:szCs w:val="21"/>
        </w:rPr>
        <w:t xml:space="preserve">③ 部門ごとの窓口設定</w:t>
      </w:r>
    </w:p>
    <w:p>
      <w:pPr>
        <w:spacing w:after="120" w:line="320"/>
      </w:pPr>
      <w:r>
        <w:rPr>
          <w:rFonts w:ascii="Yu Gothic" w:cs="Yu Gothic" w:eastAsia="Yu Gothic" w:hAnsi="Yu Gothic"/>
          <w:color w:val="222222"/>
          <w:sz w:val="21"/>
          <w:szCs w:val="21"/>
        </w:rPr>
        <w:t xml:space="preserve">対象5部門それぞれに、移管に関するやり取りの窓口となる担当者を設定する。</w:t>
      </w:r>
    </w:p>
    <w:p>
      <w:pPr>
        <w:spacing w:after="60" w:before="140"/>
      </w:pPr>
      <w:r>
        <w:rPr>
          <w:rFonts w:ascii="Yu Gothic" w:cs="Yu Gothic" w:eastAsia="Yu Gothic" w:hAnsi="Yu Gothic"/>
          <w:b/>
          <w:bCs/>
          <w:color w:val="333333"/>
          <w:sz w:val="21"/>
          <w:szCs w:val="21"/>
        </w:rPr>
        <w:t xml:space="preserve">④ 定例報告</w:t>
      </w:r>
    </w:p>
    <w:p>
      <w:pPr>
        <w:spacing w:after="120" w:line="320"/>
      </w:pPr>
      <w:r>
        <w:rPr>
          <w:rFonts w:ascii="Yu Gothic" w:cs="Yu Gothic" w:eastAsia="Yu Gothic" w:hAnsi="Yu Gothic"/>
          <w:color w:val="222222"/>
          <w:sz w:val="21"/>
          <w:szCs w:val="21"/>
        </w:rPr>
        <w:t xml:space="preserve">本部長・社長への進捗報告の場を、月次を目安に設置する。進捗を可視化し、停滞の早期発見・エスカレーションを可能にする。</w:t>
      </w:r>
    </w:p>
    <w:p>
      <w:pPr>
        <w:spacing w:after="60" w:before="140"/>
      </w:pPr>
      <w:r>
        <w:rPr>
          <w:rFonts w:ascii="Yu Gothic" w:cs="Yu Gothic" w:eastAsia="Yu Gothic" w:hAnsi="Yu Gothic"/>
          <w:b/>
          <w:bCs/>
          <w:color w:val="333333"/>
          <w:sz w:val="21"/>
          <w:szCs w:val="21"/>
        </w:rPr>
        <w:t xml:space="preserve">⑤ 人員確保</w:t>
      </w:r>
    </w:p>
    <w:p>
      <w:pPr>
        <w:spacing w:after="120" w:line="320"/>
      </w:pPr>
      <w:r>
        <w:rPr>
          <w:rFonts w:ascii="Yu Gothic" w:cs="Yu Gothic" w:eastAsia="Yu Gothic" w:hAnsi="Yu Gothic"/>
          <w:color w:val="222222"/>
          <w:sz w:val="21"/>
          <w:szCs w:val="21"/>
        </w:rPr>
        <w:t xml:space="preserve">既存のビジネスパートナーに新たな予算管理業務を追加負担させることはしない。異動・新規採用・移行期間の応援のいずれかにより、実務を担う人員を別途確保する。</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6. 現状棚卸し（シャドーIT可視化）の進め方</w:t>
      </w:r>
    </w:p>
    <w:p>
      <w:pPr>
        <w:spacing w:after="60" w:before="140"/>
      </w:pPr>
      <w:r>
        <w:rPr>
          <w:rFonts w:ascii="Yu Gothic" w:cs="Yu Gothic" w:eastAsia="Yu Gothic" w:hAnsi="Yu Gothic"/>
          <w:b/>
          <w:bCs/>
          <w:color w:val="333333"/>
          <w:sz w:val="21"/>
          <w:szCs w:val="21"/>
        </w:rPr>
        <w:t xml:space="preserve">⓪ 前提：業務プロセス一覧・アプリケーション一覧</w:t>
      </w:r>
    </w:p>
    <w:p>
      <w:pPr>
        <w:spacing w:after="120" w:line="320"/>
      </w:pPr>
      <w:r>
        <w:rPr>
          <w:rFonts w:ascii="Yu Gothic" w:cs="Yu Gothic" w:eastAsia="Yu Gothic" w:hAnsi="Yu Gothic"/>
          <w:color w:val="222222"/>
          <w:sz w:val="21"/>
          <w:szCs w:val="21"/>
        </w:rPr>
        <w:t xml:space="preserve">業務プロセス一覧（プロセスオーナー）およびアプリケーション一覧（システムオーナー）は、既存の台帳が存在する。IT部門とビジネス部門のビジネスパートナーが連携し、既存台帳から棚卸し用の管理台帳へ転記する作業から着手する。</w:t>
      </w:r>
    </w:p>
    <w:p>
      <w:pPr>
        <w:spacing w:after="120" w:line="320"/>
      </w:pPr>
      <w:r>
        <w:rPr>
          <w:rFonts w:ascii="Yu Gothic" w:cs="Yu Gothic" w:eastAsia="Yu Gothic" w:hAnsi="Yu Gothic"/>
          <w:color w:val="222222"/>
          <w:sz w:val="21"/>
          <w:szCs w:val="21"/>
        </w:rPr>
        <w:t xml:space="preserve">IT部門が関与していない契約・システム・費用の実態（シャドーIT）を洗い出すため、以下3つの手法を並行して実施する。いずれか一つの完了を待たず、同時並行で進める。</w:t>
      </w:r>
    </w:p>
    <w:p>
      <w:pPr>
        <w:spacing w:after="60" w:before="140"/>
      </w:pPr>
      <w:r>
        <w:rPr>
          <w:rFonts w:ascii="Yu Gothic" w:cs="Yu Gothic" w:eastAsia="Yu Gothic" w:hAnsi="Yu Gothic"/>
          <w:b/>
          <w:bCs/>
          <w:color w:val="333333"/>
          <w:sz w:val="21"/>
          <w:szCs w:val="21"/>
        </w:rPr>
        <w:t xml:space="preserve">① 経理・調達データの棚卸し</w:t>
      </w:r>
    </w:p>
    <w:p>
      <w:pPr>
        <w:spacing w:after="120" w:line="320"/>
      </w:pPr>
      <w:r>
        <w:rPr>
          <w:rFonts w:ascii="Yu Gothic" w:cs="Yu Gothic" w:eastAsia="Yu Gothic" w:hAnsi="Yu Gothic"/>
          <w:color w:val="222222"/>
          <w:sz w:val="21"/>
          <w:szCs w:val="21"/>
        </w:rPr>
        <w:t xml:space="preserve">支払・購買データから、ソフトウェア・クラウド・通信費等のIT関連科目を抽出し、契約の全体像を把握する。ビジネス部門側の担当者に準備を依頼する。</w:t>
      </w:r>
    </w:p>
    <w:p>
      <w:pPr>
        <w:spacing w:after="60" w:before="140"/>
      </w:pPr>
      <w:r>
        <w:rPr>
          <w:rFonts w:ascii="Yu Gothic" w:cs="Yu Gothic" w:eastAsia="Yu Gothic" w:hAnsi="Yu Gothic"/>
          <w:b/>
          <w:bCs/>
          <w:color w:val="333333"/>
          <w:sz w:val="21"/>
          <w:szCs w:val="21"/>
        </w:rPr>
        <w:t xml:space="preserve">② 契約台帳を起点にした洗い出し</w:t>
      </w:r>
    </w:p>
    <w:p>
      <w:pPr>
        <w:spacing w:after="120" w:line="320"/>
      </w:pPr>
      <w:r>
        <w:rPr>
          <w:rFonts w:ascii="Yu Gothic" w:cs="Yu Gothic" w:eastAsia="Yu Gothic" w:hAnsi="Yu Gothic"/>
          <w:color w:val="222222"/>
          <w:sz w:val="21"/>
          <w:szCs w:val="21"/>
        </w:rPr>
        <w:t xml:space="preserve">法務が保有する契約書・契約台帳を確認し、IT関連契約を横断的に特定する。法務自体が移管対象部門であるため、着手しやすい起点となる。ビジネス部門側の担当者に準備を依頼する。</w:t>
      </w:r>
    </w:p>
    <w:p>
      <w:pPr>
        <w:spacing w:after="60" w:before="140"/>
      </w:pPr>
      <w:r>
        <w:rPr>
          <w:rFonts w:ascii="Yu Gothic" w:cs="Yu Gothic" w:eastAsia="Yu Gothic" w:hAnsi="Yu Gothic"/>
          <w:b/>
          <w:bCs/>
          <w:color w:val="333333"/>
          <w:sz w:val="21"/>
          <w:szCs w:val="21"/>
        </w:rPr>
        <w:t xml:space="preserve">③ 自己申告（アムネスティ方式）</w:t>
      </w:r>
    </w:p>
    <w:p>
      <w:pPr>
        <w:spacing w:after="120" w:line="320"/>
      </w:pPr>
      <w:r>
        <w:rPr>
          <w:rFonts w:ascii="Yu Gothic" w:cs="Yu Gothic" w:eastAsia="Yu Gothic" w:hAnsi="Yu Gothic"/>
          <w:color w:val="222222"/>
          <w:sz w:val="21"/>
          <w:szCs w:val="21"/>
        </w:rPr>
        <w:t xml:space="preserve">各部門に対し、遡っての責任は問わない前提を明示した上で、現在使用しているツール・契約の自己申告を呼びかける。経理データや契約台帳だけでは拾いきれない実態を補完する。ビジネス部門側の担当者に準備を依頼する。</w:t>
      </w:r>
    </w:p>
    <w:p>
      <w:pPr>
        <w:spacing w:after="60" w:before="140"/>
      </w:pPr>
      <w:r>
        <w:rPr>
          <w:rFonts w:ascii="Yu Gothic" w:cs="Yu Gothic" w:eastAsia="Yu Gothic" w:hAnsi="Yu Gothic"/>
          <w:b/>
          <w:bCs/>
          <w:color w:val="333333"/>
          <w:sz w:val="21"/>
          <w:szCs w:val="21"/>
        </w:rPr>
        <w:t xml:space="preserve">④ 実務能力・人的リソースの棚卸し</w:t>
      </w:r>
    </w:p>
    <w:p>
      <w:pPr>
        <w:spacing w:after="120" w:line="320"/>
      </w:pPr>
      <w:r>
        <w:rPr>
          <w:rFonts w:ascii="Yu Gothic" w:cs="Yu Gothic" w:eastAsia="Yu Gothic" w:hAnsi="Yu Gothic"/>
          <w:color w:val="222222"/>
          <w:sz w:val="21"/>
          <w:szCs w:val="21"/>
        </w:rPr>
        <w:t xml:space="preserve">各部門のビジネス部門側の組織責任者に依頼する。⓪で判明したプロセスオーナー・システムオーナーを手がかりに、実際の担当実態を確認してもらう。</w:t>
      </w:r>
    </w:p>
    <w:p>
      <w:pPr>
        <w:spacing w:after="120" w:line="320"/>
      </w:pPr>
      <w:r>
        <w:rPr>
          <w:rFonts w:ascii="Yu Gothic" w:cs="Yu Gothic" w:eastAsia="Yu Gothic" w:hAnsi="Yu Gothic"/>
          <w:color w:val="222222"/>
          <w:sz w:val="21"/>
          <w:szCs w:val="21"/>
        </w:rPr>
        <w:t xml:space="preserve">⓪〜③の棚卸しの結果は、部門ごとの「可視性」「複雑度・ボリューム」「協力度」を評価する材料とし、次章の各サイクルにおける着手順の決定に用いる。</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7. 推進サイクル・スケジュール</w:t>
      </w:r>
    </w:p>
    <w:p>
      <w:pPr>
        <w:spacing w:after="120" w:line="320"/>
      </w:pPr>
      <w:r>
        <w:rPr>
          <w:rFonts w:ascii="Yu Gothic" w:cs="Yu Gothic" w:eastAsia="Yu Gothic" w:hAnsi="Yu Gothic"/>
          <w:color w:val="222222"/>
          <w:sz w:val="21"/>
          <w:szCs w:val="21"/>
        </w:rPr>
        <w:t xml:space="preserve">全部門・全情報が揃うことを待って着手すると、いつまでも開始できない。そのため、期間を区切った反復サイクルで進め、各サイクルの終わりにその時点までの情報をもとに意思決定を更新する。</w:t>
      </w:r>
    </w:p>
    <w:p>
      <w:pPr>
        <w:spacing w:after="100" w:before="260"/>
      </w:pPr>
      <w:r>
        <w:rPr>
          <w:rFonts w:ascii="Yu Gothic" w:cs="Yu Gothic" w:eastAsia="Yu Gothic" w:hAnsi="Yu Gothic"/>
          <w:b/>
          <w:bCs/>
          <w:color w:val="3E7C8C"/>
          <w:sz w:val="22"/>
          <w:szCs w:val="22"/>
        </w:rPr>
        <w:t xml:space="preserve">サイクル1：2026年10月〜12月（初回）</w:t>
      </w:r>
    </w:p>
    <w:p>
      <w:pPr>
        <w:pStyle w:val="ListParagraph"/>
        <w:numPr>
          <w:ilvl w:val="0"/>
          <w:numId w:val="2"/>
        </w:numPr>
        <w:spacing w:after="70" w:line="300"/>
      </w:pPr>
      <w:r>
        <w:rPr>
          <w:rFonts w:ascii="Yu Gothic" w:cs="Yu Gothic" w:eastAsia="Yu Gothic" w:hAnsi="Yu Gothic"/>
          <w:color w:val="222222"/>
          <w:sz w:val="21"/>
          <w:szCs w:val="21"/>
        </w:rPr>
        <w:t xml:space="preserve">棚卸し3手法（経理データ・契約台帳・自己申告）を並行して開始</w:t>
      </w:r>
    </w:p>
    <w:p>
      <w:pPr>
        <w:pStyle w:val="ListParagraph"/>
        <w:numPr>
          <w:ilvl w:val="0"/>
          <w:numId w:val="2"/>
        </w:numPr>
        <w:spacing w:after="70" w:line="300"/>
      </w:pPr>
      <w:r>
        <w:rPr>
          <w:rFonts w:ascii="Yu Gothic" w:cs="Yu Gothic" w:eastAsia="Yu Gothic" w:hAnsi="Yu Gothic"/>
          <w:color w:val="222222"/>
          <w:sz w:val="21"/>
          <w:szCs w:val="21"/>
        </w:rPr>
        <w:t xml:space="preserve">サイクル終了時点で判明した情報をもとに、部門ごとの優先順位・着手順を決定</w:t>
      </w:r>
    </w:p>
    <w:p>
      <w:pPr>
        <w:spacing w:after="100" w:before="260"/>
      </w:pPr>
      <w:r>
        <w:rPr>
          <w:rFonts w:ascii="Yu Gothic" w:cs="Yu Gothic" w:eastAsia="Yu Gothic" w:hAnsi="Yu Gothic"/>
          <w:b/>
          <w:bCs/>
          <w:color w:val="3E7C8C"/>
          <w:sz w:val="22"/>
          <w:szCs w:val="22"/>
        </w:rPr>
        <w:t xml:space="preserve">サイクル2：2027年1月〜3月</w:t>
      </w:r>
    </w:p>
    <w:p>
      <w:pPr>
        <w:pStyle w:val="ListParagraph"/>
        <w:numPr>
          <w:ilvl w:val="0"/>
          <w:numId w:val="2"/>
        </w:numPr>
        <w:spacing w:after="70" w:line="300"/>
      </w:pPr>
      <w:r>
        <w:rPr>
          <w:rFonts w:ascii="Yu Gothic" w:cs="Yu Gothic" w:eastAsia="Yu Gothic" w:hAnsi="Yu Gothic"/>
          <w:color w:val="222222"/>
          <w:sz w:val="21"/>
          <w:szCs w:val="21"/>
        </w:rPr>
        <w:t xml:space="preserve">優先順位の高い部門から、個別協議・引き継ぎ設計に着手</w:t>
      </w:r>
    </w:p>
    <w:p>
      <w:pPr>
        <w:pStyle w:val="ListParagraph"/>
        <w:numPr>
          <w:ilvl w:val="0"/>
          <w:numId w:val="2"/>
        </w:numPr>
        <w:spacing w:after="70" w:line="300"/>
      </w:pPr>
      <w:r>
        <w:rPr>
          <w:rFonts w:ascii="Yu Gothic" w:cs="Yu Gothic" w:eastAsia="Yu Gothic" w:hAnsi="Yu Gothic"/>
          <w:color w:val="222222"/>
          <w:sz w:val="21"/>
          <w:szCs w:val="21"/>
        </w:rPr>
        <w:t xml:space="preserve">棚卸しが不十分な部門は継続して情報収集</w:t>
      </w:r>
    </w:p>
    <w:p>
      <w:pPr>
        <w:spacing w:after="100" w:before="260"/>
      </w:pPr>
      <w:r>
        <w:rPr>
          <w:rFonts w:ascii="Yu Gothic" w:cs="Yu Gothic" w:eastAsia="Yu Gothic" w:hAnsi="Yu Gothic"/>
          <w:b/>
          <w:bCs/>
          <w:color w:val="3E7C8C"/>
          <w:sz w:val="22"/>
          <w:szCs w:val="22"/>
        </w:rPr>
        <w:t xml:space="preserve">サイクル3：2027年4月〜6月</w:t>
      </w:r>
    </w:p>
    <w:p>
      <w:pPr>
        <w:pStyle w:val="ListParagraph"/>
        <w:numPr>
          <w:ilvl w:val="0"/>
          <w:numId w:val="2"/>
        </w:numPr>
        <w:spacing w:after="70" w:line="300"/>
      </w:pPr>
      <w:r>
        <w:rPr>
          <w:rFonts w:ascii="Yu Gothic" w:cs="Yu Gothic" w:eastAsia="Yu Gothic" w:hAnsi="Yu Gothic"/>
          <w:color w:val="222222"/>
          <w:sz w:val="21"/>
          <w:szCs w:val="21"/>
        </w:rPr>
        <w:t xml:space="preserve">準備が整った部門から、順次正式移管を実施</w:t>
      </w:r>
    </w:p>
    <w:p>
      <w:pPr>
        <w:spacing w:after="100" w:before="260"/>
      </w:pPr>
      <w:r>
        <w:rPr>
          <w:rFonts w:ascii="Yu Gothic" w:cs="Yu Gothic" w:eastAsia="Yu Gothic" w:hAnsi="Yu Gothic"/>
          <w:b/>
          <w:bCs/>
          <w:color w:val="3E7C8C"/>
          <w:sz w:val="22"/>
          <w:szCs w:val="22"/>
        </w:rPr>
        <w:t xml:space="preserve">サイクル4：2027年7月〜9月</w:t>
      </w:r>
    </w:p>
    <w:p>
      <w:pPr>
        <w:pStyle w:val="ListParagraph"/>
        <w:numPr>
          <w:ilvl w:val="0"/>
          <w:numId w:val="2"/>
        </w:numPr>
        <w:spacing w:after="70" w:line="300"/>
      </w:pPr>
      <w:r>
        <w:rPr>
          <w:rFonts w:ascii="Yu Gothic" w:cs="Yu Gothic" w:eastAsia="Yu Gothic" w:hAnsi="Yu Gothic"/>
          <w:color w:val="222222"/>
          <w:sz w:val="21"/>
          <w:szCs w:val="21"/>
        </w:rPr>
        <w:t xml:space="preserve">残る部門の引き継ぎ設計・正式移管を継続</w:t>
      </w:r>
    </w:p>
    <w:p>
      <w:pPr>
        <w:spacing w:after="100" w:before="260"/>
      </w:pPr>
      <w:r>
        <w:rPr>
          <w:rFonts w:ascii="Yu Gothic" w:cs="Yu Gothic" w:eastAsia="Yu Gothic" w:hAnsi="Yu Gothic"/>
          <w:b/>
          <w:bCs/>
          <w:color w:val="3E7C8C"/>
          <w:sz w:val="22"/>
          <w:szCs w:val="22"/>
        </w:rPr>
        <w:t xml:space="preserve">サイクル5：2027年10月〜12月（最終）</w:t>
      </w:r>
    </w:p>
    <w:p>
      <w:pPr>
        <w:pStyle w:val="ListParagraph"/>
        <w:numPr>
          <w:ilvl w:val="0"/>
          <w:numId w:val="2"/>
        </w:numPr>
        <w:spacing w:after="70" w:line="300"/>
      </w:pPr>
      <w:r>
        <w:rPr>
          <w:rFonts w:ascii="Yu Gothic" w:cs="Yu Gothic" w:eastAsia="Yu Gothic" w:hAnsi="Yu Gothic"/>
          <w:color w:val="222222"/>
          <w:sz w:val="21"/>
          <w:szCs w:val="21"/>
        </w:rPr>
        <w:t xml:space="preserve">全対象部門（人事総務・法務・事業部門A/B/C）の移管完了を目標とする</w:t>
      </w:r>
    </w:p>
    <w:p>
      <w:pPr>
        <w:pStyle w:val="ListParagraph"/>
        <w:numPr>
          <w:ilvl w:val="0"/>
          <w:numId w:val="2"/>
        </w:numPr>
        <w:spacing w:after="70" w:line="300"/>
      </w:pPr>
      <w:r>
        <w:rPr>
          <w:rFonts w:ascii="Yu Gothic" w:cs="Yu Gothic" w:eastAsia="Yu Gothic" w:hAnsi="Yu Gothic"/>
          <w:color w:val="222222"/>
          <w:sz w:val="21"/>
          <w:szCs w:val="21"/>
        </w:rPr>
        <w:t xml:space="preserve">移管後の運用定着・モニタリング体制へ移行</w:t>
      </w:r>
    </w:p>
    <w:p>
      <w:pPr>
        <w:spacing w:after="120" w:line="320"/>
      </w:pPr>
      <w:r>
        <w:rPr>
          <w:rFonts w:ascii="Yu Gothic" w:cs="Yu Gothic" w:eastAsia="Yu Gothic" w:hAnsi="Yu Gothic"/>
          <w:color w:val="222222"/>
          <w:sz w:val="21"/>
          <w:szCs w:val="21"/>
        </w:rPr>
        <w:t xml:space="preserve">2026年9月中に、実行責任者の指名と棚卸し3手法の担当割り当てを完了し、10月からのサイクル1開始に備える。</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8. 経営レベルでの事前確認事項</w:t>
      </w:r>
    </w:p>
    <w:p>
      <w:pPr>
        <w:spacing w:after="120" w:line="320"/>
      </w:pPr>
      <w:r>
        <w:rPr>
          <w:rFonts w:ascii="Yu Gothic" w:cs="Yu Gothic" w:eastAsia="Yu Gothic" w:hAnsi="Yu Gothic"/>
          <w:color w:val="222222"/>
          <w:sz w:val="21"/>
          <w:szCs w:val="21"/>
        </w:rPr>
        <w:t xml:space="preserve">棚卸しの結果、IT投資に関する予算は「紐付き予算（特定のシステム・契約・案件に紐づく予算）」と「紐付かない予算（用途が特定されていない、いわゆるバッファ）」に分かれることが想定される。</w:t>
      </w:r>
    </w:p>
    <w:p>
      <w:pPr>
        <w:pStyle w:val="ListParagraph"/>
        <w:numPr>
          <w:ilvl w:val="0"/>
          <w:numId w:val="2"/>
        </w:numPr>
        <w:spacing w:after="70" w:line="300"/>
      </w:pPr>
      <w:r>
        <w:rPr>
          <w:rFonts w:ascii="Yu Gothic" w:cs="Yu Gothic" w:eastAsia="Yu Gothic" w:hAnsi="Yu Gothic"/>
          <w:color w:val="222222"/>
          <w:sz w:val="21"/>
          <w:szCs w:val="21"/>
        </w:rPr>
        <w:t xml:space="preserve">バッファ予算を、今回のIT部門への移管対象に含めるか否か</w:t>
      </w:r>
    </w:p>
    <w:p>
      <w:pPr>
        <w:pStyle w:val="ListParagraph"/>
        <w:numPr>
          <w:ilvl w:val="0"/>
          <w:numId w:val="2"/>
        </w:numPr>
        <w:spacing w:after="70" w:line="300"/>
      </w:pPr>
      <w:r>
        <w:rPr>
          <w:rFonts w:ascii="Yu Gothic" w:cs="Yu Gothic" w:eastAsia="Yu Gothic" w:hAnsi="Yu Gothic"/>
          <w:color w:val="222222"/>
          <w:sz w:val="21"/>
          <w:szCs w:val="21"/>
        </w:rPr>
        <w:t xml:space="preserve">含める場合、その判断を全社共通のルールとするか、部門ごとの個別判断とするか</w:t>
      </w:r>
    </w:p>
    <w:p>
      <w:pPr>
        <w:spacing w:after="120" w:line="320"/>
      </w:pPr>
      <w:r>
        <w:rPr>
          <w:rFonts w:ascii="Yu Gothic" w:cs="Yu Gothic" w:eastAsia="Yu Gothic" w:hAnsi="Yu Gothic"/>
          <w:color w:val="222222"/>
          <w:sz w:val="21"/>
          <w:szCs w:val="21"/>
        </w:rPr>
        <w:t xml:space="preserve">この2点は実務レベルでは決定できないため、サイクル1（棚卸し）の結果が出そろう前に、本部長・社長レベルで方針を確認しておく必要がある。方針が定まらないまま棚卸しが進むと、部門ごとに対応が割れ、移管対象の線引きを巡る個別の対立を招くリスクがある。</w:t>
      </w:r>
    </w:p>
    <w:p>
      <w:pPr>
        <w:pStyle w:val="Heading1"/>
        <w:pBdr>
          <w:bottom w:val="single" w:color="1F4E5F" w:sz="6" w:space="4"/>
        </w:pBdr>
        <w:spacing w:after="160" w:before="360"/>
      </w:pPr>
      <w:r>
        <w:rPr>
          <w:rFonts w:ascii="Yu Gothic" w:cs="Yu Gothic" w:eastAsia="Yu Gothic" w:hAnsi="Yu Gothic"/>
          <w:b/>
          <w:bCs/>
          <w:color w:val="1F4E5F"/>
          <w:sz w:val="26"/>
          <w:szCs w:val="26"/>
        </w:rPr>
        <w:t xml:space="preserve">9. リスクと対応策</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0"/>
      </w:tblGrid>
      <w:tr>
        <w:tc>
          <w:tcPr>
            <w:tcW w:type="dxa" w:w="2600"/>
            <w:shd w:fill="EAF1F3" w:val="clear"/>
            <w:tcMar>
              <w:top w:type="dxa" w:w="100"/>
              <w:left w:type="dxa" w:w="120"/>
              <w:bottom w:type="dxa" w:w="100"/>
              <w:right w:type="dxa" w:w="120"/>
            </w:tcMar>
          </w:tcPr>
          <w:p>
            <w:pPr>
              <w:jc w:val="left"/>
            </w:pPr>
            <w:r>
              <w:rPr>
                <w:rFonts w:ascii="Yu Gothic" w:cs="Yu Gothic" w:eastAsia="Yu Gothic" w:hAnsi="Yu Gothic"/>
                <w:b/>
                <w:bCs/>
                <w:color w:val="1F4E5F"/>
                <w:sz w:val="20"/>
                <w:szCs w:val="20"/>
              </w:rPr>
              <w:t xml:space="preserve">リスク</w:t>
            </w:r>
          </w:p>
        </w:tc>
        <w:tc>
          <w:tcPr>
            <w:tcW w:type="dxa" w:w="2200"/>
            <w:shd w:fill="EAF1F3" w:val="clear"/>
            <w:tcMar>
              <w:top w:type="dxa" w:w="100"/>
              <w:left w:type="dxa" w:w="120"/>
              <w:bottom w:type="dxa" w:w="100"/>
              <w:right w:type="dxa" w:w="120"/>
            </w:tcMar>
          </w:tcPr>
          <w:p>
            <w:pPr>
              <w:jc w:val="left"/>
            </w:pPr>
            <w:r>
              <w:rPr>
                <w:rFonts w:ascii="Yu Gothic" w:cs="Yu Gothic" w:eastAsia="Yu Gothic" w:hAnsi="Yu Gothic"/>
                <w:b/>
                <w:bCs/>
                <w:color w:val="1F4E5F"/>
                <w:sz w:val="20"/>
                <w:szCs w:val="20"/>
              </w:rPr>
              <w:t xml:space="preserve">影響</w:t>
            </w:r>
          </w:p>
        </w:tc>
        <w:tc>
          <w:tcPr>
            <w:tcW w:type="dxa" w:w="4220"/>
            <w:shd w:fill="EAF1F3" w:val="clear"/>
            <w:tcMar>
              <w:top w:type="dxa" w:w="100"/>
              <w:left w:type="dxa" w:w="120"/>
              <w:bottom w:type="dxa" w:w="100"/>
              <w:right w:type="dxa" w:w="120"/>
            </w:tcMar>
          </w:tcPr>
          <w:p>
            <w:pPr>
              <w:jc w:val="left"/>
            </w:pPr>
            <w:r>
              <w:rPr>
                <w:rFonts w:ascii="Yu Gothic" w:cs="Yu Gothic" w:eastAsia="Yu Gothic" w:hAnsi="Yu Gothic"/>
                <w:b/>
                <w:bCs/>
                <w:color w:val="1F4E5F"/>
                <w:sz w:val="20"/>
                <w:szCs w:val="20"/>
              </w:rPr>
              <w:t xml:space="preserve">対応策</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対象部門の協力が得られず、実務レベルの進捗が停滞する</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スケジュール遅延、実質的な移管の形骸化</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早期の受諾表明と、本部長・社長ラインへの定例報告により停滞を可視化・エスカレーションする</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実行方法の設計担当が曖昧なまま進む</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誰も動かず、方針だけが宙に浮く</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実行責任者・部門ごとの窓口を明示的に指名する</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部門により温度差があり、進捗にばらつきが出る</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一部部門のみ停滞し、プロジェクト全体の完了が遅れる</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部門ごとに進捗を個別管理し、遅延部門への早期フォローを行う</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棚卸し3手法の担当・体制が定まらないまま並行実施しようとする</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いずれの手法も実質的に進まない</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経理データ抽出・契約台帳確認・自己申告呼びかけの各担当を個別に指名する</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既存のビジネスパートナーに新たな予算管理業務を追加負担させてしまう</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既存の高額案件対応の質が低下、担当者の疲弊</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増員（異動・新規採用・一時応援）を確保した上で着手する</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サイクルで区切ることにより、一部の実態を把握しきれないまま次に進む</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移管後に想定外の契約・課題が発覚する</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各サイクル終了時点の未把握領域を明示し、次サイクル以降で継続対応する</w:t>
            </w:r>
          </w:p>
        </w:tc>
      </w:tr>
      <w:tr>
        <w:tc>
          <w:tcPr>
            <w:tcW w:type="dxa" w:w="26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紐付かない予算（バッファ）の移管方針が未定義のまま棚卸しが進む</w:t>
            </w:r>
          </w:p>
        </w:tc>
        <w:tc>
          <w:tcPr>
            <w:tcW w:type="dxa" w:w="220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部門ごとに対応が割れる、移管対象の線引きを巡る対立が発生する</w:t>
            </w:r>
          </w:p>
        </w:tc>
        <w:tc>
          <w:tcPr>
            <w:tcW w:type="dxa" w:w="4220"/>
            <w:tcMar>
              <w:top w:type="dxa" w:w="100"/>
              <w:left w:type="dxa" w:w="120"/>
              <w:bottom w:type="dxa" w:w="100"/>
              <w:right w:type="dxa" w:w="120"/>
            </w:tcMar>
          </w:tcPr>
          <w:p>
            <w:pPr>
              <w:jc w:val="left"/>
            </w:pPr>
            <w:r>
              <w:rPr>
                <w:rFonts w:ascii="Yu Gothic" w:cs="Yu Gothic" w:eastAsia="Yu Gothic" w:hAnsi="Yu Gothic"/>
                <w:b w:val="false"/>
                <w:bCs w:val="false"/>
                <w:color w:val="222222"/>
                <w:sz w:val="20"/>
                <w:szCs w:val="20"/>
              </w:rPr>
              <w:t xml:space="preserve">棚卸し開始前に、本部長・社長レベルで方針（全社共通ルールとするか個別判断とするか）を確認する</w:t>
            </w:r>
          </w:p>
        </w:tc>
      </w:tr>
    </w:tbl>
    <w:p>
      <w:pPr>
        <w:pStyle w:val="Heading1"/>
        <w:pBdr>
          <w:bottom w:val="single" w:color="1F4E5F" w:sz="6" w:space="4"/>
        </w:pBdr>
        <w:spacing w:after="160" w:before="360"/>
      </w:pPr>
      <w:r>
        <w:rPr>
          <w:rFonts w:ascii="Yu Gothic" w:cs="Yu Gothic" w:eastAsia="Yu Gothic" w:hAnsi="Yu Gothic"/>
          <w:b/>
          <w:bCs/>
          <w:color w:val="1F4E5F"/>
          <w:sz w:val="26"/>
          <w:szCs w:val="26"/>
        </w:rPr>
        <w:t xml:space="preserve">10. 次のアクション（2026年9月）</w:t>
      </w:r>
    </w:p>
    <w:p>
      <w:pPr>
        <w:pStyle w:val="ListParagraph"/>
        <w:numPr>
          <w:ilvl w:val="0"/>
          <w:numId w:val="2"/>
        </w:numPr>
        <w:spacing w:after="70" w:line="300"/>
      </w:pPr>
      <w:r>
        <w:rPr>
          <w:rFonts w:ascii="Yu Gothic" w:cs="Yu Gothic" w:eastAsia="Yu Gothic" w:hAnsi="Yu Gothic"/>
          <w:color w:val="222222"/>
          <w:sz w:val="21"/>
          <w:szCs w:val="21"/>
        </w:rPr>
        <w:t xml:space="preserve">実行責任者の指名</w:t>
      </w:r>
    </w:p>
    <w:p>
      <w:pPr>
        <w:pStyle w:val="ListParagraph"/>
        <w:numPr>
          <w:ilvl w:val="0"/>
          <w:numId w:val="2"/>
        </w:numPr>
        <w:spacing w:after="70" w:line="300"/>
      </w:pPr>
      <w:r>
        <w:rPr>
          <w:rFonts w:ascii="Yu Gothic" w:cs="Yu Gothic" w:eastAsia="Yu Gothic" w:hAnsi="Yu Gothic"/>
          <w:color w:val="222222"/>
          <w:sz w:val="21"/>
          <w:szCs w:val="21"/>
        </w:rPr>
        <w:t xml:space="preserve">業務プロセス一覧・アプリケーション一覧の既存台帳の所在確認、IT×ビジネスパートナーでの転記作業の開始</w:t>
      </w:r>
    </w:p>
    <w:p>
      <w:pPr>
        <w:pStyle w:val="ListParagraph"/>
        <w:numPr>
          <w:ilvl w:val="0"/>
          <w:numId w:val="2"/>
        </w:numPr>
        <w:spacing w:after="70" w:line="300"/>
      </w:pPr>
      <w:r>
        <w:rPr>
          <w:rFonts w:ascii="Yu Gothic" w:cs="Yu Gothic" w:eastAsia="Yu Gothic" w:hAnsi="Yu Gothic"/>
          <w:color w:val="222222"/>
          <w:sz w:val="21"/>
          <w:szCs w:val="21"/>
        </w:rPr>
        <w:t xml:space="preserve">棚卸し3手法（経理データ・契約台帳・自己申告）について、ビジネス部門側の担当者への準備依頼</w:t>
      </w:r>
    </w:p>
    <w:p>
      <w:pPr>
        <w:pStyle w:val="ListParagraph"/>
        <w:numPr>
          <w:ilvl w:val="0"/>
          <w:numId w:val="2"/>
        </w:numPr>
        <w:spacing w:after="70" w:line="300"/>
      </w:pPr>
      <w:r>
        <w:rPr>
          <w:rFonts w:ascii="Yu Gothic" w:cs="Yu Gothic" w:eastAsia="Yu Gothic" w:hAnsi="Yu Gothic"/>
          <w:color w:val="222222"/>
          <w:sz w:val="21"/>
          <w:szCs w:val="21"/>
        </w:rPr>
        <w:t xml:space="preserve">実務能力・人的リソースの棚卸し（④）について、ビジネス部門側の組織責任者への依頼</w:t>
      </w:r>
    </w:p>
    <w:p>
      <w:pPr>
        <w:pStyle w:val="ListParagraph"/>
        <w:numPr>
          <w:ilvl w:val="0"/>
          <w:numId w:val="2"/>
        </w:numPr>
        <w:spacing w:after="70" w:line="300"/>
      </w:pPr>
      <w:r>
        <w:rPr>
          <w:rFonts w:ascii="Yu Gothic" w:cs="Yu Gothic" w:eastAsia="Yu Gothic" w:hAnsi="Yu Gothic"/>
          <w:color w:val="222222"/>
          <w:sz w:val="21"/>
          <w:szCs w:val="21"/>
        </w:rPr>
        <w:t xml:space="preserve">増員（異動・新規採用・一時応援）の検討、本部長への相談</w:t>
      </w:r>
    </w:p>
    <w:p>
      <w:pPr>
        <w:pStyle w:val="ListParagraph"/>
        <w:numPr>
          <w:ilvl w:val="0"/>
          <w:numId w:val="2"/>
        </w:numPr>
        <w:spacing w:after="70" w:line="300"/>
      </w:pPr>
      <w:r>
        <w:rPr>
          <w:rFonts w:ascii="Yu Gothic" w:cs="Yu Gothic" w:eastAsia="Yu Gothic" w:hAnsi="Yu Gothic"/>
          <w:color w:val="222222"/>
          <w:sz w:val="21"/>
          <w:szCs w:val="21"/>
        </w:rPr>
        <w:t xml:space="preserve">紐付かない予算（バッファ）の移管方針について、本部長・社長への確認・合意形成</w:t>
      </w:r>
    </w:p>
    <w:p>
      <w:pPr>
        <w:pStyle w:val="ListParagraph"/>
        <w:numPr>
          <w:ilvl w:val="0"/>
          <w:numId w:val="2"/>
        </w:numPr>
        <w:spacing w:after="70" w:line="300"/>
      </w:pPr>
      <w:r>
        <w:rPr>
          <w:rFonts w:ascii="Yu Gothic" w:cs="Yu Gothic" w:eastAsia="Yu Gothic" w:hAnsi="Yu Gothic"/>
          <w:color w:val="222222"/>
          <w:sz w:val="21"/>
          <w:szCs w:val="21"/>
        </w:rPr>
        <w:t xml:space="preserve">定例報告の場の設置（本部長・社長への初回報告日程の調整）</w:t>
      </w:r>
    </w:p>
    <w:p>
      <w:pPr>
        <w:pStyle w:val="ListParagraph"/>
        <w:numPr>
          <w:ilvl w:val="0"/>
          <w:numId w:val="2"/>
        </w:numPr>
        <w:spacing w:after="70" w:line="300"/>
      </w:pPr>
      <w:r>
        <w:rPr>
          <w:rFonts w:ascii="Yu Gothic" w:cs="Yu Gothic" w:eastAsia="Yu Gothic" w:hAnsi="Yu Gothic"/>
          <w:color w:val="222222"/>
          <w:sz w:val="21"/>
          <w:szCs w:val="21"/>
        </w:rPr>
        <w:t xml:space="preserve">10月からのサイクル1（棚卸し）開始準備</w:t>
      </w:r>
    </w:p>
    <w:p>
      <w:pPr>
        <w:pBdr>
          <w:bottom w:val="single" w:color="CCCCCC" w:sz="4" w:space="1"/>
        </w:pBdr>
        <w:spacing w:after="200" w:before="60"/>
      </w:pPr>
      <w:r>
        <w:rPr>
          <w:sz w:val="2"/>
          <w:szCs w:val="2"/>
        </w:rPr>
        <w:t xml:space="preserve"/>
      </w:r>
    </w:p>
    <w:p>
      <w:r>
        <w:rPr>
          <w:rFonts w:ascii="Yu Gothic" w:cs="Yu Gothic" w:eastAsia="Yu Gothic" w:hAnsi="Yu Gothic"/>
          <w:i/>
          <w:iCs/>
          <w:color w:val="595959"/>
          <w:sz w:val="18"/>
          <w:szCs w:val="18"/>
        </w:rPr>
        <w:t xml:space="preserve">本資料は叩き台であり、関係者との協議を経て更新される。</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2026-08-22T23:39:53.574Z</dcterms:created>
  <dcterms:modified xsi:type="dcterms:W3CDTF">2026-08-22T23:39:53.589Z</dcterms:modified>
</cp:coreProperties>
</file>

<file path=docProps/custom.xml><?xml version="1.0" encoding="utf-8"?>
<Properties xmlns="http://schemas.openxmlformats.org/officeDocument/2006/custom-properties" xmlns:vt="http://schemas.openxmlformats.org/officeDocument/2006/docPropsVTypes"/>
</file>