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Yu Gothic" w:cs="Yu Gothic" w:eastAsia="Yu Gothic" w:hAnsi="Yu Gothic"/>
          <w:b/>
          <w:bCs/>
          <w:i w:val="false"/>
          <w:iCs w:val="false"/>
          <w:color w:val="2F5C93"/>
          <w:sz w:val="18"/>
          <w:szCs w:val="18"/>
        </w:rPr>
        <w:t xml:space="preserve">企 画 提 案 書</w:t>
      </w:r>
    </w:p>
    <w:p>
      <w:pPr>
        <w:pBdr>
          <w:bottom w:val="single" w:color="1B3A5B" w:sz="16" w:space="8"/>
        </w:pBdr>
        <w:spacing w:after="60"/>
      </w:pPr>
      <w:r>
        <w:rPr>
          <w:rFonts w:ascii="Yu Gothic" w:cs="Yu Gothic" w:eastAsia="Yu Gothic" w:hAnsi="Yu Gothic"/>
          <w:b/>
          <w:bCs/>
          <w:i w:val="false"/>
          <w:iCs w:val="false"/>
          <w:color w:val="1B3A5B"/>
          <w:sz w:val="34"/>
          <w:szCs w:val="34"/>
        </w:rPr>
        <w:t xml:space="preserve">投資委員会プロセス改善企画</w:t>
      </w:r>
    </w:p>
    <w:p>
      <w:pPr>
        <w:spacing w:after="200"/>
      </w:pPr>
      <w:r>
        <w:rPr>
          <w:rFonts w:ascii="Yu Gothic" w:cs="Yu Gothic" w:eastAsia="Yu Gothic" w:hAnsi="Yu Gothic"/>
          <w:b/>
          <w:bCs/>
          <w:i w:val="false"/>
          <w:iCs w:val="false"/>
          <w:color w:val="2F5C93"/>
          <w:sz w:val="24"/>
          <w:szCs w:val="24"/>
        </w:rPr>
        <w:t xml:space="preserve">── AIエージェントによる次世代事務局の構想</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700"/>
        <w:gridCol w:w="7326"/>
      </w:tblGrid>
      <w:tr>
        <w:tc>
          <w:tcPr>
            <w:tcW w:type="dxa" w:w="1700"/>
            <w:shd w:fill="EEF2F8" w:color="auto" w:val="clear"/>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B3A5B"/>
                <w:sz w:val="19"/>
                <w:szCs w:val="19"/>
              </w:rPr>
              <w:t xml:space="preserve">宛先</w:t>
            </w:r>
          </w:p>
        </w:tc>
        <w:tc>
          <w:tcPr>
            <w:tcW w:type="dxa" w:w="73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投資委員会 事務局メンバー・管理者 ／ 投資委員会メンバー</w:t>
            </w:r>
          </w:p>
        </w:tc>
      </w:tr>
      <w:tr>
        <w:tc>
          <w:tcPr>
            <w:tcW w:type="dxa" w:w="1700"/>
            <w:shd w:fill="EEF2F8" w:color="auto" w:val="clear"/>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B3A5B"/>
                <w:sz w:val="19"/>
                <w:szCs w:val="19"/>
              </w:rPr>
              <w:t xml:space="preserve">文書区分</w:t>
            </w:r>
          </w:p>
        </w:tc>
        <w:tc>
          <w:tcPr>
            <w:tcW w:type="dxa" w:w="73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プロセス改善に関する企画提案(内部審議用)</w:t>
            </w:r>
          </w:p>
        </w:tc>
      </w:tr>
      <w:tr>
        <w:tc>
          <w:tcPr>
            <w:tcW w:type="dxa" w:w="1700"/>
            <w:shd w:fill="EEF2F8" w:color="auto" w:val="clear"/>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B3A5B"/>
                <w:sz w:val="19"/>
                <w:szCs w:val="19"/>
              </w:rPr>
              <w:t xml:space="preserve">目的</w:t>
            </w:r>
          </w:p>
        </w:tc>
        <w:tc>
          <w:tcPr>
            <w:tcW w:type="dxa" w:w="73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現行審議プロセスの構造的問題の解消と、CMS・AIエージェント導入によるガバナンスモデルの提示</w:t>
            </w:r>
          </w:p>
        </w:tc>
      </w:tr>
    </w:tbl>
    <w:p>
      <w:pPr>
        <w:spacing w:after="120" w:before="200" w:line="288"/>
      </w:pPr>
      <w:r>
        <w:rPr>
          <w:rFonts w:ascii="Yu Gothic" w:cs="Yu Gothic" w:eastAsia="Yu Gothic" w:hAnsi="Yu Gothic"/>
          <w:b w:val="false"/>
          <w:bCs w:val="false"/>
          <w:i w:val="false"/>
          <w:iCs w:val="false"/>
          <w:color w:val="1F2A37"/>
          <w:sz w:val="21"/>
          <w:szCs w:val="21"/>
        </w:rPr>
        <w:t xml:space="preserve">本書は、投資委員会の審議プロセスを非同期・文書駆動へ再設計し、CMS(案件管理システム)とAIエージェントを事務局機能へ導入する構想をまとめたものである。まず現行運営の問題点を列挙し、提案するガバナンスモデルとその問題解決の仕組みを示す。続いて技術的変革としてCMSとAIエージェントの導入効果を述べ、最後に、AIエージェント導入に伴う有用性・限界・内在リスクを問題提起として記載する。</w:t>
      </w:r>
    </w:p>
    <w:p>
      <w:pPr>
        <w:pStyle w:val="Heading1"/>
        <w:pBdr>
          <w:bottom w:val="single" w:color="1B3A5B" w:sz="12" w:space="6"/>
        </w:pBdr>
        <w:spacing w:after="140" w:before="320"/>
      </w:pPr>
      <w:r>
        <w:rPr>
          <w:rFonts w:ascii="Yu Gothic" w:cs="Yu Gothic" w:eastAsia="Yu Gothic" w:hAnsi="Yu Gothic"/>
          <w:b/>
          <w:bCs/>
          <w:i w:val="false"/>
          <w:iCs w:val="false"/>
          <w:color w:val="2F5C93"/>
          <w:sz w:val="26"/>
          <w:szCs w:val="26"/>
        </w:rPr>
        <w:t xml:space="preserve">1  </w:t>
      </w:r>
      <w:r>
        <w:rPr>
          <w:rFonts w:ascii="Yu Gothic" w:cs="Yu Gothic" w:eastAsia="Yu Gothic" w:hAnsi="Yu Gothic"/>
          <w:b/>
          <w:bCs/>
          <w:i w:val="false"/>
          <w:iCs w:val="false"/>
          <w:color w:val="1B3A5B"/>
          <w:sz w:val="26"/>
          <w:szCs w:val="26"/>
        </w:rPr>
        <w:t xml:space="preserve">現在の問題点</w:t>
      </w:r>
    </w:p>
    <w:p>
      <w:pPr>
        <w:spacing w:after="120" w:before="0" w:line="288"/>
      </w:pPr>
      <w:r>
        <w:rPr>
          <w:rFonts w:ascii="Yu Gothic" w:cs="Yu Gothic" w:eastAsia="Yu Gothic" w:hAnsi="Yu Gothic"/>
          <w:b w:val="false"/>
          <w:bCs w:val="false"/>
          <w:i w:val="false"/>
          <w:iCs w:val="false"/>
          <w:color w:val="1F2A37"/>
          <w:sz w:val="21"/>
          <w:szCs w:val="21"/>
        </w:rPr>
        <w:t xml:space="preserve">現行の投資委員会は会議主義で運営されているが、その会議が本来の機能を果たせていない。運営の実態から、次の4つの構造的な問題が確認されている。</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700"/>
        <w:gridCol w:w="2600"/>
        <w:gridCol w:w="5726"/>
      </w:tblGrid>
      <w:tr>
        <w:tc>
          <w:tcPr>
            <w:tcW w:type="dxa" w:w="700"/>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w:t>
            </w:r>
          </w:p>
        </w:tc>
        <w:tc>
          <w:tcPr>
            <w:tcW w:type="dxa" w:w="2600"/>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問題</w:t>
            </w:r>
          </w:p>
        </w:tc>
        <w:tc>
          <w:tcPr>
            <w:tcW w:type="dxa" w:w="5726"/>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内容</w:t>
            </w:r>
          </w:p>
        </w:tc>
      </w:tr>
      <w:tr>
        <w:tc>
          <w:tcPr>
            <w:tcW w:type="dxa" w:w="7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20"/>
                <w:szCs w:val="20"/>
              </w:rPr>
              <w:t xml:space="preserve">P1</w:t>
            </w:r>
          </w:p>
        </w:tc>
        <w:tc>
          <w:tcPr>
            <w:tcW w:type="dxa" w:w="26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F2A37"/>
                <w:sz w:val="19"/>
                <w:szCs w:val="19"/>
              </w:rPr>
              <w:t xml:space="preserve">会議が機能していない</w:t>
            </w:r>
          </w:p>
        </w:tc>
        <w:tc>
          <w:tcPr>
            <w:tcW w:type="dxa" w:w="57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会議主義で運営されているにもかかわらず、審議の場が実質的に機能しておらず、意思決定の質・スピードにつながっていない。</w:t>
            </w:r>
          </w:p>
        </w:tc>
      </w:tr>
      <w:tr>
        <w:tc>
          <w:tcPr>
            <w:tcW w:type="dxa" w:w="7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20"/>
                <w:szCs w:val="20"/>
              </w:rPr>
              <w:t xml:space="preserve">P2</w:t>
            </w:r>
          </w:p>
        </w:tc>
        <w:tc>
          <w:tcPr>
            <w:tcW w:type="dxa" w:w="26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F2A37"/>
                <w:sz w:val="19"/>
                <w:szCs w:val="19"/>
              </w:rPr>
              <w:t xml:space="preserve">事前資料の作成負荷</w:t>
            </w:r>
          </w:p>
        </w:tc>
        <w:tc>
          <w:tcPr>
            <w:tcW w:type="dxa" w:w="57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会議の要否にかかわらず、起案者が事前に用意すべき資料の作成負荷が重い。この不満は起案者からもれなく上がっている。</w:t>
            </w:r>
          </w:p>
        </w:tc>
      </w:tr>
      <w:tr>
        <w:tc>
          <w:tcPr>
            <w:tcW w:type="dxa" w:w="7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20"/>
                <w:szCs w:val="20"/>
              </w:rPr>
              <w:t xml:space="preserve">P3</w:t>
            </w:r>
          </w:p>
        </w:tc>
        <w:tc>
          <w:tcPr>
            <w:tcW w:type="dxa" w:w="26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F2A37"/>
                <w:sz w:val="19"/>
                <w:szCs w:val="19"/>
              </w:rPr>
              <w:t xml:space="preserve">承認可否の回答が遅い</w:t>
            </w:r>
          </w:p>
        </w:tc>
        <w:tc>
          <w:tcPr>
            <w:tcW w:type="dxa" w:w="57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会議の開催頻度が高くないため、承認可否の回答を得られるまでの時間が長すぎる。案件のスピードが会議日程に律速されている。</w:t>
            </w:r>
          </w:p>
        </w:tc>
      </w:tr>
      <w:tr>
        <w:tc>
          <w:tcPr>
            <w:tcW w:type="dxa" w:w="7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20"/>
                <w:szCs w:val="20"/>
              </w:rPr>
              <w:t xml:space="preserve">P4</w:t>
            </w:r>
          </w:p>
        </w:tc>
        <w:tc>
          <w:tcPr>
            <w:tcW w:type="dxa" w:w="26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F2A37"/>
                <w:sz w:val="19"/>
                <w:szCs w:val="19"/>
              </w:rPr>
              <w:t xml:space="preserve">承認後の空白</w:t>
            </w:r>
          </w:p>
        </w:tc>
        <w:tc>
          <w:tcPr>
            <w:tcW w:type="dxa" w:w="57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投資委員会は審議結果を伝えるのみで、その後の具体的なサポートやフォローアップがない。承認された案件が成果に結びつくかを見届ける仕組みがない。</w:t>
            </w:r>
          </w:p>
        </w:tc>
      </w:tr>
    </w:tbl>
    <w:p>
      <w:pPr>
        <w:spacing w:after="120" w:before="0" w:line="288"/>
      </w:pPr>
      <w:r>
        <w:rPr>
          <w:rFonts w:ascii="Yu Gothic" w:cs="Yu Gothic" w:eastAsia="Yu Gothic" w:hAnsi="Yu Gothic"/>
          <w:b w:val="false"/>
          <w:bCs w:val="false"/>
          <w:i w:val="false"/>
          <w:iCs w:val="false"/>
          <w:color w:val="1F2A37"/>
          <w:sz w:val="21"/>
          <w:szCs w:val="21"/>
        </w:rPr>
        <w:t xml:space="preserve">これらは個別の運用改善で解けるものではなく、</w:t>
      </w:r>
      <w:r>
        <w:rPr>
          <w:rFonts w:ascii="Yu Gothic" w:cs="Yu Gothic" w:eastAsia="Yu Gothic" w:hAnsi="Yu Gothic"/>
          <w:b/>
          <w:bCs/>
          <w:i w:val="false"/>
          <w:iCs w:val="false"/>
          <w:color w:val="1F2A37"/>
          <w:sz w:val="21"/>
          <w:szCs w:val="21"/>
        </w:rPr>
        <w:t xml:space="preserve">「会議に依存した同期的プロセス」と「裁定して終わりという役割設計」</w:t>
      </w:r>
      <w:r>
        <w:rPr>
          <w:rFonts w:ascii="Yu Gothic" w:cs="Yu Gothic" w:eastAsia="Yu Gothic" w:hAnsi="Yu Gothic"/>
          <w:b w:val="false"/>
          <w:bCs w:val="false"/>
          <w:i w:val="false"/>
          <w:iCs w:val="false"/>
          <w:color w:val="1F2A37"/>
          <w:sz w:val="21"/>
          <w:szCs w:val="21"/>
        </w:rPr>
        <w:t xml:space="preserve">という構造そのものに起因する。したがって本企画は、部分最適ではなく審議プロセスの抜本的な再設計を提案する。</w:t>
      </w:r>
    </w:p>
    <w:p>
      <w:pPr>
        <w:pStyle w:val="Heading1"/>
        <w:pBdr>
          <w:bottom w:val="single" w:color="1B3A5B" w:sz="12" w:space="6"/>
        </w:pBdr>
        <w:spacing w:after="140" w:before="320"/>
      </w:pPr>
      <w:r>
        <w:rPr>
          <w:rFonts w:ascii="Yu Gothic" w:cs="Yu Gothic" w:eastAsia="Yu Gothic" w:hAnsi="Yu Gothic"/>
          <w:b/>
          <w:bCs/>
          <w:i w:val="false"/>
          <w:iCs w:val="false"/>
          <w:color w:val="2F5C93"/>
          <w:sz w:val="26"/>
          <w:szCs w:val="26"/>
        </w:rPr>
        <w:t xml:space="preserve">2  </w:t>
      </w:r>
      <w:r>
        <w:rPr>
          <w:rFonts w:ascii="Yu Gothic" w:cs="Yu Gothic" w:eastAsia="Yu Gothic" w:hAnsi="Yu Gothic"/>
          <w:b/>
          <w:bCs/>
          <w:i w:val="false"/>
          <w:iCs w:val="false"/>
          <w:color w:val="1B3A5B"/>
          <w:sz w:val="26"/>
          <w:szCs w:val="26"/>
        </w:rPr>
        <w:t xml:space="preserve">提案するガバナンスモデル</w:t>
      </w:r>
    </w:p>
    <w:p>
      <w:pPr>
        <w:spacing w:after="120" w:before="0" w:line="288"/>
      </w:pPr>
      <w:r>
        <w:rPr>
          <w:rFonts w:ascii="Yu Gothic" w:cs="Yu Gothic" w:eastAsia="Yu Gothic" w:hAnsi="Yu Gothic"/>
          <w:b w:val="false"/>
          <w:bCs w:val="false"/>
          <w:i w:val="false"/>
          <w:iCs w:val="false"/>
          <w:color w:val="1F2A37"/>
          <w:sz w:val="21"/>
          <w:szCs w:val="21"/>
        </w:rPr>
        <w:t xml:space="preserve">提案の骨子は、審議を</w:t>
      </w:r>
      <w:r>
        <w:rPr>
          <w:rFonts w:ascii="Yu Gothic" w:cs="Yu Gothic" w:eastAsia="Yu Gothic" w:hAnsi="Yu Gothic"/>
          <w:b/>
          <w:bCs/>
          <w:i w:val="false"/>
          <w:iCs w:val="false"/>
          <w:color w:val="1F2A37"/>
          <w:sz w:val="21"/>
          <w:szCs w:val="21"/>
        </w:rPr>
        <w:t xml:space="preserve">会議依存の同期プロセスから、CMSを介した非同期・文書駆動プロセスへ転換</w:t>
      </w:r>
      <w:r>
        <w:rPr>
          <w:rFonts w:ascii="Yu Gothic" w:cs="Yu Gothic" w:eastAsia="Yu Gothic" w:hAnsi="Yu Gothic"/>
          <w:b w:val="false"/>
          <w:bCs w:val="false"/>
          <w:i w:val="false"/>
          <w:iCs w:val="false"/>
          <w:color w:val="1F2A37"/>
          <w:sz w:val="21"/>
          <w:szCs w:val="21"/>
        </w:rPr>
        <w:t xml:space="preserve">し、あわせて</w:t>
      </w:r>
      <w:r>
        <w:rPr>
          <w:rFonts w:ascii="Yu Gothic" w:cs="Yu Gothic" w:eastAsia="Yu Gothic" w:hAnsi="Yu Gothic"/>
          <w:b/>
          <w:bCs/>
          <w:i w:val="false"/>
          <w:iCs w:val="false"/>
          <w:color w:val="1F2A37"/>
          <w:sz w:val="21"/>
          <w:szCs w:val="21"/>
        </w:rPr>
        <w:t xml:space="preserve">承認後の伴走機能と、権限が特定主体に集中しない役割分離</w:t>
      </w:r>
      <w:r>
        <w:rPr>
          <w:rFonts w:ascii="Yu Gothic" w:cs="Yu Gothic" w:eastAsia="Yu Gothic" w:hAnsi="Yu Gothic"/>
          <w:b w:val="false"/>
          <w:bCs w:val="false"/>
          <w:i w:val="false"/>
          <w:iCs w:val="false"/>
          <w:color w:val="1F2A37"/>
          <w:sz w:val="21"/>
          <w:szCs w:val="21"/>
        </w:rPr>
        <w:t xml:space="preserve">を組み込むことである。</w:t>
      </w:r>
    </w:p>
    <w:p>
      <w:pPr>
        <w:spacing w:after="60" w:before="120"/>
        <w:jc w:val="center"/>
      </w:pPr>
      <w:r>
        <w:drawing>
          <wp:inline distT="0" distB="0" distL="0" distR="0">
            <wp:extent cx="5715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143000"/>
                    </a:xfrm>
                    <a:prstGeom prst="rect">
                      <a:avLst/>
                    </a:prstGeom>
                  </pic:spPr>
                </pic:pic>
              </a:graphicData>
            </a:graphic>
          </wp:inline>
        </w:drawing>
      </w:r>
    </w:p>
    <w:p>
      <w:pPr>
        <w:spacing w:after="160"/>
        <w:jc w:val="center"/>
      </w:pPr>
      <w:r>
        <w:rPr>
          <w:rFonts w:ascii="Yu Gothic" w:cs="Yu Gothic" w:eastAsia="Yu Gothic" w:hAnsi="Yu Gothic"/>
          <w:b w:val="false"/>
          <w:bCs w:val="false"/>
          <w:i/>
          <w:iCs/>
          <w:color w:val="5B6470"/>
          <w:sz w:val="18"/>
          <w:szCs w:val="18"/>
        </w:rPr>
        <w:t xml:space="preserve">図1: ガバナンスモデル全体像 ── 役割の分離と、承認後の伴走・エスカレーション</w:t>
      </w:r>
    </w:p>
    <w:p>
      <w:pPr>
        <w:pStyle w:val="Heading2"/>
        <w:spacing w:after="100" w:before="220"/>
      </w:pPr>
      <w:r>
        <w:rPr>
          <w:rFonts w:ascii="Yu Gothic" w:cs="Yu Gothic" w:eastAsia="Yu Gothic" w:hAnsi="Yu Gothic"/>
          <w:b/>
          <w:bCs/>
          <w:i w:val="false"/>
          <w:iCs w:val="false"/>
          <w:color w:val="2F5C93"/>
          <w:sz w:val="22"/>
          <w:szCs w:val="22"/>
        </w:rPr>
        <w:t xml:space="preserve">2.1 プロセスの4ステップ</w:t>
      </w:r>
    </w:p>
    <w:p>
      <w:pPr>
        <w:spacing w:after="8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Step1 事前の論点整理: </w:t>
      </w:r>
      <w:r>
        <w:rPr>
          <w:rFonts w:ascii="Yu Gothic" w:cs="Yu Gothic" w:eastAsia="Yu Gothic" w:hAnsi="Yu Gothic"/>
          <w:b w:val="false"/>
          <w:bCs w:val="false"/>
          <w:i w:val="false"/>
          <w:iCs w:val="false"/>
          <w:color w:val="1F2A37"/>
          <w:sz w:val="21"/>
          <w:szCs w:val="21"/>
        </w:rPr>
        <w:t xml:space="preserve">事務局が論点整理書を作成する。起案者に求めるのは「事実」であって分析・スコアではない。起案者は疑義・意見を任意の回数だけ表明でき、確認完了をもって次工程へ進む。</w:t>
      </w:r>
    </w:p>
    <w:p>
      <w:pPr>
        <w:spacing w:after="8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Step2 投資委員会からの結果回答: </w:t>
      </w:r>
      <w:r>
        <w:rPr>
          <w:rFonts w:ascii="Yu Gothic" w:cs="Yu Gothic" w:eastAsia="Yu Gothic" w:hAnsi="Yu Gothic"/>
          <w:b w:val="false"/>
          <w:bCs w:val="false"/>
          <w:i w:val="false"/>
          <w:iCs w:val="false"/>
          <w:color w:val="1F2A37"/>
          <w:sz w:val="21"/>
          <w:szCs w:val="21"/>
        </w:rPr>
        <w:t xml:space="preserve">委員会が審議・判定し、事務局が回答書を作成する。回答書は委員会自身が内容(論点の網羅性)を確認したうえで確定し、起案者へ通知する。</w:t>
      </w:r>
    </w:p>
    <w:p>
      <w:pPr>
        <w:spacing w:after="8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Step3 会議による直接協議: </w:t>
      </w:r>
      <w:r>
        <w:rPr>
          <w:rFonts w:ascii="Yu Gothic" w:cs="Yu Gothic" w:eastAsia="Yu Gothic" w:hAnsi="Yu Gothic"/>
          <w:b w:val="false"/>
          <w:bCs w:val="false"/>
          <w:i w:val="false"/>
          <w:iCs w:val="false"/>
          <w:color w:val="1F2A37"/>
          <w:sz w:val="21"/>
          <w:szCs w:val="21"/>
        </w:rPr>
        <w:t xml:space="preserve">起案者・委員会のいずれかが疑義を表明した場合に限り開催する。会議は既定ではなく例外に位置づけ、本当に協議が必要な案件に集中させる。</w:t>
      </w:r>
    </w:p>
    <w:p>
      <w:pPr>
        <w:spacing w:after="14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Step4 承認後のフォローアップ・伴走: </w:t>
      </w:r>
      <w:r>
        <w:rPr>
          <w:rFonts w:ascii="Yu Gothic" w:cs="Yu Gothic" w:eastAsia="Yu Gothic" w:hAnsi="Yu Gothic"/>
          <w:b w:val="false"/>
          <w:bCs w:val="false"/>
          <w:i w:val="false"/>
          <w:iCs w:val="false"/>
          <w:color w:val="1F2A37"/>
          <w:sz w:val="21"/>
          <w:szCs w:val="21"/>
        </w:rPr>
        <w:t xml:space="preserve">ポートフォリオ管理(PPM)が承認案件を引き受け、承認条件の実装支援・定期チェックイン・レビューゲートに向けた証跡整備を担う。条件不履行や重大なドリフトを検知した場合は、委員会へエスカレーションしてゲートを前倒す権限を持つ。</w:t>
      </w:r>
    </w:p>
    <w:p>
      <w:pPr>
        <w:pStyle w:val="Heading2"/>
        <w:spacing w:after="100" w:before="220"/>
      </w:pPr>
      <w:r>
        <w:rPr>
          <w:rFonts w:ascii="Yu Gothic" w:cs="Yu Gothic" w:eastAsia="Yu Gothic" w:hAnsi="Yu Gothic"/>
          <w:b/>
          <w:bCs/>
          <w:i w:val="false"/>
          <w:iCs w:val="false"/>
          <w:color w:val="2F5C93"/>
          <w:sz w:val="22"/>
          <w:szCs w:val="22"/>
        </w:rPr>
        <w:t xml:space="preserve">2.2 権限分離の設計原則</w:t>
      </w:r>
    </w:p>
    <w:p>
      <w:pPr>
        <w:spacing w:after="120" w:before="0" w:line="288"/>
      </w:pPr>
      <w:r>
        <w:rPr>
          <w:rFonts w:ascii="Yu Gothic" w:cs="Yu Gothic" w:eastAsia="Yu Gothic" w:hAnsi="Yu Gothic"/>
          <w:b w:val="false"/>
          <w:bCs w:val="false"/>
          <w:i w:val="false"/>
          <w:iCs w:val="false"/>
          <w:color w:val="1F2A37"/>
          <w:sz w:val="21"/>
          <w:szCs w:val="21"/>
        </w:rPr>
        <w:t xml:space="preserve">本モデルの要は、</w:t>
      </w:r>
      <w:r>
        <w:rPr>
          <w:rFonts w:ascii="Yu Gothic" w:cs="Yu Gothic" w:eastAsia="Yu Gothic" w:hAnsi="Yu Gothic"/>
          <w:b/>
          <w:bCs/>
          <w:i w:val="false"/>
          <w:iCs w:val="false"/>
          <w:color w:val="1F2A37"/>
          <w:sz w:val="21"/>
          <w:szCs w:val="21"/>
        </w:rPr>
        <w:t xml:space="preserve">論点設定・事実認定・スコアリング・裁定・伴走という機能を、単一の主体に集中させないこと</w:t>
      </w:r>
      <w:r>
        <w:rPr>
          <w:rFonts w:ascii="Yu Gothic" w:cs="Yu Gothic" w:eastAsia="Yu Gothic" w:hAnsi="Yu Gothic"/>
          <w:b w:val="false"/>
          <w:bCs w:val="false"/>
          <w:i w:val="false"/>
          <w:iCs w:val="false"/>
          <w:color w:val="1F2A37"/>
          <w:sz w:val="21"/>
          <w:szCs w:val="21"/>
        </w:rPr>
        <w:t xml:space="preserve">である。各機能の担当と、それに対するチェックを次のとおり配置する。</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300"/>
        <w:gridCol w:w="3200"/>
        <w:gridCol w:w="3526"/>
      </w:tblGrid>
      <w:tr>
        <w:tc>
          <w:tcPr>
            <w:tcW w:type="dxa" w:w="2300"/>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機能</w:t>
            </w:r>
          </w:p>
        </w:tc>
        <w:tc>
          <w:tcPr>
            <w:tcW w:type="dxa" w:w="3200"/>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担当</w:t>
            </w:r>
          </w:p>
        </w:tc>
        <w:tc>
          <w:tcPr>
            <w:tcW w:type="dxa" w:w="3526"/>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チェック(牽制)</w:t>
            </w:r>
          </w:p>
        </w:tc>
      </w:tr>
      <w:tr>
        <w:tc>
          <w:tcPr>
            <w:tcW w:type="dxa" w:w="23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F2A37"/>
                <w:sz w:val="19"/>
                <w:szCs w:val="19"/>
              </w:rPr>
              <w:t xml:space="preserve">論点整理(framing)</w:t>
            </w:r>
          </w:p>
        </w:tc>
        <w:tc>
          <w:tcPr>
            <w:tcW w:type="dxa" w:w="3200"/>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事務局(二者体制)</w:t>
            </w:r>
          </w:p>
        </w:tc>
        <w:tc>
          <w:tcPr>
            <w:tcW w:type="dxa" w:w="35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起案者の疑義・意見ループ(Step1)</w:t>
            </w:r>
          </w:p>
        </w:tc>
      </w:tr>
      <w:tr>
        <w:tc>
          <w:tcPr>
            <w:tcW w:type="dxa" w:w="23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F2A37"/>
                <w:sz w:val="19"/>
                <w:szCs w:val="19"/>
              </w:rPr>
              <w:t xml:space="preserve">事実認定</w:t>
            </w:r>
          </w:p>
        </w:tc>
        <w:tc>
          <w:tcPr>
            <w:tcW w:type="dxa" w:w="3200"/>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起案者=事実提出 / 事務局=整理</w:t>
            </w:r>
          </w:p>
        </w:tc>
        <w:tc>
          <w:tcPr>
            <w:tcW w:type="dxa" w:w="35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事実と評価の分離(申請者は事実のみ)</w:t>
            </w:r>
          </w:p>
        </w:tc>
      </w:tr>
      <w:tr>
        <w:tc>
          <w:tcPr>
            <w:tcW w:type="dxa" w:w="23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F2A37"/>
                <w:sz w:val="19"/>
                <w:szCs w:val="19"/>
              </w:rPr>
              <w:t xml:space="preserve">スコアリング</w:t>
            </w:r>
          </w:p>
        </w:tc>
        <w:tc>
          <w:tcPr>
            <w:tcW w:type="dxa" w:w="3200"/>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事務局が素点、委員会が確定・重み</w:t>
            </w:r>
          </w:p>
        </w:tc>
        <w:tc>
          <w:tcPr>
            <w:tcW w:type="dxa" w:w="35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二者による共同署名・委員会レビュー</w:t>
            </w:r>
          </w:p>
        </w:tc>
      </w:tr>
      <w:tr>
        <w:tc>
          <w:tcPr>
            <w:tcW w:type="dxa" w:w="23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F2A37"/>
                <w:sz w:val="19"/>
                <w:szCs w:val="19"/>
              </w:rPr>
              <w:t xml:space="preserve">裁定</w:t>
            </w:r>
          </w:p>
        </w:tc>
        <w:tc>
          <w:tcPr>
            <w:tcW w:type="dxa" w:w="3200"/>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投資委員会</w:t>
            </w:r>
          </w:p>
        </w:tc>
        <w:tc>
          <w:tcPr>
            <w:tcW w:type="dxa" w:w="35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回答書の内容確認ゲート(Step2)</w:t>
            </w:r>
          </w:p>
        </w:tc>
      </w:tr>
      <w:tr>
        <w:tc>
          <w:tcPr>
            <w:tcW w:type="dxa" w:w="23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1F2A37"/>
                <w:sz w:val="19"/>
                <w:szCs w:val="19"/>
              </w:rPr>
              <w:t xml:space="preserve">承認後の伴走</w:t>
            </w:r>
          </w:p>
        </w:tc>
        <w:tc>
          <w:tcPr>
            <w:tcW w:type="dxa" w:w="3200"/>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ポートフォリオ管理(PPM)</w:t>
            </w:r>
          </w:p>
        </w:tc>
        <w:tc>
          <w:tcPr>
            <w:tcW w:type="dxa" w:w="3526"/>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裁定主体と分離+委員会へのエスカレーション権限</w:t>
            </w:r>
          </w:p>
        </w:tc>
      </w:tr>
    </w:tbl>
    <w:p>
      <w:pPr>
        <w:pBdr>
          <w:left w:val="single" w:color="8A4FBE" w:sz="20" w:space="12"/>
        </w:pBdr>
        <w:shd w:fill="F7F9FC" w:color="auto" w:val="clear"/>
        <w:spacing w:after="140" w:before="60" w:line="276"/>
        <w:ind w:left="200" w:right="120"/>
      </w:pPr>
      <w:r>
        <w:rPr>
          <w:rFonts w:ascii="Yu Gothic" w:cs="Yu Gothic" w:eastAsia="Yu Gothic" w:hAnsi="Yu Gothic"/>
          <w:b/>
          <w:bCs/>
          <w:i w:val="false"/>
          <w:iCs w:val="false"/>
          <w:color w:val="8A4FBE"/>
          <w:sz w:val="21"/>
          <w:szCs w:val="21"/>
        </w:rPr>
        <w:t xml:space="preserve">二者体制:  </w:t>
      </w:r>
      <w:r>
        <w:rPr>
          <w:rFonts w:ascii="Yu Gothic" w:cs="Yu Gothic" w:eastAsia="Yu Gothic" w:hAnsi="Yu Gothic"/>
          <w:b w:val="false"/>
          <w:bCs w:val="false"/>
          <w:i w:val="false"/>
          <w:iCs w:val="false"/>
          <w:color w:val="1F2A37"/>
          <w:sz w:val="20"/>
          <w:szCs w:val="20"/>
        </w:rPr>
        <w:t xml:space="preserve">事務局はIT部門側と起案側から1名ずつを任命する。起案側にもIT企画を担当する者がおり、任命に違和感は生じない。論点整理の中立性(framing)と、外形上の公正さ(optics)の双方を担保する。ただし、起案側の担当が自部門を起案者とする案件を扱う場合は相反となるため、当該案件では担当を差し替える回避ルールを設ける。</w:t>
      </w:r>
    </w:p>
    <w:p>
      <w:pPr>
        <w:pBdr>
          <w:left w:val="single" w:color="2F5C93" w:sz="20" w:space="12"/>
        </w:pBdr>
        <w:shd w:fill="F7F9FC" w:color="auto" w:val="clear"/>
        <w:spacing w:after="140" w:before="60" w:line="276"/>
        <w:ind w:left="200" w:right="120"/>
      </w:pPr>
      <w:r>
        <w:rPr>
          <w:rFonts w:ascii="Yu Gothic" w:cs="Yu Gothic" w:eastAsia="Yu Gothic" w:hAnsi="Yu Gothic"/>
          <w:b/>
          <w:bCs/>
          <w:i w:val="false"/>
          <w:iCs w:val="false"/>
          <w:color w:val="2F5C93"/>
          <w:sz w:val="21"/>
          <w:szCs w:val="21"/>
        </w:rPr>
        <w:t xml:space="preserve">理論の位置づけ:  </w:t>
      </w:r>
      <w:r>
        <w:rPr>
          <w:rFonts w:ascii="Yu Gothic" w:cs="Yu Gothic" w:eastAsia="Yu Gothic" w:hAnsi="Yu Gothic"/>
          <w:b w:val="false"/>
          <w:bCs w:val="false"/>
          <w:i w:val="false"/>
          <w:iCs w:val="false"/>
          <w:color w:val="1F2A37"/>
          <w:sz w:val="20"/>
          <w:szCs w:val="20"/>
        </w:rPr>
        <w:t xml:space="preserve">本モデルの論点整理は、外部性等の経済学的フレームワークを運用ルールとして参照する。ただしそれはあくまで事務局内部の運用規律であり、回答書等の対外文書では前面に出さず、平易な業務言語で記述する。</w:t>
      </w:r>
    </w:p>
    <w:p>
      <w:pPr>
        <w:pStyle w:val="Heading1"/>
        <w:pBdr>
          <w:bottom w:val="single" w:color="1B3A5B" w:sz="12" w:space="6"/>
        </w:pBdr>
        <w:spacing w:after="140" w:before="320"/>
      </w:pPr>
      <w:r>
        <w:rPr>
          <w:rFonts w:ascii="Yu Gothic" w:cs="Yu Gothic" w:eastAsia="Yu Gothic" w:hAnsi="Yu Gothic"/>
          <w:b/>
          <w:bCs/>
          <w:i w:val="false"/>
          <w:iCs w:val="false"/>
          <w:color w:val="2F5C93"/>
          <w:sz w:val="26"/>
          <w:szCs w:val="26"/>
        </w:rPr>
        <w:t xml:space="preserve">3  </w:t>
      </w:r>
      <w:r>
        <w:rPr>
          <w:rFonts w:ascii="Yu Gothic" w:cs="Yu Gothic" w:eastAsia="Yu Gothic" w:hAnsi="Yu Gothic"/>
          <w:b/>
          <w:bCs/>
          <w:i w:val="false"/>
          <w:iCs w:val="false"/>
          <w:color w:val="1B3A5B"/>
          <w:sz w:val="26"/>
          <w:szCs w:val="26"/>
        </w:rPr>
        <w:t xml:space="preserve">問題点をどのように解決するか</w:t>
      </w:r>
    </w:p>
    <w:p>
      <w:pPr>
        <w:spacing w:after="120" w:before="0" w:line="288"/>
      </w:pPr>
      <w:r>
        <w:rPr>
          <w:rFonts w:ascii="Yu Gothic" w:cs="Yu Gothic" w:eastAsia="Yu Gothic" w:hAnsi="Yu Gothic"/>
          <w:b w:val="false"/>
          <w:bCs w:val="false"/>
          <w:i w:val="false"/>
          <w:iCs w:val="false"/>
          <w:color w:val="1F2A37"/>
          <w:sz w:val="21"/>
          <w:szCs w:val="21"/>
        </w:rPr>
        <w:t xml:space="preserve">第1章で挙げた4つの問題に対し、本モデルがどの機構で応えるかを対応づける。</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500"/>
        <w:gridCol w:w="3663"/>
        <w:gridCol w:w="2863"/>
      </w:tblGrid>
      <w:tr>
        <w:tc>
          <w:tcPr>
            <w:tcW w:type="dxa" w:w="2500"/>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問題</w:t>
            </w:r>
          </w:p>
        </w:tc>
        <w:tc>
          <w:tcPr>
            <w:tcW w:type="dxa" w:w="3663"/>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新モデルの打ち手</w:t>
            </w:r>
          </w:p>
        </w:tc>
        <w:tc>
          <w:tcPr>
            <w:tcW w:type="dxa" w:w="2863"/>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効果</w:t>
            </w:r>
          </w:p>
        </w:tc>
      </w:tr>
      <w:tr>
        <w:tc>
          <w:tcPr>
            <w:tcW w:type="dxa" w:w="25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19"/>
                <w:szCs w:val="19"/>
              </w:rPr>
              <w:t xml:space="preserve">P1 会議が機能していない</w:t>
            </w:r>
          </w:p>
        </w:tc>
        <w:tc>
          <w:tcPr>
            <w:tcW w:type="dxa" w:w="36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非同期・文書駆動へ転換し、Step3(会議)を疑義時のみの例外とする</w:t>
            </w:r>
          </w:p>
        </w:tc>
        <w:tc>
          <w:tcPr>
            <w:tcW w:type="dxa" w:w="28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会議は本当に協議が要る案件に限定され、場が機能する</w:t>
            </w:r>
          </w:p>
        </w:tc>
      </w:tr>
      <w:tr>
        <w:tc>
          <w:tcPr>
            <w:tcW w:type="dxa" w:w="25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19"/>
                <w:szCs w:val="19"/>
              </w:rPr>
              <w:t xml:space="preserve">P2 事前資料の作成負荷</w:t>
            </w:r>
          </w:p>
        </w:tc>
        <w:tc>
          <w:tcPr>
            <w:tcW w:type="dxa" w:w="36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論点整理を事務局が担い、起案者に求めるのは事実のみ(事実と評価の分離)</w:t>
            </w:r>
          </w:p>
        </w:tc>
        <w:tc>
          <w:tcPr>
            <w:tcW w:type="dxa" w:w="28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起案者の分析framing負荷が構造的に消える</w:t>
            </w:r>
          </w:p>
        </w:tc>
      </w:tr>
      <w:tr>
        <w:tc>
          <w:tcPr>
            <w:tcW w:type="dxa" w:w="25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19"/>
                <w:szCs w:val="19"/>
              </w:rPr>
              <w:t xml:space="preserve">P3 回答が遅い</w:t>
            </w:r>
          </w:p>
        </w:tc>
        <w:tc>
          <w:tcPr>
            <w:tcW w:type="dxa" w:w="36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CMS駆動で会議開催を待たずに承認可否が進む。各ステップにSLA(期限)を設定</w:t>
            </w:r>
          </w:p>
        </w:tc>
        <w:tc>
          <w:tcPr>
            <w:tcW w:type="dxa" w:w="28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回答速度が会議頻度から切り離される</w:t>
            </w:r>
          </w:p>
        </w:tc>
      </w:tr>
      <w:tr>
        <w:tc>
          <w:tcPr>
            <w:tcW w:type="dxa" w:w="25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19"/>
                <w:szCs w:val="19"/>
              </w:rPr>
              <w:t xml:space="preserve">P4 承認後の空白</w:t>
            </w:r>
          </w:p>
        </w:tc>
        <w:tc>
          <w:tcPr>
            <w:tcW w:type="dxa" w:w="36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Step4でPPMが伴走(条件実装支援・定期チェックイン・エスカレーション)</w:t>
            </w:r>
          </w:p>
        </w:tc>
        <w:tc>
          <w:tcPr>
            <w:tcW w:type="dxa" w:w="28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「裁定して終わり」から「成果まで伴走」へ転換</w:t>
            </w:r>
          </w:p>
        </w:tc>
      </w:tr>
    </w:tbl>
    <w:p>
      <w:pPr>
        <w:pBdr>
          <w:left w:val="single" w:color="2E7D4F" w:sz="20" w:space="12"/>
        </w:pBdr>
        <w:shd w:fill="F7F9FC" w:color="auto" w:val="clear"/>
        <w:spacing w:after="140" w:before="60" w:line="276"/>
        <w:ind w:left="200" w:right="120"/>
      </w:pPr>
      <w:r>
        <w:rPr>
          <w:rFonts w:ascii="Yu Gothic" w:cs="Yu Gothic" w:eastAsia="Yu Gothic" w:hAnsi="Yu Gothic"/>
          <w:b/>
          <w:bCs/>
          <w:i w:val="false"/>
          <w:iCs w:val="false"/>
          <w:color w:val="2E7D4F"/>
          <w:sz w:val="21"/>
          <w:szCs w:val="21"/>
        </w:rPr>
        <w:t xml:space="preserve">補足 ── SLAの埋め込み:  </w:t>
      </w:r>
      <w:r>
        <w:rPr>
          <w:rFonts w:ascii="Yu Gothic" w:cs="Yu Gothic" w:eastAsia="Yu Gothic" w:hAnsi="Yu Gothic"/>
          <w:b w:val="false"/>
          <w:bCs w:val="false"/>
          <w:i w:val="false"/>
          <w:iCs w:val="false"/>
          <w:color w:val="1F2A37"/>
          <w:sz w:val="20"/>
          <w:szCs w:val="20"/>
        </w:rPr>
        <w:t xml:space="preserve">非同期化は放置すると別の遅延を生む。「事務局は◯営業日以内に論点整理」「委員会確認は◯営業日以内」といった期限を各ステップに制度として組み込み、速度を担保する。</w:t>
      </w:r>
    </w:p>
    <w:p>
      <w:pPr>
        <w:pBdr>
          <w:left w:val="single" w:color="2E7D4F" w:sz="20" w:space="12"/>
        </w:pBdr>
        <w:shd w:fill="F7F9FC" w:color="auto" w:val="clear"/>
        <w:spacing w:after="140" w:before="60" w:line="276"/>
        <w:ind w:left="200" w:right="120"/>
      </w:pPr>
      <w:r>
        <w:rPr>
          <w:rFonts w:ascii="Yu Gothic" w:cs="Yu Gothic" w:eastAsia="Yu Gothic" w:hAnsi="Yu Gothic"/>
          <w:b/>
          <w:bCs/>
          <w:i w:val="false"/>
          <w:iCs w:val="false"/>
          <w:color w:val="2E7D4F"/>
          <w:sz w:val="21"/>
          <w:szCs w:val="21"/>
        </w:rPr>
        <w:t xml:space="preserve">補足 ── 伴走と裁定の分離:  </w:t>
      </w:r>
      <w:r>
        <w:rPr>
          <w:rFonts w:ascii="Yu Gothic" w:cs="Yu Gothic" w:eastAsia="Yu Gothic" w:hAnsi="Yu Gothic"/>
          <w:b w:val="false"/>
          <w:bCs w:val="false"/>
          <w:i w:val="false"/>
          <w:iCs w:val="false"/>
          <w:color w:val="1F2A37"/>
          <w:sz w:val="20"/>
          <w:szCs w:val="20"/>
        </w:rPr>
        <w:t xml:space="preserve">承認後の伴走は、裁定を下した委員会・事務局ではなくPPMが担う。採点者と伴走者を別主体とすることで、起案者にとって受け入れやすい支援関係になる。両者はCMSを共有ハブとして連結される。</w:t>
      </w:r>
    </w:p>
    <w:p>
      <w:pPr>
        <w:pStyle w:val="Heading1"/>
        <w:pBdr>
          <w:bottom w:val="single" w:color="1B3A5B" w:sz="12" w:space="6"/>
        </w:pBdr>
        <w:spacing w:after="140" w:before="320"/>
      </w:pPr>
      <w:r>
        <w:rPr>
          <w:rFonts w:ascii="Yu Gothic" w:cs="Yu Gothic" w:eastAsia="Yu Gothic" w:hAnsi="Yu Gothic"/>
          <w:b/>
          <w:bCs/>
          <w:i w:val="false"/>
          <w:iCs w:val="false"/>
          <w:color w:val="2F5C93"/>
          <w:sz w:val="26"/>
          <w:szCs w:val="26"/>
        </w:rPr>
        <w:t xml:space="preserve">4  </w:t>
      </w:r>
      <w:r>
        <w:rPr>
          <w:rFonts w:ascii="Yu Gothic" w:cs="Yu Gothic" w:eastAsia="Yu Gothic" w:hAnsi="Yu Gothic"/>
          <w:b/>
          <w:bCs/>
          <w:i w:val="false"/>
          <w:iCs w:val="false"/>
          <w:color w:val="1B3A5B"/>
          <w:sz w:val="26"/>
          <w:szCs w:val="26"/>
        </w:rPr>
        <w:t xml:space="preserve">技術的変革</w:t>
      </w:r>
    </w:p>
    <w:p>
      <w:pPr>
        <w:pStyle w:val="Heading2"/>
        <w:spacing w:after="100" w:before="220"/>
      </w:pPr>
      <w:r>
        <w:rPr>
          <w:rFonts w:ascii="Yu Gothic" w:cs="Yu Gothic" w:eastAsia="Yu Gothic" w:hAnsi="Yu Gothic"/>
          <w:b/>
          <w:bCs/>
          <w:i w:val="false"/>
          <w:iCs w:val="false"/>
          <w:color w:val="2F5C93"/>
          <w:sz w:val="22"/>
          <w:szCs w:val="22"/>
        </w:rPr>
        <w:t xml:space="preserve">4.1 CMS(案件管理システム)の導入とその効果</w:t>
      </w:r>
    </w:p>
    <w:p>
      <w:pPr>
        <w:spacing w:after="120" w:before="0" w:line="288"/>
      </w:pPr>
      <w:r>
        <w:rPr>
          <w:rFonts w:ascii="Yu Gothic" w:cs="Yu Gothic" w:eastAsia="Yu Gothic" w:hAnsi="Yu Gothic"/>
          <w:b w:val="false"/>
          <w:bCs w:val="false"/>
          <w:i w:val="false"/>
          <w:iCs w:val="false"/>
          <w:color w:val="1F2A37"/>
          <w:sz w:val="21"/>
          <w:szCs w:val="21"/>
        </w:rPr>
        <w:t xml:space="preserve">CMSは、全ステップを非同期で成立させる基盤である。提出・通知・登録・確認がシステム上で完結し、審議が会議日程から独立する。</w:t>
      </w:r>
    </w:p>
    <w:p>
      <w:pPr>
        <w:spacing w:after="8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回答速度の向上: </w:t>
      </w:r>
      <w:r>
        <w:rPr>
          <w:rFonts w:ascii="Yu Gothic" w:cs="Yu Gothic" w:eastAsia="Yu Gothic" w:hAnsi="Yu Gothic"/>
          <w:b w:val="false"/>
          <w:bCs w:val="false"/>
          <w:i w:val="false"/>
          <w:iCs w:val="false"/>
          <w:color w:val="1F2A37"/>
          <w:sz w:val="21"/>
          <w:szCs w:val="21"/>
        </w:rPr>
        <w:t xml:space="preserve">承認可否が次回会議の開催を待たずに進む(P3への直接の解)。</w:t>
      </w:r>
    </w:p>
    <w:p>
      <w:pPr>
        <w:spacing w:after="8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透明性・監査可能性: </w:t>
      </w:r>
      <w:r>
        <w:rPr>
          <w:rFonts w:ascii="Yu Gothic" w:cs="Yu Gothic" w:eastAsia="Yu Gothic" w:hAnsi="Yu Gothic"/>
          <w:b w:val="false"/>
          <w:bCs w:val="false"/>
          <w:i w:val="false"/>
          <w:iCs w:val="false"/>
          <w:color w:val="1F2A37"/>
          <w:sz w:val="21"/>
          <w:szCs w:val="21"/>
        </w:rPr>
        <w:t xml:space="preserve">誰が・いつ・何を判断したかが記録として残り、後から検証できる。</w:t>
      </w:r>
    </w:p>
    <w:p>
      <w:pPr>
        <w:spacing w:after="8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伴走のハンドオフ: </w:t>
      </w:r>
      <w:r>
        <w:rPr>
          <w:rFonts w:ascii="Yu Gothic" w:cs="Yu Gothic" w:eastAsia="Yu Gothic" w:hAnsi="Yu Gothic"/>
          <w:b w:val="false"/>
          <w:bCs w:val="false"/>
          <w:i w:val="false"/>
          <w:iCs w:val="false"/>
          <w:color w:val="1F2A37"/>
          <w:sz w:val="21"/>
          <w:szCs w:val="21"/>
        </w:rPr>
        <w:t xml:space="preserve">CMSはPPMとも共有され、承認案件・承認条件をStep4へ引き渡す共有ハブとなる。</w:t>
      </w:r>
    </w:p>
    <w:p>
      <w:pPr>
        <w:spacing w:after="14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台帳の初版化: </w:t>
      </w:r>
      <w:r>
        <w:rPr>
          <w:rFonts w:ascii="Yu Gothic" w:cs="Yu Gothic" w:eastAsia="Yu Gothic" w:hAnsi="Yu Gothic"/>
          <w:b w:val="false"/>
          <w:bCs w:val="false"/>
          <w:i w:val="false"/>
          <w:iCs w:val="false"/>
          <w:color w:val="1F2A37"/>
          <w:sz w:val="21"/>
          <w:szCs w:val="21"/>
        </w:rPr>
        <w:t xml:space="preserve">蓄積された申請書(事実)の束が、そのまま資産・依存関係を把握する台帳の初版になる。</w:t>
      </w:r>
    </w:p>
    <w:p>
      <w:pPr>
        <w:pStyle w:val="Heading2"/>
        <w:spacing w:after="100" w:before="220"/>
      </w:pPr>
      <w:r>
        <w:rPr>
          <w:rFonts w:ascii="Yu Gothic" w:cs="Yu Gothic" w:eastAsia="Yu Gothic" w:hAnsi="Yu Gothic"/>
          <w:b/>
          <w:bCs/>
          <w:i w:val="false"/>
          <w:iCs w:val="false"/>
          <w:color w:val="2F5C93"/>
          <w:sz w:val="22"/>
          <w:szCs w:val="22"/>
        </w:rPr>
        <w:t xml:space="preserve">4.2 AIエージェントの導入とその効果</w:t>
      </w:r>
    </w:p>
    <w:p>
      <w:pPr>
        <w:spacing w:after="120" w:before="0" w:line="288"/>
      </w:pPr>
      <w:r>
        <w:rPr>
          <w:rFonts w:ascii="Yu Gothic" w:cs="Yu Gothic" w:eastAsia="Yu Gothic" w:hAnsi="Yu Gothic"/>
          <w:b w:val="false"/>
          <w:bCs w:val="false"/>
          <w:i w:val="false"/>
          <w:iCs w:val="false"/>
          <w:color w:val="1F2A37"/>
          <w:sz w:val="21"/>
          <w:szCs w:val="21"/>
        </w:rPr>
        <w:t xml:space="preserve">本企画の中核として、事務局機能(トリアージ・論点整理・スコア素案)を</w:t>
      </w:r>
      <w:r>
        <w:rPr>
          <w:rFonts w:ascii="Yu Gothic" w:cs="Yu Gothic" w:eastAsia="Yu Gothic" w:hAnsi="Yu Gothic"/>
          <w:b/>
          <w:bCs/>
          <w:i w:val="false"/>
          <w:iCs w:val="false"/>
          <w:color w:val="1F2A37"/>
          <w:sz w:val="21"/>
          <w:szCs w:val="21"/>
        </w:rPr>
        <w:t xml:space="preserve">まずAIエージェントが担い、人間はその結果を検証・管理する</w:t>
      </w:r>
      <w:r>
        <w:rPr>
          <w:rFonts w:ascii="Yu Gothic" w:cs="Yu Gothic" w:eastAsia="Yu Gothic" w:hAnsi="Yu Gothic"/>
          <w:b w:val="false"/>
          <w:bCs w:val="false"/>
          <w:i w:val="false"/>
          <w:iCs w:val="false"/>
          <w:color w:val="1F2A37"/>
          <w:sz w:val="21"/>
          <w:szCs w:val="21"/>
        </w:rPr>
        <w:t xml:space="preserve">体制を想定する。人間は、明らかな誤りがないか、そしてエージェント自体が正しく機能しているかを管理する役割を負う。</w:t>
      </w:r>
    </w:p>
    <w:p>
      <w:pPr>
        <w:spacing w:after="8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キャパシティの解消: </w:t>
      </w:r>
      <w:r>
        <w:rPr>
          <w:rFonts w:ascii="Yu Gothic" w:cs="Yu Gothic" w:eastAsia="Yu Gothic" w:hAnsi="Yu Gothic"/>
          <w:b w:val="false"/>
          <w:bCs w:val="false"/>
          <w:i w:val="false"/>
          <w:iCs w:val="false"/>
          <w:color w:val="1F2A37"/>
          <w:sz w:val="21"/>
          <w:szCs w:val="21"/>
        </w:rPr>
        <w:t xml:space="preserve">二者体制の人間だけでは、論点整理・スコア支援・台帳保持・伴走・トリアージのすべては担いきれない。投資案件は1日1件程度であり、エージェントが初動を担えば人間のレビューは十分に回る。</w:t>
      </w:r>
    </w:p>
    <w:p>
      <w:pPr>
        <w:spacing w:after="8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一貫性: </w:t>
      </w:r>
      <w:r>
        <w:rPr>
          <w:rFonts w:ascii="Yu Gothic" w:cs="Yu Gothic" w:eastAsia="Yu Gothic" w:hAnsi="Yu Gothic"/>
          <w:b w:val="false"/>
          <w:bCs w:val="false"/>
          <w:i w:val="false"/>
          <w:iCs w:val="false"/>
          <w:color w:val="1F2A37"/>
          <w:sz w:val="21"/>
          <w:szCs w:val="21"/>
        </w:rPr>
        <w:t xml:space="preserve">案件ごとの恣意・贔屓が疑われにくく、これはむしろ公正さ(optics)にプラスに働く。</w:t>
      </w:r>
    </w:p>
    <w:p>
      <w:pPr>
        <w:spacing w:after="80" w:line="288"/>
        <w:ind w:left="460" w:hanging="240"/>
      </w:pPr>
      <w:r>
        <w:rPr>
          <w:rFonts w:ascii="Yu Gothic" w:cs="Yu Gothic" w:eastAsia="Yu Gothic" w:hAnsi="Yu Gothic"/>
          <w:b/>
          <w:bCs/>
          <w:i w:val="false"/>
          <w:iCs w:val="false"/>
          <w:color w:val="2F5C93"/>
          <w:sz w:val="21"/>
          <w:szCs w:val="21"/>
        </w:rPr>
        <w:t xml:space="preserve">•  </w:t>
      </w:r>
      <w:r>
        <w:rPr>
          <w:rFonts w:ascii="Yu Gothic" w:cs="Yu Gothic" w:eastAsia="Yu Gothic" w:hAnsi="Yu Gothic"/>
          <w:b/>
          <w:bCs/>
          <w:i w:val="false"/>
          <w:iCs w:val="false"/>
          <w:color w:val="1F2A37"/>
          <w:sz w:val="21"/>
          <w:szCs w:val="21"/>
        </w:rPr>
        <w:t xml:space="preserve">初動の網羅性: </w:t>
      </w:r>
      <w:r>
        <w:rPr>
          <w:rFonts w:ascii="Yu Gothic" w:cs="Yu Gothic" w:eastAsia="Yu Gothic" w:hAnsi="Yu Gothic"/>
          <w:b w:val="false"/>
          <w:bCs w:val="false"/>
          <w:i w:val="false"/>
          <w:iCs w:val="false"/>
          <w:color w:val="1F2A37"/>
          <w:sz w:val="21"/>
          <w:szCs w:val="21"/>
        </w:rPr>
        <w:t xml:space="preserve">フレームワークを機械的に参照するため、論点の洗い出しに漏れが生じにくい。</w:t>
      </w:r>
    </w:p>
    <w:p>
      <w:pPr>
        <w:spacing w:after="120" w:before="60" w:line="288"/>
      </w:pPr>
      <w:r>
        <w:rPr>
          <w:rFonts w:ascii="Yu Gothic" w:cs="Yu Gothic" w:eastAsia="Yu Gothic" w:hAnsi="Yu Gothic"/>
          <w:b w:val="false"/>
          <w:bCs w:val="false"/>
          <w:i w:val="false"/>
          <w:iCs w:val="false"/>
          <w:color w:val="1F2A37"/>
          <w:sz w:val="21"/>
          <w:szCs w:val="21"/>
        </w:rPr>
        <w:t xml:space="preserve">ただしこの体制は、人間の役割を</w:t>
      </w:r>
      <w:r>
        <w:rPr>
          <w:rFonts w:ascii="Yu Gothic" w:cs="Yu Gothic" w:eastAsia="Yu Gothic" w:hAnsi="Yu Gothic"/>
          <w:b/>
          <w:bCs/>
          <w:i w:val="false"/>
          <w:iCs w:val="false"/>
          <w:color w:val="1F2A37"/>
          <w:sz w:val="21"/>
          <w:szCs w:val="21"/>
        </w:rPr>
        <w:t xml:space="preserve">「量の確認」から「深さ=検証可能性(reviewability)の担保」へと再定義する</w:t>
      </w:r>
      <w:r>
        <w:rPr>
          <w:rFonts w:ascii="Yu Gothic" w:cs="Yu Gothic" w:eastAsia="Yu Gothic" w:hAnsi="Yu Gothic"/>
          <w:b w:val="false"/>
          <w:bCs w:val="false"/>
          <w:i w:val="false"/>
          <w:iCs w:val="false"/>
          <w:color w:val="1F2A37"/>
          <w:sz w:val="21"/>
          <w:szCs w:val="21"/>
        </w:rPr>
        <w:t xml:space="preserve">ことを前提とする。詳細は第5章で問題提起として述べる。</w:t>
      </w:r>
    </w:p>
    <w:p>
      <w:pPr>
        <w:pStyle w:val="Heading1"/>
        <w:pBdr>
          <w:bottom w:val="single" w:color="1B3A5B" w:sz="12" w:space="6"/>
        </w:pBdr>
        <w:spacing w:after="140" w:before="320"/>
      </w:pPr>
      <w:r>
        <w:rPr>
          <w:rFonts w:ascii="Yu Gothic" w:cs="Yu Gothic" w:eastAsia="Yu Gothic" w:hAnsi="Yu Gothic"/>
          <w:b/>
          <w:bCs/>
          <w:i w:val="false"/>
          <w:iCs w:val="false"/>
          <w:color w:val="2F5C93"/>
          <w:sz w:val="26"/>
          <w:szCs w:val="26"/>
        </w:rPr>
        <w:t xml:space="preserve">5  </w:t>
      </w:r>
      <w:r>
        <w:rPr>
          <w:rFonts w:ascii="Yu Gothic" w:cs="Yu Gothic" w:eastAsia="Yu Gothic" w:hAnsi="Yu Gothic"/>
          <w:b/>
          <w:bCs/>
          <w:i w:val="false"/>
          <w:iCs w:val="false"/>
          <w:color w:val="1B3A5B"/>
          <w:sz w:val="26"/>
          <w:szCs w:val="26"/>
        </w:rPr>
        <w:t xml:space="preserve">問題提起 ── AIエージェント事務局の有用性・限界・内在リスク</w:t>
      </w:r>
    </w:p>
    <w:p>
      <w:pPr>
        <w:spacing w:after="120" w:before="0" w:line="288"/>
      </w:pPr>
      <w:r>
        <w:rPr>
          <w:rFonts w:ascii="Yu Gothic" w:cs="Yu Gothic" w:eastAsia="Yu Gothic" w:hAnsi="Yu Gothic"/>
          <w:b w:val="false"/>
          <w:bCs w:val="false"/>
          <w:i w:val="false"/>
          <w:iCs w:val="false"/>
          <w:color w:val="1F2A37"/>
          <w:sz w:val="21"/>
          <w:szCs w:val="21"/>
        </w:rPr>
        <w:t xml:space="preserve">以下は導入を止めるための論点ではなく、</w:t>
      </w:r>
      <w:r>
        <w:rPr>
          <w:rFonts w:ascii="Yu Gothic" w:cs="Yu Gothic" w:eastAsia="Yu Gothic" w:hAnsi="Yu Gothic"/>
          <w:b/>
          <w:bCs/>
          <w:i w:val="false"/>
          <w:iCs w:val="false"/>
          <w:color w:val="1F2A37"/>
          <w:sz w:val="21"/>
          <w:szCs w:val="21"/>
        </w:rPr>
        <w:t xml:space="preserve">導入を成功させるために、あらかじめ設計へ織り込むべき論点</w:t>
      </w:r>
      <w:r>
        <w:rPr>
          <w:rFonts w:ascii="Yu Gothic" w:cs="Yu Gothic" w:eastAsia="Yu Gothic" w:hAnsi="Yu Gothic"/>
          <w:b w:val="false"/>
          <w:bCs w:val="false"/>
          <w:i w:val="false"/>
          <w:iCs w:val="false"/>
          <w:color w:val="1F2A37"/>
          <w:sz w:val="21"/>
          <w:szCs w:val="21"/>
        </w:rPr>
        <w:t xml:space="preserve">である。AIエージェントの有用性は前章のとおりだが、それと表裏の限界とリスクを直視しておく。</w:t>
      </w:r>
    </w:p>
    <w:p>
      <w:pPr>
        <w:spacing w:after="6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67100"/>
                    </a:xfrm>
                    <a:prstGeom prst="rect">
                      <a:avLst/>
                    </a:prstGeom>
                  </pic:spPr>
                </pic:pic>
              </a:graphicData>
            </a:graphic>
          </wp:inline>
        </w:drawing>
      </w:r>
    </w:p>
    <w:p>
      <w:pPr>
        <w:spacing w:after="160"/>
        <w:jc w:val="center"/>
      </w:pPr>
      <w:r>
        <w:rPr>
          <w:rFonts w:ascii="Yu Gothic" w:cs="Yu Gothic" w:eastAsia="Yu Gothic" w:hAnsi="Yu Gothic"/>
          <w:b w:val="false"/>
          <w:bCs w:val="false"/>
          <w:i/>
          <w:iCs/>
          <w:color w:val="5B6470"/>
          <w:sz w:val="18"/>
          <w:szCs w:val="18"/>
        </w:rPr>
        <w:t xml:space="preserve">図2: AIエージェント層の有用性と、人間監督が捕捉すべき失敗・緩和策</w:t>
      </w:r>
    </w:p>
    <w:p>
      <w:pPr>
        <w:pStyle w:val="Heading2"/>
        <w:spacing w:after="100" w:before="220"/>
      </w:pPr>
      <w:r>
        <w:rPr>
          <w:rFonts w:ascii="Yu Gothic" w:cs="Yu Gothic" w:eastAsia="Yu Gothic" w:hAnsi="Yu Gothic"/>
          <w:b/>
          <w:bCs/>
          <w:i w:val="false"/>
          <w:iCs w:val="false"/>
          <w:color w:val="2F5C93"/>
          <w:sz w:val="22"/>
          <w:szCs w:val="22"/>
        </w:rPr>
        <w:t xml:space="preserve">5.1 有用性の要約</w:t>
      </w:r>
    </w:p>
    <w:p>
      <w:pPr>
        <w:spacing w:after="120" w:before="0" w:line="288"/>
      </w:pPr>
      <w:r>
        <w:rPr>
          <w:rFonts w:ascii="Yu Gothic" w:cs="Yu Gothic" w:eastAsia="Yu Gothic" w:hAnsi="Yu Gothic"/>
          <w:b w:val="false"/>
          <w:bCs w:val="false"/>
          <w:i w:val="false"/>
          <w:iCs w:val="false"/>
          <w:color w:val="1F2A37"/>
          <w:sz w:val="21"/>
          <w:szCs w:val="21"/>
        </w:rPr>
        <w:t xml:space="preserve">速度(会議・人手に律速されない)、一貫性(恣意の排除)、初動の網羅性(フレームワーク参照)。これらは第1章の問題P1〜P4の解消を、人的キャパシティの制約なしに実現するための前提となる。</w:t>
      </w:r>
    </w:p>
    <w:p>
      <w:pPr>
        <w:pStyle w:val="Heading2"/>
        <w:spacing w:after="100" w:before="220"/>
      </w:pPr>
      <w:r>
        <w:rPr>
          <w:rFonts w:ascii="Yu Gothic" w:cs="Yu Gothic" w:eastAsia="Yu Gothic" w:hAnsi="Yu Gothic"/>
          <w:b/>
          <w:bCs/>
          <w:i w:val="false"/>
          <w:iCs w:val="false"/>
          <w:color w:val="2F5C93"/>
          <w:sz w:val="22"/>
          <w:szCs w:val="22"/>
        </w:rPr>
        <w:t xml:space="preserve">5.2 限界と内在リスク</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2500"/>
        <w:gridCol w:w="3763"/>
        <w:gridCol w:w="2763"/>
      </w:tblGrid>
      <w:tr>
        <w:tc>
          <w:tcPr>
            <w:tcW w:type="dxa" w:w="2500"/>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リスク</w:t>
            </w:r>
          </w:p>
        </w:tc>
        <w:tc>
          <w:tcPr>
            <w:tcW w:type="dxa" w:w="3763"/>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内容</w:t>
            </w:r>
          </w:p>
        </w:tc>
        <w:tc>
          <w:tcPr>
            <w:tcW w:type="dxa" w:w="2763"/>
            <w:shd w:fill="1B3A5B" w:color="auto" w:val="clear"/>
            <w:tcMar>
              <w:top w:type="dxa" w:w="70"/>
              <w:left w:type="dxa" w:w="110"/>
              <w:bottom w:type="dxa" w:w="70"/>
              <w:right w:type="dxa" w:w="110"/>
            </w:tcMar>
            <w:vAlign w:val="center"/>
          </w:tcPr>
          <w:p>
            <w:pPr>
              <w:spacing w:after="0" w:before="0" w:line="264"/>
            </w:pPr>
            <w:r>
              <w:rPr>
                <w:rFonts w:ascii="Yu Gothic" w:cs="Yu Gothic" w:eastAsia="Yu Gothic" w:hAnsi="Yu Gothic"/>
                <w:b/>
                <w:bCs/>
                <w:i w:val="false"/>
                <w:iCs w:val="false"/>
                <w:color w:val="FFFFFF"/>
                <w:sz w:val="20"/>
                <w:szCs w:val="20"/>
              </w:rPr>
              <w:t xml:space="preserve">緩和策</w:t>
            </w:r>
          </w:p>
        </w:tc>
      </w:tr>
      <w:tr>
        <w:tc>
          <w:tcPr>
            <w:tcW w:type="dxa" w:w="25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19"/>
                <w:szCs w:val="19"/>
              </w:rPr>
              <w:t xml:space="preserve">R1 裁量の上流移動</w:t>
            </w:r>
          </w:p>
        </w:tc>
        <w:tc>
          <w:tcPr>
            <w:tcW w:type="dxa" w:w="37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二者体制は外形上の裁量を中立化するが、真の裁量はエージェントの設定(ルール・閾値・プロンプト)へ移る。「AIが判定した」が正統性の“ロンダリング”になりうる。</w:t>
            </w:r>
          </w:p>
        </w:tc>
        <w:tc>
          <w:tcPr>
            <w:tcW w:type="dxa" w:w="27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設定の所有を二者+委員会の承認事項とし、変更を可視化する</w:t>
            </w:r>
          </w:p>
        </w:tc>
      </w:tr>
      <w:tr>
        <w:tc>
          <w:tcPr>
            <w:tcW w:type="dxa" w:w="25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19"/>
                <w:szCs w:val="19"/>
              </w:rPr>
              <w:t xml:space="preserve">R2 除外の非検知</w:t>
            </w:r>
          </w:p>
        </w:tc>
        <w:tc>
          <w:tcPr>
            <w:tcW w:type="dxa" w:w="37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エージェントの失敗は流暢で完結して見える出力に宿る。「明らかな誤り」を探す軽いレビューは、抜け落ちた論点を通してしまう(論点7型の漏れ)。</w:t>
            </w:r>
          </w:p>
        </w:tc>
        <w:tc>
          <w:tcPr>
            <w:tcW w:type="dxa" w:w="27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「検討したが落としたもの／なぜ立てなかったか」の開示を必須化し、人間レビューを網羅性の敵対的検証に校正</w:t>
            </w:r>
          </w:p>
        </w:tc>
      </w:tr>
      <w:tr>
        <w:tc>
          <w:tcPr>
            <w:tcW w:type="dxa" w:w="2500"/>
            <w:tcMar>
              <w:top w:type="dxa" w:w="70"/>
              <w:left w:type="dxa" w:w="110"/>
              <w:bottom w:type="dxa" w:w="70"/>
              <w:right w:type="dxa" w:w="110"/>
            </w:tcMar>
            <w:vAlign w:val="center"/>
          </w:tcPr>
          <w:p>
            <w:pPr>
              <w:spacing w:after="0" w:before="0" w:line="268"/>
            </w:pPr>
            <w:r>
              <w:rPr>
                <w:rFonts w:ascii="Yu Gothic" w:cs="Yu Gothic" w:eastAsia="Yu Gothic" w:hAnsi="Yu Gothic"/>
                <w:b/>
                <w:bCs/>
                <w:i w:val="false"/>
                <w:iCs w:val="false"/>
                <w:color w:val="B23A2E"/>
                <w:sz w:val="19"/>
                <w:szCs w:val="19"/>
              </w:rPr>
              <w:t xml:space="preserve">R3 誤トリアージの不可視</w:t>
            </w:r>
          </w:p>
        </w:tc>
        <w:tc>
          <w:tcPr>
            <w:tcW w:type="dxa" w:w="37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外部性の高い案件が軽レーンへ誤送されると、その案件は誰の目にも触れないまま通過する。最も結果が重く、最も観測されない誤差。</w:t>
            </w:r>
          </w:p>
        </w:tc>
        <w:tc>
          <w:tcPr>
            <w:tcW w:type="dxa" w:w="2763"/>
            <w:tcMar>
              <w:top w:type="dxa" w:w="70"/>
              <w:left w:type="dxa" w:w="110"/>
              <w:bottom w:type="dxa" w:w="70"/>
              <w:right w:type="dxa" w:w="110"/>
            </w:tcMar>
            <w:vAlign w:val="center"/>
          </w:tcPr>
          <w:p>
            <w:pPr>
              <w:spacing w:after="0" w:before="0" w:line="268"/>
            </w:pPr>
            <w:r>
              <w:rPr>
                <w:rFonts w:ascii="Yu Gothic" w:cs="Yu Gothic" w:eastAsia="Yu Gothic" w:hAnsi="Yu Gothic"/>
                <w:b w:val="false"/>
                <w:bCs w:val="false"/>
                <w:i w:val="false"/>
                <w:iCs w:val="false"/>
                <w:color w:val="1F2A37"/>
                <w:sz w:val="19"/>
                <w:szCs w:val="19"/>
              </w:rPr>
              <w:t xml:space="preserve">軽レーンのサンプリング監査、または起案者による安価な異議申立て経路</w:t>
            </w:r>
          </w:p>
        </w:tc>
      </w:tr>
    </w:tbl>
    <w:p>
      <w:pPr>
        <w:pBdr>
          <w:left w:val="single" w:color="B23A2E" w:sz="20" w:space="12"/>
        </w:pBdr>
        <w:shd w:fill="F7F9FC" w:color="auto" w:val="clear"/>
        <w:spacing w:after="140" w:before="60" w:line="276"/>
        <w:ind w:left="200" w:right="120"/>
      </w:pPr>
      <w:r>
        <w:rPr>
          <w:rFonts w:ascii="Yu Gothic" w:cs="Yu Gothic" w:eastAsia="Yu Gothic" w:hAnsi="Yu Gothic"/>
          <w:b/>
          <w:bCs/>
          <w:i w:val="false"/>
          <w:iCs w:val="false"/>
          <w:color w:val="B23A2E"/>
          <w:sz w:val="21"/>
          <w:szCs w:val="21"/>
        </w:rPr>
        <w:t xml:space="preserve">誤差の非対称性:  </w:t>
      </w:r>
      <w:r>
        <w:rPr>
          <w:rFonts w:ascii="Yu Gothic" w:cs="Yu Gothic" w:eastAsia="Yu Gothic" w:hAnsi="Yu Gothic"/>
          <w:b w:val="false"/>
          <w:bCs w:val="false"/>
          <w:i w:val="false"/>
          <w:iCs w:val="false"/>
          <w:color w:val="1F2A37"/>
          <w:sz w:val="20"/>
          <w:szCs w:val="20"/>
        </w:rPr>
        <w:t xml:space="preserve">人間の誤りはランダムで、だからこそ捕まる。エージェントの誤りは相関する ── 同じ盲点で毎回同じように間違え、しかも見えない。一貫性は利点だが、その裏面として系統誤差は系統的に不可視になる。したがって「エージェントが正しく機能しているか」の確認は、案件ごとのレビューの傍らで済ませるものではなく、決定パターンを定期的に棚卸しし再較正する“メタ監査”として、明示の工程に乗せる必要がある。</w:t>
      </w:r>
    </w:p>
    <w:p>
      <w:pPr>
        <w:pStyle w:val="Heading2"/>
        <w:spacing w:after="100" w:before="220"/>
      </w:pPr>
      <w:r>
        <w:rPr>
          <w:rFonts w:ascii="Yu Gothic" w:cs="Yu Gothic" w:eastAsia="Yu Gothic" w:hAnsi="Yu Gothic"/>
          <w:b/>
          <w:bCs/>
          <w:i w:val="false"/>
          <w:iCs w:val="false"/>
          <w:color w:val="2F5C93"/>
          <w:sz w:val="22"/>
          <w:szCs w:val="22"/>
        </w:rPr>
        <w:t xml:space="preserve">5.3 意思決定を要する未解決の設計論点</w:t>
      </w:r>
    </w:p>
    <w:p>
      <w:pPr>
        <w:spacing w:after="120" w:before="0" w:line="288"/>
      </w:pPr>
      <w:r>
        <w:rPr>
          <w:rFonts w:ascii="Yu Gothic" w:cs="Yu Gothic" w:eastAsia="Yu Gothic" w:hAnsi="Yu Gothic"/>
          <w:b w:val="false"/>
          <w:bCs w:val="false"/>
          <w:i w:val="false"/>
          <w:iCs w:val="false"/>
          <w:color w:val="1F2A37"/>
          <w:sz w:val="21"/>
          <w:szCs w:val="21"/>
        </w:rPr>
        <w:t xml:space="preserve">本モデルを「なぜ納得すべきか」を理屈ではなく構造で示せる状態にするため、導入前に次の2点を確定させる必要がある。</w:t>
      </w:r>
    </w:p>
    <w:p>
      <w:pPr>
        <w:spacing w:after="80" w:line="288"/>
        <w:ind w:left="500" w:hanging="280"/>
      </w:pPr>
      <w:r>
        <w:rPr>
          <w:rFonts w:ascii="Yu Gothic" w:cs="Yu Gothic" w:eastAsia="Yu Gothic" w:hAnsi="Yu Gothic"/>
          <w:b/>
          <w:bCs/>
          <w:i w:val="false"/>
          <w:iCs w:val="false"/>
          <w:color w:val="2F5C93"/>
          <w:sz w:val="21"/>
          <w:szCs w:val="21"/>
        </w:rPr>
        <w:t xml:space="preserve">Q1. </w:t>
      </w:r>
      <w:r>
        <w:rPr>
          <w:rFonts w:ascii="Yu Gothic" w:cs="Yu Gothic" w:eastAsia="Yu Gothic" w:hAnsi="Yu Gothic"/>
          <w:b/>
          <w:bCs/>
          <w:i w:val="false"/>
          <w:iCs w:val="false"/>
          <w:color w:val="1F2A37"/>
          <w:sz w:val="21"/>
          <w:szCs w:val="21"/>
        </w:rPr>
        <w:t xml:space="preserve">設定の所有: </w:t>
      </w:r>
      <w:r>
        <w:rPr>
          <w:rFonts w:ascii="Yu Gothic" w:cs="Yu Gothic" w:eastAsia="Yu Gothic" w:hAnsi="Yu Gothic"/>
          <w:b w:val="false"/>
          <w:bCs w:val="false"/>
          <w:i w:val="false"/>
          <w:iCs w:val="false"/>
          <w:color w:val="1F2A37"/>
          <w:sz w:val="21"/>
          <w:szCs w:val="21"/>
        </w:rPr>
        <w:t xml:space="preserve">エージェントの設定(ルール・閾値・プロンプト)を誰が所有し、その変更に誰の承認を要するか。ここが未定義であれば、二者体制は“見えている裁量”を中立化しただけで、“見えない裁量”はなお特定主体の手に残る。</w:t>
      </w:r>
    </w:p>
    <w:p>
      <w:pPr>
        <w:spacing w:after="140" w:line="288"/>
        <w:ind w:left="500" w:hanging="280"/>
      </w:pPr>
      <w:r>
        <w:rPr>
          <w:rFonts w:ascii="Yu Gothic" w:cs="Yu Gothic" w:eastAsia="Yu Gothic" w:hAnsi="Yu Gothic"/>
          <w:b/>
          <w:bCs/>
          <w:i w:val="false"/>
          <w:iCs w:val="false"/>
          <w:color w:val="2F5C93"/>
          <w:sz w:val="21"/>
          <w:szCs w:val="21"/>
        </w:rPr>
        <w:t xml:space="preserve">Q2. </w:t>
      </w:r>
      <w:r>
        <w:rPr>
          <w:rFonts w:ascii="Yu Gothic" w:cs="Yu Gothic" w:eastAsia="Yu Gothic" w:hAnsi="Yu Gothic"/>
          <w:b/>
          <w:bCs/>
          <w:i w:val="false"/>
          <w:iCs w:val="false"/>
          <w:color w:val="1F2A37"/>
          <w:sz w:val="21"/>
          <w:szCs w:val="21"/>
        </w:rPr>
        <w:t xml:space="preserve">軽レーンの監査: </w:t>
      </w:r>
      <w:r>
        <w:rPr>
          <w:rFonts w:ascii="Yu Gothic" w:cs="Yu Gothic" w:eastAsia="Yu Gothic" w:hAnsi="Yu Gothic"/>
          <w:b w:val="false"/>
          <w:bCs w:val="false"/>
          <w:i w:val="false"/>
          <w:iCs w:val="false"/>
          <w:color w:val="1F2A37"/>
          <w:sz w:val="21"/>
          <w:szCs w:val="21"/>
        </w:rPr>
        <w:t xml:space="preserve">トリアージで軽レーンへ振り分けた案件を、どうサンプリング監査するか、または起案者の異議申立てをどう制度化するか。</w:t>
      </w:r>
    </w:p>
    <w:p>
      <w:pPr>
        <w:pStyle w:val="Heading1"/>
        <w:pBdr>
          <w:bottom w:val="single" w:color="1B3A5B" w:sz="12" w:space="6"/>
        </w:pBdr>
        <w:spacing w:after="140" w:before="320"/>
      </w:pPr>
      <w:r>
        <w:rPr>
          <w:rFonts w:ascii="Yu Gothic" w:cs="Yu Gothic" w:eastAsia="Yu Gothic" w:hAnsi="Yu Gothic"/>
          <w:b/>
          <w:bCs/>
          <w:i w:val="false"/>
          <w:iCs w:val="false"/>
          <w:color w:val="2F5C93"/>
          <w:sz w:val="26"/>
          <w:szCs w:val="26"/>
        </w:rPr>
        <w:t xml:space="preserve">6  </w:t>
      </w:r>
      <w:r>
        <w:rPr>
          <w:rFonts w:ascii="Yu Gothic" w:cs="Yu Gothic" w:eastAsia="Yu Gothic" w:hAnsi="Yu Gothic"/>
          <w:b/>
          <w:bCs/>
          <w:i w:val="false"/>
          <w:iCs w:val="false"/>
          <w:color w:val="1B3A5B"/>
          <w:sz w:val="26"/>
          <w:szCs w:val="26"/>
        </w:rPr>
        <w:t xml:space="preserve">結び</w:t>
      </w:r>
    </w:p>
    <w:p>
      <w:pPr>
        <w:spacing w:after="120" w:before="0" w:line="288"/>
      </w:pPr>
      <w:r>
        <w:rPr>
          <w:rFonts w:ascii="Yu Gothic" w:cs="Yu Gothic" w:eastAsia="Yu Gothic" w:hAnsi="Yu Gothic"/>
          <w:b w:val="false"/>
          <w:bCs w:val="false"/>
          <w:i w:val="false"/>
          <w:iCs w:val="false"/>
          <w:color w:val="1F2A37"/>
          <w:sz w:val="21"/>
          <w:szCs w:val="21"/>
        </w:rPr>
        <w:t xml:space="preserve">現行がこれほど機能不全である以上、本提案がもたらすトレードオフは概ねポジティブと考えられる。速度・負荷・承認後の伴走・事務局の外形的公正さは、本モデルで構造的に解ける。</w:t>
      </w:r>
    </w:p>
    <w:p>
      <w:pPr>
        <w:spacing w:after="120" w:before="0" w:line="288"/>
      </w:pPr>
      <w:r>
        <w:rPr>
          <w:rFonts w:ascii="Yu Gothic" w:cs="Yu Gothic" w:eastAsia="Yu Gothic" w:hAnsi="Yu Gothic"/>
          <w:b w:val="false"/>
          <w:bCs w:val="false"/>
          <w:i w:val="false"/>
          <w:iCs w:val="false"/>
          <w:color w:val="1F2A37"/>
          <w:sz w:val="21"/>
          <w:szCs w:val="21"/>
        </w:rPr>
        <w:t xml:space="preserve">残る主眼は、</w:t>
      </w:r>
      <w:r>
        <w:rPr>
          <w:rFonts w:ascii="Yu Gothic" w:cs="Yu Gothic" w:eastAsia="Yu Gothic" w:hAnsi="Yu Gothic"/>
          <w:b/>
          <w:bCs/>
          <w:i w:val="false"/>
          <w:iCs w:val="false"/>
          <w:color w:val="1F2A37"/>
          <w:sz w:val="21"/>
          <w:szCs w:val="21"/>
        </w:rPr>
        <w:t xml:space="preserve">AIエージェント層に集約された裁量と、それに対する人間監督の校正</w:t>
      </w:r>
      <w:r>
        <w:rPr>
          <w:rFonts w:ascii="Yu Gothic" w:cs="Yu Gothic" w:eastAsia="Yu Gothic" w:hAnsi="Yu Gothic"/>
          <w:b w:val="false"/>
          <w:bCs w:val="false"/>
          <w:i w:val="false"/>
          <w:iCs w:val="false"/>
          <w:color w:val="1F2A37"/>
          <w:sz w:val="21"/>
          <w:szCs w:val="21"/>
        </w:rPr>
        <w:t xml:space="preserve">に絞られる。第5章の設計論点(とりわけQ1・Q2)を確定させることが、抜本改革を安全に着地させるための要件である。まずは外部性の明確な旗艦案件から段階的に適用し、CMSに蓄積される実績を根拠に、対象範囲とガバナンスを拡張していくことを推奨する。</w:t>
      </w:r>
    </w:p>
    <w:p>
      <w:r>
        <w:br w:type="page"/>
      </w:r>
    </w:p>
    <w:p>
      <w:pPr>
        <w:pStyle w:val="Heading1"/>
        <w:pBdr>
          <w:bottom w:val="single" w:color="1B3A5B" w:sz="12" w:space="6"/>
        </w:pBdr>
        <w:spacing w:after="140" w:before="320"/>
      </w:pPr>
      <w:r>
        <w:rPr>
          <w:rFonts w:ascii="Yu Gothic" w:cs="Yu Gothic" w:eastAsia="Yu Gothic" w:hAnsi="Yu Gothic"/>
          <w:b/>
          <w:bCs/>
          <w:i w:val="false"/>
          <w:iCs w:val="false"/>
          <w:color w:val="2F5C93"/>
          <w:sz w:val="26"/>
          <w:szCs w:val="26"/>
        </w:rPr>
        <w:t xml:space="preserve">付録  </w:t>
      </w:r>
      <w:r>
        <w:rPr>
          <w:rFonts w:ascii="Yu Gothic" w:cs="Yu Gothic" w:eastAsia="Yu Gothic" w:hAnsi="Yu Gothic"/>
          <w:b/>
          <w:bCs/>
          <w:i w:val="false"/>
          <w:iCs w:val="false"/>
          <w:color w:val="1B3A5B"/>
          <w:sz w:val="26"/>
          <w:szCs w:val="26"/>
        </w:rPr>
        <w:t xml:space="preserve">審議プロセス 詳細シーケンス図</w:t>
      </w:r>
    </w:p>
    <w:p>
      <w:pPr>
        <w:spacing w:after="120" w:before="0" w:line="288"/>
      </w:pPr>
      <w:r>
        <w:rPr>
          <w:rFonts w:ascii="Yu Gothic" w:cs="Yu Gothic" w:eastAsia="Yu Gothic" w:hAnsi="Yu Gothic"/>
          <w:b w:val="false"/>
          <w:bCs w:val="false"/>
          <w:i w:val="false"/>
          <w:iCs w:val="false"/>
          <w:color w:val="1F2A37"/>
          <w:sz w:val="20"/>
          <w:szCs w:val="20"/>
        </w:rPr>
        <w:t xml:space="preserve">Step1〜Step4の全メッセージフローを示す。各主体(起案者・事務局・投資委員会メンバー・PPM)とCMSの間の登録・通知・確認の往復、および今回追加した「回答書の内容確認ゲート(Step2)」と「PPMによる承認後の伴走・エスカレーション(Step4)」を含む。高解像度版は別添のレンダリング画像・Markdownファイルを参照のこと。</w:t>
      </w:r>
    </w:p>
    <w:p>
      <w:pPr>
        <w:spacing w:after="60" w:before="60"/>
        <w:jc w:val="center"/>
      </w:pPr>
      <w:r>
        <w:drawing>
          <wp:inline distT="0" distB="0" distL="0" distR="0">
            <wp:extent cx="3048000" cy="902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9029700"/>
                    </a:xfrm>
                    <a:prstGeom prst="rect">
                      <a:avLst/>
                    </a:prstGeom>
                  </pic:spPr>
                </pic:pic>
              </a:graphicData>
            </a:graphic>
          </wp:inline>
        </w:drawing>
      </w:r>
    </w:p>
    <w:p>
      <w:pPr>
        <w:spacing w:after="160"/>
        <w:jc w:val="center"/>
      </w:pPr>
      <w:r>
        <w:rPr>
          <w:rFonts w:ascii="Yu Gothic" w:cs="Yu Gothic" w:eastAsia="Yu Gothic" w:hAnsi="Yu Gothic"/>
          <w:b w:val="false"/>
          <w:bCs w:val="false"/>
          <w:i/>
          <w:iCs/>
          <w:color w:val="5B6470"/>
          <w:sz w:val="18"/>
          <w:szCs w:val="18"/>
        </w:rPr>
        <w:t xml:space="preserve">図3: 投資委員会 審議プロセス(Step1〜Step4)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Yu Gothic" w:cs="Yu Gothic" w:eastAsia="Yu Gothic" w:hAnsi="Yu Gothic"/>
      <w:b/>
      <w:bCs/>
      <w:color w:val="1B3A5B"/>
      <w:sz w:val="26"/>
      <w:szCs w:val="26"/>
    </w:rPr>
  </w:style>
  <w:style w:type="paragraph" w:styleId="Heading2">
    <w:name w:val="Heading 2"/>
    <w:basedOn w:val="Normal"/>
    <w:next w:val="Normal"/>
    <w:qFormat/>
    <w:rPr>
      <w:rFonts w:ascii="Yu Gothic" w:cs="Yu Gothic" w:eastAsia="Yu Gothic" w:hAnsi="Yu Gothic"/>
      <w:b/>
      <w:bCs/>
      <w:color w:val="2F5C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32dd862a155fe3a9f49e2a8d62221cca7c44ca.png"/><Relationship Id="rId8" Type="http://schemas.openxmlformats.org/officeDocument/2006/relationships/image" Target="media/99599abacd8a024366331624f70a2233c8a8b9d1.png"/><Relationship Id="rId9" Type="http://schemas.openxmlformats.org/officeDocument/2006/relationships/image" Target="media/a1a2ca713f897b2571556d4aee1b161e8b0470f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投資委員会プロセス改善企画</dc:title>
  <dc:creator>投資委員会 事務局</dc:creator>
  <cp:lastModifiedBy>Un-named</cp:lastModifiedBy>
  <cp:revision>1</cp:revision>
  <dcterms:created xsi:type="dcterms:W3CDTF">2026-07-17T00:11:16.601Z</dcterms:created>
  <dcterms:modified xsi:type="dcterms:W3CDTF">2026-07-17T00:11:16.615Z</dcterms:modified>
</cp:coreProperties>
</file>

<file path=docProps/custom.xml><?xml version="1.0" encoding="utf-8"?>
<Properties xmlns="http://schemas.openxmlformats.org/officeDocument/2006/custom-properties" xmlns:vt="http://schemas.openxmlformats.org/officeDocument/2006/docPropsVTypes"/>
</file>