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会議体規程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{{DOC_PREFIX}}-R-02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{{POLICY_APPROVER}}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方針（{{DOC_PREFIX}}-R-01）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会議体規程は、会議体ごとの「目的・構成員・権限・付議基準・運営方法」を定める文書（Terms of Reference）。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会議体ごとに同じ項目で書く（第2章の表を会議体の数だけ複製する）。項目をそろえると、会議体の間の権限の重なりや抜けが見える。</w:t>
            </w:r>
          </w:p>
          <w:p>
            <w:pPr>
              <w:spacing w:after="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付議基準の具体的な閾値は運用基準に書き、ここでは「運用基準 第○条に定める案件」と参照する。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本規程は、{{GOV_DOMAIN}} 方針に基づき、{{GOV_DOMAIN}}の会議体の構成、権限および運営について定める。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第2条（会議体の構成）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{{GOV_DOMAIN}}に、次の会議体を置く。{{MEETING_NAMES}}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各会議体の関係は、次のとおりとする。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38"/>
        <w:gridCol w:w="2000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会議体</w:t>
            </w:r>
          </w:p>
        </w:tc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位置づけ</w:t>
            </w:r>
          </w:p>
        </w:tc>
        <w:tc>
          <w:tcPr>
            <w:tcW w:type="dxa" w:w="28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主な決定事項</w:t>
            </w:r>
          </w:p>
        </w:tc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上位の会議体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{{会議体A}}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戦略との接合性の審議}}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{{会議体B}}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計画の審議}}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予算計上、決裁権}}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{{会議体A}}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{{会議体C}}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技術面の補完}}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審議結果のレポート}}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{{会議体B}}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第2章　各会議体</w:t>
      </w:r>
    </w:p>
    <w:p>
      <w:pPr>
        <w:pStyle w:val="Heading2"/>
      </w:pPr>
      <w:r>
        <w:rPr>
          <w:rFonts w:ascii="Yu Gothic" w:eastAsia="Yu Gothic" w:hAnsi="Yu Gothic"/>
        </w:rPr>
        <w:t xml:space="preserve">第3条　{{会議体A}}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議事録を作成し、決定記録（{{DOC_PREFIX}}-F-04）に登録する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第4条　{{会議体B}}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議事録を作成し、決定記録（{{DOC_PREFIX}}-F-04）に登録する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第5条　{{会議体C}}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固定メンバーを置かない会議体（案件ごとに編成するもの）は、「構成員」に任命の方法と任命者を書く。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議事録を作成し、決定記録（{{DOC_PREFIX}}-F-04）に登録する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第3章　事務局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第6条（事務局）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会議体の事務局は、{{SECRETARIAT}}とする。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事務局は、案件の受付、事前チェック、会議の準備と記録、決定の通知を行う。手順は事務局Runbook（{{DOC_PREFIX}}-P-03）に定める。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利害関係の回避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第7条（利害関係者の回避）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構成員は、自らが起案者である案件、または{{利害関係の定義}}のある案件の決議に加わらない。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前項により決議に加われない構成員がいる場合の扱いは、{{ }}とする。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改廃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第8条（改廃）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本規程の改廃は、{{POLICY_APPROVER}}の承認を得て行う。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本規程は、{{EFFECTIVE_DATE}}から施行する。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{{DOC_PREFIX}}-R-02　{{GOV_DOMAIN}} 会議体規程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{{GOV_DOMAIN}} 会議体規程</dc:title>
  <dc:creator>{{OWNER_DEPT}}</dc:creator>
  <cp:lastModifiedBy>Un-named</cp:lastModifiedBy>
  <cp:revision>1</cp:revision>
  <dcterms:created xsi:type="dcterms:W3CDTF">2026-09-29T22:32:16.438Z</dcterms:created>
  <dcterms:modified xsi:type="dcterms:W3CDTF">2026-09-29T22:32:16.438Z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