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rFonts w:ascii="Yu Gothic" w:eastAsia="Yu Gothic" w:hAnsi="Yu Gothic"/>
          <w:b/>
          <w:bCs/>
          <w:color w:val="1C2B45"/>
          <w:sz w:val="36"/>
          <w:szCs w:val="36"/>
        </w:rPr>
        <w:t xml:space="preserve">{{GOV_DOMAIN}} 運用基準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文書番号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{{DOC_PREFIX}}-R-03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版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所管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{{OWNER_DEPT}}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承認者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{{STANDARD_APPROVER}}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制定日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YYYY-MM-DD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最終改訂日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YYYY-MM-DD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施行日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{{EFFECTIVE_DATE}}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上位文書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{{GOV_DOMAIN}} 会議体規程（{{DOC_PREFIX}}-R-02）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見直し周期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{{REVIEW_CYCLE}}</w:t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5E7391" w:sz="6"/>
              <w:left w:val="single" w:color="5E7391" w:sz="6"/>
              <w:bottom w:val="single" w:color="5E7391" w:sz="6"/>
              <w:right w:val="single" w:color="5E7391" w:sz="6"/>
            </w:tcBorders>
            <w:shd w:fill="EAF1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300"/>
            </w:pPr>
            <w:r>
              <w:rPr>
                <w:rFonts w:ascii="Yu Gothic" w:eastAsia="Yu Gothic" w:hAnsi="Yu Gothic"/>
                <w:b/>
                <w:bCs/>
                <w:color w:val="5E7391"/>
                <w:sz w:val="19"/>
                <w:szCs w:val="19"/>
              </w:rPr>
              <w:t xml:space="preserve">📝 記入ガイド: </w:t>
            </w:r>
            <w:r>
              <w:rPr>
                <w:rFonts w:ascii="Yu Gothic" w:eastAsia="Yu Gothic" w:hAnsi="Yu Gothic"/>
                <w:color w:val="333F50"/>
                <w:sz w:val="19"/>
                <w:szCs w:val="19"/>
              </w:rPr>
              <w:t xml:space="preserve">運用基準は、会議体規程を運用するための具体的な判定基準・閾値・区分・提出要件を定める文書。Runbook・FAQ・起案者ガイドは、ここの条文番号を参照する。</w:t>
            </w:r>
          </w:p>
          <w:p>
            <w:pPr>
              <w:spacing w:after="60" w:line="300"/>
            </w:pPr>
            <w:r>
              <w:rPr>
                <w:rFonts w:ascii="Yu Gothic" w:eastAsia="Yu Gothic" w:hAnsi="Yu Gothic"/>
                <w:color w:val="333F50"/>
                <w:sz w:val="19"/>
                <w:szCs w:val="19"/>
              </w:rPr>
              <w:t xml:space="preserve">判定は「条件 → 結果」の表で書く。文章で書くと、条件の組み合わせで解釈が分かれる。</w:t>
            </w:r>
          </w:p>
          <w:p>
            <w:pPr>
              <w:spacing w:after="0" w:line="300"/>
            </w:pPr>
            <w:r>
              <w:rPr>
                <w:rFonts w:ascii="Yu Gothic" w:eastAsia="Yu Gothic" w:hAnsi="Yu Gothic"/>
                <w:color w:val="333F50"/>
                <w:sz w:val="19"/>
                <w:szCs w:val="19"/>
              </w:rPr>
              <w:t xml:space="preserve">未確定の閾値は（TBD: 〜）として残し、決定記録の保留課題に登録する。空欄のまま運用を始めない。</w:t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p>
      <w:pPr>
        <w:pStyle w:val="Heading1"/>
      </w:pPr>
      <w:r>
        <w:rPr>
          <w:rFonts w:ascii="Yu Gothic" w:eastAsia="Yu Gothic" w:hAnsi="Yu Gothic"/>
        </w:rPr>
        <w:t xml:space="preserve">第1章　総則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第1条（目的）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本基準は、{{GOV_DOMAIN}} 会議体規程に基づき、案件の分類、付議の判定、判断区分および提出要件を定める。</w:t>
      </w:r>
    </w:p>
    <w:p>
      <w:pPr>
        <w:pStyle w:val="Heading1"/>
      </w:pPr>
      <w:r>
        <w:rPr>
          <w:rFonts w:ascii="Yu Gothic" w:eastAsia="Yu Gothic" w:hAnsi="Yu Gothic"/>
        </w:rPr>
        <w:t xml:space="preserve">第2章　対象と分類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第2条（対象となる案件）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本基準の対象となる{{SUBJECT_UNIT}}は、{{定義}}とする。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第3条（分類）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案件は、次の区分により分類する。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738"/>
      </w:tblGrid>
      <w:tr>
        <w:trPr>
          <w:tblHeader/>
        </w:trPr>
        <w:tc>
          <w:tcPr>
            <w:tcW w:type="dxa" w:w="22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分類軸</w:t>
            </w:r>
          </w:p>
        </w:tc>
        <w:tc>
          <w:tcPr>
            <w:tcW w:type="dxa" w:w="37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区分</w:t>
            </w:r>
          </w:p>
        </w:tc>
        <w:tc>
          <w:tcPr>
            <w:tcW w:type="dxa" w:w="3738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判定の基準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予算区分}}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投資予算（設備投資・プロジェクト）／経費予算（運用費用）}}</w:t>
            </w:r>
          </w:p>
        </w:tc>
        <w:tc>
          <w:tcPr>
            <w:tcW w:type="dxa" w:w="37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{{判定基準}}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組織}}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予算移管の対象組織／対象外}}</w:t>
            </w:r>
          </w:p>
        </w:tc>
        <w:tc>
          <w:tcPr>
            <w:tcW w:type="dxa" w:w="37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外部性}}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高／低}}</w:t>
            </w:r>
          </w:p>
        </w:tc>
        <w:tc>
          <w:tcPr>
            <w:tcW w:type="dxa" w:w="37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利用者・データ・環境が自部門に閉じるか}}</w:t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第4条（境目の判定）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{{例: 経費予算のうち、次のいずれかに当たるものは投資予算の案件として扱う。契約更新時の条件変更、ベンダー変更、システムのリプレース}}</w:t>
      </w:r>
    </w:p>
    <w:p>
      <w:pPr>
        <w:pStyle w:val="Heading1"/>
      </w:pPr>
      <w:r>
        <w:rPr>
          <w:rFonts w:ascii="Yu Gothic" w:eastAsia="Yu Gothic" w:hAnsi="Yu Gothic"/>
        </w:rPr>
        <w:t xml:space="preserve">第3章　付議の判定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第5条（付議先）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案件の付議先は、次の表により判定する。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3038"/>
      </w:tblGrid>
      <w:tr>
        <w:trPr>
          <w:tblHeader/>
        </w:trPr>
        <w:tc>
          <w:tcPr>
            <w:tcW w:type="dxa" w:w="42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条件</w:t>
            </w:r>
          </w:p>
        </w:tc>
        <w:tc>
          <w:tcPr>
            <w:tcW w:type="dxa" w:w="24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付議先</w:t>
            </w:r>
          </w:p>
        </w:tc>
        <w:tc>
          <w:tcPr>
            <w:tcW w:type="dxa" w:w="3038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備考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{{条件}}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{{会議体}}</w:t>
            </w:r>
          </w:p>
        </w:tc>
        <w:tc>
          <w:tcPr>
            <w:tcW w:type="dxa" w:w="3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{{条件}}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{{会議体}}</w:t>
            </w:r>
          </w:p>
        </w:tc>
        <w:tc>
          <w:tcPr>
            <w:tcW w:type="dxa" w:w="3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第6条（金額の判定）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金額の閾値は{{金額}}とする。（TBD: 閾値の確定。担当: {{ }}、期限: YYYY-MM-DD）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第7条（合算）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1　同一の目的または同一のシステムに関する案件は、合算した金額で判定する。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2　{{合算の対象期間など}}</w:t>
      </w:r>
    </w:p>
    <w:p>
      <w:pPr>
        <w:pStyle w:val="Heading1"/>
      </w:pPr>
      <w:r>
        <w:rPr>
          <w:rFonts w:ascii="Yu Gothic" w:eastAsia="Yu Gothic" w:hAnsi="Yu Gothic"/>
        </w:rPr>
        <w:t xml:space="preserve">第4章　提出要件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第8条（提出情報）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起案者は、審議の段階に応じて次の情報を提出する。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38"/>
        <w:gridCol w:w="2200"/>
      </w:tblGrid>
      <w:tr>
        <w:trPr>
          <w:tblHeader/>
        </w:trPr>
        <w:tc>
          <w:tcPr>
            <w:tcW w:type="dxa" w:w="24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審議の段階</w:t>
            </w:r>
          </w:p>
        </w:tc>
        <w:tc>
          <w:tcPr>
            <w:tcW w:type="dxa" w:w="5038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必須の情報</w:t>
            </w:r>
          </w:p>
        </w:tc>
        <w:tc>
          <w:tcPr>
            <w:tcW w:type="dxa" w:w="22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様式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{{段階1}}</w:t>
            </w:r>
          </w:p>
        </w:tc>
        <w:tc>
          <w:tcPr>
            <w:tcW w:type="dxa" w:w="5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 }}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{{様式番号}}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{{段階2}}</w:t>
            </w:r>
          </w:p>
        </w:tc>
        <w:tc>
          <w:tcPr>
            <w:tcW w:type="dxa" w:w="5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 }}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第9条（不備の扱い）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事務局は、提出情報に不備のある案件を差し戻すことができる。</w:t>
      </w:r>
    </w:p>
    <w:p>
      <w:pPr>
        <w:pStyle w:val="Heading1"/>
      </w:pPr>
      <w:r>
        <w:rPr>
          <w:rFonts w:ascii="Yu Gothic" w:eastAsia="Yu Gothic" w:hAnsi="Yu Gothic"/>
        </w:rPr>
        <w:t xml:space="preserve">第5章　判断区分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第10条（判断区分）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会議体の判断は、次のいずれかとする。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438"/>
      </w:tblGrid>
      <w:tr>
        <w:trPr>
          <w:tblHeader/>
        </w:trPr>
        <w:tc>
          <w:tcPr>
            <w:tcW w:type="dxa" w:w="20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区分</w:t>
            </w:r>
          </w:p>
        </w:tc>
        <w:tc>
          <w:tcPr>
            <w:tcW w:type="dxa" w:w="42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意味</w:t>
            </w:r>
          </w:p>
        </w:tc>
        <w:tc>
          <w:tcPr>
            <w:tcW w:type="dxa" w:w="3438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後続の扱い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承認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 }}</w:t>
            </w:r>
          </w:p>
        </w:tc>
        <w:tc>
          <w:tcPr>
            <w:tcW w:type="dxa" w:w="3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 }}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条件付き承認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 }}</w:t>
            </w:r>
          </w:p>
        </w:tc>
        <w:tc>
          <w:tcPr>
            <w:tcW w:type="dxa" w:w="3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条件の充足を事務局が確認する}}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差し戻し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 }}</w:t>
            </w:r>
          </w:p>
        </w:tc>
        <w:tc>
          <w:tcPr>
            <w:tcW w:type="dxa" w:w="3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再提出を受け付ける}}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否決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 }}</w:t>
            </w:r>
          </w:p>
        </w:tc>
        <w:tc>
          <w:tcPr>
            <w:tcW w:type="dxa" w:w="3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p>
      <w:pPr>
        <w:pStyle w:val="Heading1"/>
      </w:pPr>
      <w:r>
        <w:rPr>
          <w:rFonts w:ascii="Yu Gothic" w:eastAsia="Yu Gothic" w:hAnsi="Yu Gothic"/>
        </w:rPr>
        <w:t xml:space="preserve">第6章　決裁権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第11条（決裁権の配分）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決裁権は、決裁権限表（{{DOC_PREFIX}}-R-04）により配分する。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第12条（委任）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{{委任の条件、委任を受けた者の報告義務}}</w:t>
      </w:r>
    </w:p>
    <w:p>
      <w:pPr>
        <w:pStyle w:val="Heading1"/>
      </w:pPr>
      <w:r>
        <w:rPr>
          <w:rFonts w:ascii="Yu Gothic" w:eastAsia="Yu Gothic" w:hAnsi="Yu Gothic"/>
        </w:rPr>
        <w:t xml:space="preserve">第7章　事後モニタリング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第13条（報告）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{{誰が、いつ、何を報告するか}}</w:t>
      </w:r>
    </w:p>
    <w:p>
      <w:pPr>
        <w:pStyle w:val="Heading1"/>
      </w:pPr>
      <w:r>
        <w:rPr>
          <w:rFonts w:ascii="Yu Gothic" w:eastAsia="Yu Gothic" w:hAnsi="Yu Gothic"/>
        </w:rPr>
        <w:t xml:space="preserve">附則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第14条（施行）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本基準は、{{EFFECTIVE_DATE}}から施行する。</w:t>
      </w:r>
    </w:p>
    <w:p>
      <w:pPr>
        <w:pStyle w:val="Heading1"/>
      </w:pPr>
      <w:r>
        <w:rPr>
          <w:rFonts w:ascii="Yu Gothic" w:eastAsia="Yu Gothic" w:hAnsi="Yu Gothic"/>
        </w:rPr>
        <w:t xml:space="preserve">改訂履歴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4038"/>
        <w:gridCol w:w="1600"/>
        <w:gridCol w:w="1600"/>
      </w:tblGrid>
      <w:tr>
        <w:trPr>
          <w:tblHeader/>
        </w:trPr>
        <w:tc>
          <w:tcPr>
            <w:tcW w:type="dxa" w:w="9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版</w:t>
            </w:r>
          </w:p>
        </w:tc>
        <w:tc>
          <w:tcPr>
            <w:tcW w:type="dxa" w:w="15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日付</w:t>
            </w:r>
          </w:p>
        </w:tc>
        <w:tc>
          <w:tcPr>
            <w:tcW w:type="dxa" w:w="4038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改訂内容</w:t>
            </w:r>
          </w:p>
        </w:tc>
        <w:tc>
          <w:tcPr>
            <w:tcW w:type="dxa" w:w="16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改訂者</w:t>
            </w:r>
          </w:p>
        </w:tc>
        <w:tc>
          <w:tcPr>
            <w:tcW w:type="dxa" w:w="16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承認者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YYYY-MM-DD</w:t>
            </w:r>
          </w:p>
        </w:tc>
        <w:tc>
          <w:tcPr>
            <w:tcW w:type="dxa" w:w="4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制定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eastAsia="Yu Gothic" w:hAnsi="Yu 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eastAsia="Yu Gothic" w:hAnsi="Yu Gothic"/>
        <w:color w:val="888888"/>
        <w:sz w:val="16"/>
        <w:szCs w:val="16"/>
      </w:rPr>
      <w:t xml:space="preserve">{{DOC_PREFIX}}-R-03　{{GOV_DOMAIN}} 運用基準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Yu Gothic" w:eastAsia="Yu Gothic" w:hAnsi="Yu Gothic"/>
      <w:b/>
      <w:bCs/>
      <w:color w:val="1C2B4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Yu Gothic" w:eastAsia="Yu Gothic" w:hAnsi="Yu Gothic"/>
      <w:b/>
      <w:bCs/>
      <w:color w:val="1C2B45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Yu Gothic" w:eastAsia="Yu Gothic" w:hAnsi="Yu Gothic"/>
      <w:b/>
      <w:bCs/>
      <w:color w:val="3F4F6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{{GOV_DOMAIN}} 運用基準</dc:title>
  <dc:creator>{{OWNER_DEPT}}</dc:creator>
  <cp:lastModifiedBy>Un-named</cp:lastModifiedBy>
  <cp:revision>1</cp:revision>
  <dcterms:created xsi:type="dcterms:W3CDTF">2026-09-29T22:32:16.468Z</dcterms:created>
  <dcterms:modified xsi:type="dcterms:W3CDTF">2026-09-29T22:32:16.468Z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