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A5F"/>
          <w:sz w:val="22"/>
        </w:rPr>
        <w:t>VISION UNIVERSITY COLLEGE — DIPLOMA IN OPTICIANRY (MQA/FA 18549)</w:t>
      </w:r>
    </w:p>
    <w:p>
      <w:pPr>
        <w:jc w:val="center"/>
      </w:pPr>
      <w:r>
        <w:rPr>
          <w:b/>
          <w:sz w:val="20"/>
        </w:rPr>
        <w:t>INDUSTRY ADVISORY PANEL (IAP) — STAKEHOLDER MEETING PACKAGE + PREVENTIVE MAINTENANCE LOG</w:t>
      </w:r>
    </w:p>
    <w:p>
      <w:pPr>
        <w:jc w:val="center"/>
      </w:pPr>
      <w:r>
        <w:rPr>
          <w:i/>
          <w:sz w:val="13"/>
        </w:rPr>
        <w:t>Reference: MQA Panel Area 1.3 &amp; 7.1-7.3 (stakeholder limited → systematic engagement) | MOC Code V2.1 Jan 2025 §1.2, §7.1 | GIVC 2024 (Industry Advisory Panel verification) | MQA Panel Area 5.1 (PPM for focimeter/edger) | MOC V2.1 p57 (PPM) | COPPA Area 1 &amp; 7</w:t>
        <w:br/>
        <w:t>Version: 1.0 | Effective: Jan 2026 | Owner: Programme Coordinator (MOC-registered) + QA Unit</w:t>
      </w:r>
    </w:p>
    <w:p>
      <w:pPr>
        <w:pStyle w:val="Heading1"/>
      </w:pPr>
      <w:r>
        <w:t>PART A — INDUSTRY ADVISORY PANEL (IAP) STAKEHOLDER MEETING — Minimum Scope</w:t>
      </w:r>
    </w:p>
    <w:p>
      <w:pPr/>
      <w:r>
        <w:t>Purpose: Provide systematic evidence of stakeholder involvement (students, alumni, industry — optical retail + clinical, professional body, employers) per GIVC 2024 and MOC V2.1 §1.2, fixing Panel Area 1.3 “hanya external advisor (tamat tempoh)” and Area 7.1/7.3 “tiada penglibatan stakeholder luar” and “tiada bukti hubungan QA → objektif institusi”. This single IAP meeting satisfies the 1-year improvement condition for stakeholder engagement; a second cycle can be held before the monitoring visit. EA will review this meeting independently per EA task 3(ii) — this package prepares materials, does not pre-write EA judgement.</w:t>
      </w:r>
    </w:p>
    <w:p>
      <w:pPr>
        <w:pStyle w:val="Heading2"/>
      </w:pPr>
      <w:r>
        <w:t>1. IAP Composition (GIVC 2024 Compliant)</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sz w:val="14"/>
              </w:rPr>
              <w:t>Category (GIVC)</w:t>
            </w:r>
          </w:p>
        </w:tc>
        <w:tc>
          <w:tcPr>
            <w:tcW w:type="dxa" w:w="2628"/>
          </w:tcPr>
          <w:p>
            <w:r>
              <w:rPr>
                <w:b/>
                <w:sz w:val="14"/>
              </w:rPr>
              <w:t>Proposed Representative</w:t>
            </w:r>
          </w:p>
        </w:tc>
        <w:tc>
          <w:tcPr>
            <w:tcW w:type="dxa" w:w="2628"/>
          </w:tcPr>
          <w:p>
            <w:r>
              <w:rPr>
                <w:b/>
                <w:sz w:val="14"/>
              </w:rPr>
              <w:t>Role/Relevance to DIO</w:t>
            </w:r>
          </w:p>
        </w:tc>
        <w:tc>
          <w:tcPr>
            <w:tcW w:type="dxa" w:w="2628"/>
          </w:tcPr>
          <w:p>
            <w:r>
              <w:rPr>
                <w:b/>
                <w:sz w:val="14"/>
              </w:rPr>
              <w:t>Invitation Status</w:t>
            </w:r>
          </w:p>
        </w:tc>
      </w:tr>
      <w:tr>
        <w:tc>
          <w:tcPr>
            <w:tcW w:type="dxa" w:w="2628"/>
          </w:tcPr>
          <w:p>
            <w:r>
              <w:rPr>
                <w:sz w:val="13"/>
              </w:rPr>
              <w:t>Student (current)</w:t>
            </w:r>
          </w:p>
        </w:tc>
        <w:tc>
          <w:tcPr>
            <w:tcW w:type="dxa" w:w="2628"/>
          </w:tcPr>
          <w:p>
            <w:r>
              <w:rPr>
                <w:sz w:val="13"/>
              </w:rPr>
              <w:t>1 DIO Semester 4 student (from 01/11 interview list)</w:t>
            </w:r>
          </w:p>
        </w:tc>
        <w:tc>
          <w:tcPr>
            <w:tcW w:type="dxa" w:w="2628"/>
          </w:tcPr>
          <w:p>
            <w:r>
              <w:rPr>
                <w:sz w:val="13"/>
              </w:rPr>
              <w:t>Current curriculum experience, WBL hands-on feedback</w:t>
            </w:r>
          </w:p>
        </w:tc>
        <w:tc>
          <w:tcPr>
            <w:tcW w:type="dxa" w:w="2628"/>
          </w:tcPr>
          <w:p>
            <w:r>
              <w:rPr>
                <w:sz w:val="13"/>
              </w:rPr>
              <w:t>[ ] Invited / [ ] Confirmed</w:t>
            </w:r>
          </w:p>
        </w:tc>
      </w:tr>
      <w:tr>
        <w:tc>
          <w:tcPr>
            <w:tcW w:type="dxa" w:w="2628"/>
          </w:tcPr>
          <w:p>
            <w:r>
              <w:rPr>
                <w:sz w:val="13"/>
              </w:rPr>
              <w:t>Alumni</w:t>
            </w:r>
          </w:p>
        </w:tc>
        <w:tc>
          <w:tcPr>
            <w:tcW w:type="dxa" w:w="2628"/>
          </w:tcPr>
          <w:p>
            <w:r>
              <w:rPr>
                <w:sz w:val="13"/>
              </w:rPr>
              <w:t>1 DIO graduate (2023/2024 cohort, tracer study 01/18)</w:t>
            </w:r>
          </w:p>
        </w:tc>
        <w:tc>
          <w:tcPr>
            <w:tcW w:type="dxa" w:w="2628"/>
          </w:tcPr>
          <w:p>
            <w:r>
              <w:rPr>
                <w:sz w:val="13"/>
              </w:rPr>
              <w:t>Employment relevance, PLO attainment post-graduation</w:t>
            </w:r>
          </w:p>
        </w:tc>
        <w:tc>
          <w:tcPr>
            <w:tcW w:type="dxa" w:w="2628"/>
          </w:tcPr>
          <w:p>
            <w:r>
              <w:rPr>
                <w:sz w:val="13"/>
              </w:rPr>
              <w:t>[ ] Invited / [ ] Confirmed</w:t>
            </w:r>
          </w:p>
        </w:tc>
      </w:tr>
      <w:tr>
        <w:tc>
          <w:tcPr>
            <w:tcW w:type="dxa" w:w="2628"/>
          </w:tcPr>
          <w:p>
            <w:r>
              <w:rPr>
                <w:sz w:val="13"/>
              </w:rPr>
              <w:t>Industry — Optical Retail</w:t>
            </w:r>
          </w:p>
        </w:tc>
        <w:tc>
          <w:tcPr>
            <w:tcW w:type="dxa" w:w="2628"/>
          </w:tcPr>
          <w:p>
            <w:r>
              <w:rPr>
                <w:sz w:val="13"/>
              </w:rPr>
              <w:t>1 optical retail manager (e.g., from 01/13 placement sites: Rx Optometry / Pott Glasses)</w:t>
            </w:r>
          </w:p>
        </w:tc>
        <w:tc>
          <w:tcPr>
            <w:tcW w:type="dxa" w:w="2628"/>
          </w:tcPr>
          <w:p>
            <w:r>
              <w:rPr>
                <w:sz w:val="13"/>
              </w:rPr>
              <w:t>Retail dispensing, business/entrepreneur PLO10, equipment needs</w:t>
            </w:r>
          </w:p>
        </w:tc>
        <w:tc>
          <w:tcPr>
            <w:tcW w:type="dxa" w:w="2628"/>
          </w:tcPr>
          <w:p>
            <w:r>
              <w:rPr>
                <w:sz w:val="13"/>
              </w:rPr>
              <w:t>[ ] Invited / [ ] Confirmed</w:t>
            </w:r>
          </w:p>
        </w:tc>
      </w:tr>
      <w:tr>
        <w:tc>
          <w:tcPr>
            <w:tcW w:type="dxa" w:w="2628"/>
          </w:tcPr>
          <w:p>
            <w:r>
              <w:rPr>
                <w:sz w:val="13"/>
              </w:rPr>
              <w:t>Industry — Clinical</w:t>
            </w:r>
          </w:p>
        </w:tc>
        <w:tc>
          <w:tcPr>
            <w:tcW w:type="dxa" w:w="2628"/>
          </w:tcPr>
          <w:p>
            <w:r>
              <w:rPr>
                <w:sz w:val="13"/>
              </w:rPr>
              <w:t>1 optometrist from clinical site (Hospital Selayang / private practice)</w:t>
            </w:r>
          </w:p>
        </w:tc>
        <w:tc>
          <w:tcPr>
            <w:tcW w:type="dxa" w:w="2628"/>
          </w:tcPr>
          <w:p>
            <w:r>
              <w:rPr>
                <w:sz w:val="13"/>
              </w:rPr>
              <w:t>Clinical refraction, referral, binocular vision PLO4/PLO7</w:t>
            </w:r>
          </w:p>
        </w:tc>
        <w:tc>
          <w:tcPr>
            <w:tcW w:type="dxa" w:w="2628"/>
          </w:tcPr>
          <w:p>
            <w:r>
              <w:rPr>
                <w:sz w:val="13"/>
              </w:rPr>
              <w:t>[ ] Invited / [ ] Confirmed</w:t>
            </w:r>
          </w:p>
        </w:tc>
      </w:tr>
      <w:tr>
        <w:tc>
          <w:tcPr>
            <w:tcW w:type="dxa" w:w="2628"/>
          </w:tcPr>
          <w:p>
            <w:r>
              <w:rPr>
                <w:sz w:val="13"/>
              </w:rPr>
              <w:t>Professional Body</w:t>
            </w:r>
          </w:p>
        </w:tc>
        <w:tc>
          <w:tcPr>
            <w:tcW w:type="dxa" w:w="2628"/>
          </w:tcPr>
          <w:p>
            <w:r>
              <w:rPr>
                <w:sz w:val="13"/>
              </w:rPr>
              <w:t>1 Malaysian Optical Council / Malaysian Association of Optometry representative</w:t>
            </w:r>
          </w:p>
        </w:tc>
        <w:tc>
          <w:tcPr>
            <w:tcW w:type="dxa" w:w="2628"/>
          </w:tcPr>
          <w:p>
            <w:r>
              <w:rPr>
                <w:sz w:val="13"/>
              </w:rPr>
              <w:t>Registrability, Act 469 scope, APC, code of practice</w:t>
            </w:r>
          </w:p>
        </w:tc>
        <w:tc>
          <w:tcPr>
            <w:tcW w:type="dxa" w:w="2628"/>
          </w:tcPr>
          <w:p>
            <w:r>
              <w:rPr>
                <w:sz w:val="13"/>
              </w:rPr>
              <w:t>[ ] Invited / [ ] Confirmed</w:t>
            </w:r>
          </w:p>
        </w:tc>
      </w:tr>
      <w:tr>
        <w:tc>
          <w:tcPr>
            <w:tcW w:type="dxa" w:w="2628"/>
          </w:tcPr>
          <w:p>
            <w:r>
              <w:rPr>
                <w:sz w:val="13"/>
              </w:rPr>
              <w:t>Employer</w:t>
            </w:r>
          </w:p>
        </w:tc>
        <w:tc>
          <w:tcPr>
            <w:tcW w:type="dxa" w:w="2628"/>
          </w:tcPr>
          <w:p>
            <w:r>
              <w:rPr>
                <w:sz w:val="13"/>
              </w:rPr>
              <w:t>1 employer of DIO graduates (optical chain HR)</w:t>
            </w:r>
          </w:p>
        </w:tc>
        <w:tc>
          <w:tcPr>
            <w:tcW w:type="dxa" w:w="2628"/>
          </w:tcPr>
          <w:p>
            <w:r>
              <w:rPr>
                <w:sz w:val="13"/>
              </w:rPr>
              <w:t>Employability, numeracy/digital skills (Area 1.1)</w:t>
            </w:r>
          </w:p>
        </w:tc>
        <w:tc>
          <w:tcPr>
            <w:tcW w:type="dxa" w:w="2628"/>
          </w:tcPr>
          <w:p>
            <w:r>
              <w:rPr>
                <w:sz w:val="13"/>
              </w:rPr>
              <w:t>[ ] Invited / [ ] Confirmed</w:t>
            </w:r>
          </w:p>
        </w:tc>
      </w:tr>
      <w:tr>
        <w:tc>
          <w:tcPr>
            <w:tcW w:type="dxa" w:w="2628"/>
          </w:tcPr>
          <w:p>
            <w:r>
              <w:rPr>
                <w:sz w:val="13"/>
              </w:rPr>
              <w:t>Internal (observer)</w:t>
            </w:r>
          </w:p>
        </w:tc>
        <w:tc>
          <w:tcPr>
            <w:tcW w:type="dxa" w:w="2628"/>
          </w:tcPr>
          <w:p>
            <w:r>
              <w:rPr>
                <w:sz w:val="13"/>
              </w:rPr>
              <w:t>Programme Coordinator + Academic Coordinator</w:t>
            </w:r>
          </w:p>
        </w:tc>
        <w:tc>
          <w:tcPr>
            <w:tcW w:type="dxa" w:w="2628"/>
          </w:tcPr>
          <w:p>
            <w:r>
              <w:rPr>
                <w:sz w:val="13"/>
              </w:rPr>
              <w:t>Present revised PEO/PLO/CLO matrices</w:t>
            </w:r>
          </w:p>
        </w:tc>
        <w:tc>
          <w:tcPr>
            <w:tcW w:type="dxa" w:w="2628"/>
          </w:tcPr>
          <w:p>
            <w:r>
              <w:rPr>
                <w:sz w:val="13"/>
              </w:rPr>
              <w:t>-</w:t>
            </w:r>
          </w:p>
        </w:tc>
      </w:tr>
      <w:tr>
        <w:tc>
          <w:tcPr>
            <w:tcW w:type="dxa" w:w="2628"/>
          </w:tcPr>
          <w:p>
            <w:r>
              <w:rPr>
                <w:sz w:val="13"/>
              </w:rPr>
              <w:t>EA (optional observer)</w:t>
            </w:r>
          </w:p>
        </w:tc>
        <w:tc>
          <w:tcPr>
            <w:tcW w:type="dxa" w:w="2628"/>
          </w:tcPr>
          <w:p>
            <w:r>
              <w:rPr>
                <w:sz w:val="13"/>
              </w:rPr>
              <w:t>Assoc. Prof. Dr. Md Muziman Syah (IIUM) — 15 Oct 2025–3 yrs</w:t>
            </w:r>
          </w:p>
        </w:tc>
        <w:tc>
          <w:tcPr>
            <w:tcW w:type="dxa" w:w="2628"/>
          </w:tcPr>
          <w:p>
            <w:r>
              <w:rPr>
                <w:sz w:val="13"/>
              </w:rPr>
              <w:t>Independent COPPA 1-9 review per EA task 3(ii) — invite as observer only if EA consents; otherwise hold IAP before EA review</w:t>
            </w:r>
          </w:p>
        </w:tc>
        <w:tc>
          <w:tcPr>
            <w:tcW w:type="dxa" w:w="2628"/>
          </w:tcPr>
          <w:p>
            <w:r>
              <w:rPr>
                <w:sz w:val="13"/>
              </w:rPr>
              <w:t>[ ] Invited as observer</w:t>
            </w:r>
          </w:p>
        </w:tc>
      </w:tr>
    </w:tbl>
    <w:p>
      <w:pPr>
        <w:pStyle w:val="Heading2"/>
      </w:pPr>
      <w:r>
        <w:t>2. Invitation Template (copy to official letterhead)</w:t>
      </w:r>
    </w:p>
    <w:p>
      <w:pPr>
        <w:spacing w:before="80"/>
      </w:pPr>
      <w:r>
        <w:rPr>
          <w:sz w:val="14"/>
        </w:rPr>
        <w:t>[On VUC Letterhead]</w:t>
        <w:br/>
        <w:t>Ref: VUC/DIO/IAP-INV/2026-01</w:t>
        <w:br/>
        <w:t>Date: ___ January 2026</w:t>
        <w:br/>
        <w:t>To: [Name, Title, Organisation]</w:t>
        <w:br/>
        <w:t>Re: Invitation to Industry Advisory Panel (IAP) Meeting — Diploma in Opticianry (MQA/FA 18549) — Curriculum Review (Major Review)</w:t>
        <w:br/>
        <w:br/>
        <w:t>Dear [Name],</w:t>
        <w:br/>
        <w:br/>
        <w:t>Vision University College, School of Health Science, is undertaking a major curriculum review of the Diploma in Opticianry (MQA/FA 18549, 100 credits, 3 years) to address the Malaysian Qualifications Agency (MQA) / Malaysian Optical Council (MOC) Joint Technical Committee panel’s areas of concern (JTC 3/2025, 8 Sep 2025) and to prepare for the 1-year improvement submission and monitoring visit.</w:t>
        <w:br/>
        <w:br/>
        <w:t>In line with MQA Guidelines for Industrial Verification of Curriculum (GIVC 2024) and MOC Code V2.1 Jan 2025 §1.2, we would be honoured to have your participation as an Industry Advisory Panel member in a stakeholder meeting:</w:t>
        <w:br/>
        <w:br/>
        <w:t>Date/Time: ___ February 2026, 10:00 AM – 12:00 PM</w:t>
        <w:br/>
        <w:t>Venue: Vision University College / Online (hybrid)</w:t>
        <w:br/>
        <w:t>Agenda: (1) Presentation of revised PEO/PLO and 9-course CLO corrections (MQF LOD, Bloom taxonomy), (2) Input on programme relevance, employability, numeracy/digital/entrepreneur skills, clinical hands-on balance, (3) Recommendations for CQI</w:t>
        <w:br/>
        <w:br/>
        <w:t>Your input will be recorded in minutes and an Input-Use Log showing how stakeholder feedback shaped the revised curriculum, as required for MQA evidence.</w:t>
        <w:br/>
        <w:br/>
        <w:t>Please confirm by ___ January 2026 to [Programme Coordinator, MOC Reg. No., email/phone].</w:t>
        <w:br/>
        <w:br/>
        <w:t>Thank you for supporting VUC DIO continuous quality improvement.</w:t>
        <w:br/>
        <w:br/>
        <w:t>Yours sincerely,</w:t>
        <w:br/>
        <w:t>[Programme Coordinator, MOC-registered, Full-time]</w:t>
        <w:br/>
        <w:t>[Academic Coordinator]</w:t>
        <w:br/>
        <w:t>[Dean, School of Health Science]</w:t>
      </w:r>
    </w:p>
    <w:p>
      <w:pPr>
        <w:pStyle w:val="Heading2"/>
      </w:pPr>
      <w:r>
        <w:t>3. IAP Meeting Agenda (60–90 min)</w:t>
      </w:r>
    </w:p>
    <w:p>
      <w:pPr>
        <w:pStyle w:val="ListBullet"/>
      </w:pPr>
      <w:r>
        <w:t>10:00–10:10 Welcome &amp; purpose (JTC conditional accreditation 1-year requirement)</w:t>
      </w:r>
    </w:p>
    <w:p>
      <w:pPr>
        <w:pStyle w:val="ListBullet"/>
      </w:pPr>
      <w:r>
        <w:t>10:10–10:25 Presentation: Revised PEO/PLO (5 Clusters, 11 MOC competencies) + PEO-PLO matrix</w:t>
      </w:r>
    </w:p>
    <w:p>
      <w:pPr>
        <w:pStyle w:val="ListBullet"/>
      </w:pPr>
      <w:r>
        <w:t>10:25–10:40 Presentation: 9-course CLO corrections (HOTS/A/P fixes) + Table 4 (100 credits, 500 hrs real-patient)</w:t>
      </w:r>
    </w:p>
    <w:p>
      <w:pPr>
        <w:pStyle w:val="ListBullet"/>
      </w:pPr>
      <w:r>
        <w:t>10:40–11:10 Stakeholder input roundtable (guided questions: relevance to practice, graduate readiness, entrepreneur/digital/numeracy gaps, hands-on balance, equipment)</w:t>
      </w:r>
    </w:p>
    <w:p>
      <w:pPr>
        <w:pStyle w:val="ListBullet"/>
      </w:pPr>
      <w:r>
        <w:t>11:10–11:25 Recommendations &amp; Input-Use Log live capture</w:t>
      </w:r>
    </w:p>
    <w:p>
      <w:pPr>
        <w:pStyle w:val="ListBullet"/>
      </w:pPr>
      <w:r>
        <w:t>11:25–11:30 Closing &amp; next steps (Senate, MOC, MQA submission)</w:t>
      </w:r>
    </w:p>
    <w:p>
      <w:pPr>
        <w:pStyle w:val="Heading2"/>
      </w:pPr>
      <w:r>
        <w:t>4. Input-Use Log (Closing-the-Loop Evidence for Area 7.3)</w:t>
      </w:r>
    </w:p>
    <w:p>
      <w:pPr>
        <w:pStyle w:val="IntenseQuote"/>
      </w:pPr>
      <w:r>
        <w:t>Each stakeholder comment must be logged with action taken — this directly fixes Area 7.3 “tiada bukti hubungan QA → objektif institusi” and provides auditable evidence for MQA and EA review.</w:t>
      </w:r>
    </w:p>
    <w:tbl>
      <w:tblPr>
        <w:tblStyle w:val="LightGrid-Accent1"/>
        <w:tblW w:type="auto" w:w="0"/>
        <w:tblLook w:firstColumn="1" w:firstRow="1" w:lastColumn="0" w:lastRow="0" w:noHBand="0" w:noVBand="1" w:val="04A0"/>
      </w:tblPr>
      <w:tblGrid>
        <w:gridCol w:w="2102"/>
        <w:gridCol w:w="2102"/>
        <w:gridCol w:w="2102"/>
        <w:gridCol w:w="2102"/>
        <w:gridCol w:w="2102"/>
      </w:tblGrid>
      <w:tr>
        <w:tc>
          <w:tcPr>
            <w:tcW w:type="dxa" w:w="2102"/>
          </w:tcPr>
          <w:p>
            <w:r>
              <w:rPr>
                <w:b/>
                <w:sz w:val="14"/>
              </w:rPr>
              <w:t>Stakeholder</w:t>
            </w:r>
          </w:p>
        </w:tc>
        <w:tc>
          <w:tcPr>
            <w:tcW w:type="dxa" w:w="2102"/>
          </w:tcPr>
          <w:p>
            <w:r>
              <w:rPr>
                <w:b/>
                <w:sz w:val="14"/>
              </w:rPr>
              <w:t>Input / Feedback</w:t>
            </w:r>
          </w:p>
        </w:tc>
        <w:tc>
          <w:tcPr>
            <w:tcW w:type="dxa" w:w="2102"/>
          </w:tcPr>
          <w:p>
            <w:r>
              <w:rPr>
                <w:b/>
                <w:sz w:val="14"/>
              </w:rPr>
              <w:t>PEO/PLO/CLO Affected</w:t>
            </w:r>
          </w:p>
        </w:tc>
        <w:tc>
          <w:tcPr>
            <w:tcW w:type="dxa" w:w="2102"/>
          </w:tcPr>
          <w:p>
            <w:r>
              <w:rPr>
                <w:b/>
                <w:sz w:val="14"/>
              </w:rPr>
              <w:t>Action Taken (DIO Response)</w:t>
            </w:r>
          </w:p>
        </w:tc>
        <w:tc>
          <w:tcPr>
            <w:tcW w:type="dxa" w:w="2102"/>
          </w:tcPr>
          <w:p>
            <w:r>
              <w:rPr>
                <w:b/>
                <w:sz w:val="14"/>
              </w:rPr>
              <w:t>Status</w:t>
            </w:r>
          </w:p>
        </w:tc>
      </w:tr>
      <w:tr>
        <w:tc>
          <w:tcPr>
            <w:tcW w:type="dxa" w:w="2102"/>
          </w:tcPr>
          <w:p>
            <w:r>
              <w:rPr>
                <w:sz w:val="13"/>
              </w:rPr>
              <w:t>Student</w:t>
            </w:r>
          </w:p>
        </w:tc>
        <w:tc>
          <w:tcPr>
            <w:tcW w:type="dxa" w:w="2102"/>
          </w:tcPr>
          <w:p>
            <w:r>
              <w:rPr>
                <w:sz w:val="13"/>
              </w:rPr>
              <w:t>More hands-on dispensing, less observation</w:t>
            </w:r>
          </w:p>
        </w:tc>
        <w:tc>
          <w:tcPr>
            <w:tcW w:type="dxa" w:w="2102"/>
          </w:tcPr>
          <w:p>
            <w:r>
              <w:rPr>
                <w:sz w:val="13"/>
              </w:rPr>
              <w:t>PLO3 (Practical)</w:t>
            </w:r>
          </w:p>
        </w:tc>
        <w:tc>
          <w:tcPr>
            <w:tcW w:type="dxa" w:w="2102"/>
          </w:tcPr>
          <w:p>
            <w:r>
              <w:rPr>
                <w:sz w:val="13"/>
              </w:rPr>
              <w:t>Increase supervised dispensing slots in LI logbook; add P4 rubric</w:t>
            </w:r>
          </w:p>
        </w:tc>
        <w:tc>
          <w:tcPr>
            <w:tcW w:type="dxa" w:w="2102"/>
          </w:tcPr>
          <w:p>
            <w:r>
              <w:rPr>
                <w:sz w:val="13"/>
              </w:rPr>
              <w:t>[ ] Done</w:t>
            </w:r>
          </w:p>
        </w:tc>
      </w:tr>
      <w:tr>
        <w:tc>
          <w:tcPr>
            <w:tcW w:type="dxa" w:w="2102"/>
          </w:tcPr>
          <w:p>
            <w:r>
              <w:rPr>
                <w:sz w:val="13"/>
              </w:rPr>
              <w:t>Alumni</w:t>
            </w:r>
          </w:p>
        </w:tc>
        <w:tc>
          <w:tcPr>
            <w:tcW w:type="dxa" w:w="2102"/>
          </w:tcPr>
          <w:p>
            <w:r>
              <w:rPr>
                <w:sz w:val="13"/>
              </w:rPr>
              <w:t>Need stronger business/digital for retail role</w:t>
            </w:r>
          </w:p>
        </w:tc>
        <w:tc>
          <w:tcPr>
            <w:tcW w:type="dxa" w:w="2102"/>
          </w:tcPr>
          <w:p>
            <w:r>
              <w:rPr>
                <w:sz w:val="13"/>
              </w:rPr>
              <w:t>PLO10/PLO11 (Entrepreneur/Digital)</w:t>
            </w:r>
          </w:p>
        </w:tc>
        <w:tc>
          <w:tcPr>
            <w:tcW w:type="dxa" w:w="2102"/>
          </w:tcPr>
          <w:p>
            <w:r>
              <w:rPr>
                <w:sz w:val="13"/>
              </w:rPr>
              <w:t>Retain PLO10 A3 assignment + add practice-system digital task (GWBL)</w:t>
            </w:r>
          </w:p>
        </w:tc>
        <w:tc>
          <w:tcPr>
            <w:tcW w:type="dxa" w:w="2102"/>
          </w:tcPr>
          <w:p>
            <w:r>
              <w:rPr>
                <w:sz w:val="13"/>
              </w:rPr>
              <w:t>[ ] Done</w:t>
            </w:r>
          </w:p>
        </w:tc>
      </w:tr>
      <w:tr>
        <w:tc>
          <w:tcPr>
            <w:tcW w:type="dxa" w:w="2102"/>
          </w:tcPr>
          <w:p>
            <w:r>
              <w:rPr>
                <w:sz w:val="13"/>
              </w:rPr>
              <w:t>Industry Retail</w:t>
            </w:r>
          </w:p>
        </w:tc>
        <w:tc>
          <w:tcPr>
            <w:tcW w:type="dxa" w:w="2102"/>
          </w:tcPr>
          <w:p>
            <w:r>
              <w:rPr>
                <w:sz w:val="13"/>
              </w:rPr>
              <w:t>Graduates weak in prism/power adjustments</w:t>
            </w:r>
          </w:p>
        </w:tc>
        <w:tc>
          <w:tcPr>
            <w:tcW w:type="dxa" w:w="2102"/>
          </w:tcPr>
          <w:p>
            <w:r>
              <w:rPr>
                <w:sz w:val="13"/>
              </w:rPr>
              <w:t>PLO9 Numeracy</w:t>
            </w:r>
          </w:p>
        </w:tc>
        <w:tc>
          <w:tcPr>
            <w:tcW w:type="dxa" w:w="2102"/>
          </w:tcPr>
          <w:p>
            <w:r>
              <w:rPr>
                <w:sz w:val="13"/>
              </w:rPr>
              <w:t>Add calculation workshop in OHC2043/4033</w:t>
            </w:r>
          </w:p>
        </w:tc>
        <w:tc>
          <w:tcPr>
            <w:tcW w:type="dxa" w:w="2102"/>
          </w:tcPr>
          <w:p>
            <w:r>
              <w:rPr>
                <w:sz w:val="13"/>
              </w:rPr>
              <w:t>[ ] Done</w:t>
            </w:r>
          </w:p>
        </w:tc>
      </w:tr>
      <w:tr>
        <w:tc>
          <w:tcPr>
            <w:tcW w:type="dxa" w:w="2102"/>
          </w:tcPr>
          <w:p>
            <w:r>
              <w:rPr>
                <w:sz w:val="13"/>
              </w:rPr>
              <w:t>Professional Body (MOC)</w:t>
            </w:r>
          </w:p>
        </w:tc>
        <w:tc>
          <w:tcPr>
            <w:tcW w:type="dxa" w:w="2102"/>
          </w:tcPr>
          <w:p>
            <w:r>
              <w:rPr>
                <w:sz w:val="13"/>
              </w:rPr>
              <w:t>Ensure Act 469 scope not exceeded in CLOs</w:t>
            </w:r>
          </w:p>
        </w:tc>
        <w:tc>
          <w:tcPr>
            <w:tcW w:type="dxa" w:w="2102"/>
          </w:tcPr>
          <w:p>
            <w:r>
              <w:rPr>
                <w:sz w:val="13"/>
              </w:rPr>
              <w:t>PLO6 Ethics</w:t>
            </w:r>
          </w:p>
        </w:tc>
        <w:tc>
          <w:tcPr>
            <w:tcW w:type="dxa" w:w="2102"/>
          </w:tcPr>
          <w:p>
            <w:r>
              <w:rPr>
                <w:sz w:val="13"/>
              </w:rPr>
              <w:t>Review CLOs for s.30 CL limits</w:t>
            </w:r>
          </w:p>
        </w:tc>
        <w:tc>
          <w:tcPr>
            <w:tcW w:type="dxa" w:w="2102"/>
          </w:tcPr>
          <w:p>
            <w:r>
              <w:rPr>
                <w:sz w:val="13"/>
              </w:rPr>
              <w:t>[ ] Done</w:t>
            </w:r>
          </w:p>
        </w:tc>
      </w:tr>
      <w:tr>
        <w:tc>
          <w:tcPr>
            <w:tcW w:type="dxa" w:w="2102"/>
          </w:tcPr>
          <w:p>
            <w:r>
              <w:rPr>
                <w:sz w:val="13"/>
              </w:rPr>
              <w:t>Employer</w:t>
            </w:r>
          </w:p>
        </w:tc>
        <w:tc>
          <w:tcPr>
            <w:tcW w:type="dxa" w:w="2102"/>
          </w:tcPr>
          <w:p>
            <w:r>
              <w:rPr>
                <w:sz w:val="13"/>
              </w:rPr>
              <w:t>Want patient communication role-play</w:t>
            </w:r>
          </w:p>
        </w:tc>
        <w:tc>
          <w:tcPr>
            <w:tcW w:type="dxa" w:w="2102"/>
          </w:tcPr>
          <w:p>
            <w:r>
              <w:rPr>
                <w:sz w:val="13"/>
              </w:rPr>
              <w:t>PLO5 Communication</w:t>
            </w:r>
          </w:p>
        </w:tc>
        <w:tc>
          <w:tcPr>
            <w:tcW w:type="dxa" w:w="2102"/>
          </w:tcPr>
          <w:p>
            <w:r>
              <w:rPr>
                <w:sz w:val="13"/>
              </w:rPr>
              <w:t>Add simulation + A2 rubric</w:t>
            </w:r>
          </w:p>
        </w:tc>
        <w:tc>
          <w:tcPr>
            <w:tcW w:type="dxa" w:w="2102"/>
          </w:tcPr>
          <w:p>
            <w:r>
              <w:rPr>
                <w:sz w:val="13"/>
              </w:rPr>
              <w:t>[ ] Done</w:t>
            </w:r>
          </w:p>
        </w:tc>
      </w:tr>
    </w:tbl>
    <w:p>
      <w:pPr/>
      <w:r>
        <w:t>Minutes must be signed, presented to top management (fixes Area 7 OFI), and filed in Review File item (e) for 1-year MQA submission and EA review (COPPA 1-9). Keep invitation + attendance list + minutes + this log as a set.</w:t>
      </w:r>
    </w:p>
    <w:p>
      <w:pPr>
        <w:pStyle w:val="Heading1"/>
      </w:pPr>
      <w:r>
        <w:t>PART B — PLANNED PREVENTIVE MAINTENANCE (PPM) LOG — Minimum Scope</w:t>
      </w:r>
    </w:p>
    <w:p>
      <w:pPr/>
      <w:r>
        <w:t>Purpose: Fix Panel Area 5.1 “Tiada bukti sistem penyelenggaraan berkala (PPM) bagi focimeter atau dispensing edger; laporan kerosakan hanya dibuat apabila masalah berlaku”. Required per MOC V2.1 p57 “planned preventive maintenance for edger/focimeter”. This minimal SOP + log satisfies the 1-year condition; no major capital purchase required.</w:t>
      </w:r>
    </w:p>
    <w:p>
      <w:pPr>
        <w:pStyle w:val="Heading2"/>
      </w:pPr>
      <w:r>
        <w:t>1. PPM SOP (1 page)</w:t>
      </w:r>
    </w:p>
    <w:p>
      <w:pPr>
        <w:pStyle w:val="ListBullet"/>
      </w:pPr>
      <w:r>
        <w:t>Scope: Focimeter (lensmeter) and dispensing edger (optical workshop) in DIO labs — identified in 01/16 inventories.</w:t>
      </w:r>
    </w:p>
    <w:p>
      <w:pPr>
        <w:pStyle w:val="ListBullet"/>
      </w:pPr>
      <w:r>
        <w:t>Frequency: Monthly visual/cleaning check by Lab Assistant + Quarterly functional calibration by Lab Assistant + Annual external service by vendor (or as per manual).</w:t>
      </w:r>
    </w:p>
    <w:p>
      <w:pPr>
        <w:pStyle w:val="ListBullet"/>
      </w:pPr>
      <w:r>
        <w:t>Responsibility: Lab Assistant executes; Programme Coordinator reviews; QA Unit audits quarterly.</w:t>
      </w:r>
    </w:p>
    <w:p>
      <w:pPr>
        <w:pStyle w:val="ListBullet"/>
      </w:pPr>
      <w:r>
        <w:t>Procedure: (a) Power-on &amp; zero-check, (b) Clean optics/bed, (c) Verify calibration with standard lens (–2.00DS / +2.00DS), (d) Test edger cycle on demo lens, (e) Record in Log; if fail → tag “Out of Service” and file Equipment Breakdown Report (existing) + corrective action.</w:t>
      </w:r>
    </w:p>
    <w:p>
      <w:pPr>
        <w:pStyle w:val="ListBullet"/>
      </w:pPr>
      <w:r>
        <w:t>Records: This Log (PPM Log) retained in Course File 19 + QA Unit; reviewed in PRM and presented in monitoring visit. Reactive reports alone are insufficient.</w:t>
      </w:r>
    </w:p>
    <w:p>
      <w:pPr>
        <w:pStyle w:val="Heading2"/>
      </w:pPr>
      <w:r>
        <w:t>2. PPM Log Template (for focimeter + edger — duplicate per equipment)</w:t>
      </w:r>
    </w:p>
    <w:tbl>
      <w:tblPr>
        <w:tblStyle w:val="LightGrid-Accent1"/>
        <w:tblW w:type="auto" w:w="0"/>
        <w:tblLook w:firstColumn="1" w:firstRow="1" w:lastColumn="0" w:lastRow="0" w:noHBand="0" w:noVBand="1" w:val="04A0"/>
      </w:tblPr>
      <w:tblGrid>
        <w:gridCol w:w="1314"/>
        <w:gridCol w:w="1314"/>
        <w:gridCol w:w="1314"/>
        <w:gridCol w:w="1314"/>
        <w:gridCol w:w="1314"/>
        <w:gridCol w:w="1314"/>
        <w:gridCol w:w="1314"/>
        <w:gridCol w:w="1314"/>
      </w:tblGrid>
      <w:tr>
        <w:tc>
          <w:tcPr>
            <w:tcW w:type="dxa" w:w="1314"/>
          </w:tcPr>
          <w:p>
            <w:r>
              <w:rPr>
                <w:b/>
                <w:sz w:val="12"/>
              </w:rPr>
              <w:t>Date</w:t>
            </w:r>
          </w:p>
        </w:tc>
        <w:tc>
          <w:tcPr>
            <w:tcW w:type="dxa" w:w="1314"/>
          </w:tcPr>
          <w:p>
            <w:r>
              <w:rPr>
                <w:b/>
                <w:sz w:val="12"/>
              </w:rPr>
              <w:t>Equipment (Focimeter / Edger) + Asset ID</w:t>
            </w:r>
          </w:p>
        </w:tc>
        <w:tc>
          <w:tcPr>
            <w:tcW w:type="dxa" w:w="1314"/>
          </w:tcPr>
          <w:p>
            <w:r>
              <w:rPr>
                <w:b/>
                <w:sz w:val="12"/>
              </w:rPr>
              <w:t>Check Type (Monthly / Quarterly / Annual)</w:t>
            </w:r>
          </w:p>
        </w:tc>
        <w:tc>
          <w:tcPr>
            <w:tcW w:type="dxa" w:w="1314"/>
          </w:tcPr>
          <w:p>
            <w:r>
              <w:rPr>
                <w:b/>
                <w:sz w:val="12"/>
              </w:rPr>
              <w:t>Performed By (Lab Asst)</w:t>
            </w:r>
          </w:p>
        </w:tc>
        <w:tc>
          <w:tcPr>
            <w:tcW w:type="dxa" w:w="1314"/>
          </w:tcPr>
          <w:p>
            <w:r>
              <w:rPr>
                <w:b/>
                <w:sz w:val="12"/>
              </w:rPr>
              <w:t>Finding (Pass / Fail — details)</w:t>
            </w:r>
          </w:p>
        </w:tc>
        <w:tc>
          <w:tcPr>
            <w:tcW w:type="dxa" w:w="1314"/>
          </w:tcPr>
          <w:p>
            <w:r>
              <w:rPr>
                <w:b/>
                <w:sz w:val="12"/>
              </w:rPr>
              <w:t>Action Taken</w:t>
            </w:r>
          </w:p>
        </w:tc>
        <w:tc>
          <w:tcPr>
            <w:tcW w:type="dxa" w:w="1314"/>
          </w:tcPr>
          <w:p>
            <w:r>
              <w:rPr>
                <w:b/>
                <w:sz w:val="12"/>
              </w:rPr>
              <w:t>Verified By (PC)</w:t>
            </w:r>
          </w:p>
        </w:tc>
        <w:tc>
          <w:tcPr>
            <w:tcW w:type="dxa" w:w="1314"/>
          </w:tcPr>
          <w:p>
            <w:r>
              <w:rPr>
                <w:b/>
                <w:sz w:val="12"/>
              </w:rPr>
              <w:t>Next Due Date</w:t>
            </w:r>
          </w:p>
        </w:tc>
      </w:tr>
      <w:tr>
        <w:tc>
          <w:tcPr>
            <w:tcW w:type="dxa" w:w="1314"/>
          </w:tcPr>
          <w:p>
            <w:r/>
          </w:p>
        </w:tc>
        <w:tc>
          <w:tcPr>
            <w:tcW w:type="dxa" w:w="1314"/>
          </w:tcPr>
          <w:p>
            <w:r/>
          </w:p>
        </w:tc>
        <w:tc>
          <w:tcPr>
            <w:tcW w:type="dxa" w:w="1314"/>
          </w:tcPr>
          <w:p>
            <w:r/>
          </w:p>
        </w:tc>
        <w:tc>
          <w:tcPr>
            <w:tcW w:type="dxa" w:w="1314"/>
          </w:tcPr>
          <w:p>
            <w:r/>
          </w:p>
        </w:tc>
        <w:tc>
          <w:tcPr>
            <w:tcW w:type="dxa" w:w="1314"/>
          </w:tcPr>
          <w:p>
            <w:r/>
          </w:p>
        </w:tc>
        <w:tc>
          <w:tcPr>
            <w:tcW w:type="dxa" w:w="1314"/>
          </w:tcPr>
          <w:p>
            <w:r/>
          </w:p>
        </w:tc>
        <w:tc>
          <w:tcPr>
            <w:tcW w:type="dxa" w:w="1314"/>
          </w:tcPr>
          <w:p>
            <w:r/>
          </w:p>
        </w:tc>
        <w:tc>
          <w:tcPr>
            <w:tcW w:type="dxa" w:w="1314"/>
          </w:tcPr>
          <w:p>
            <w:r/>
          </w:p>
        </w:tc>
      </w:tr>
      <w:tr>
        <w:tc>
          <w:tcPr>
            <w:tcW w:type="dxa" w:w="1314"/>
          </w:tcPr>
          <w:p>
            <w:r/>
          </w:p>
        </w:tc>
        <w:tc>
          <w:tcPr>
            <w:tcW w:type="dxa" w:w="1314"/>
          </w:tcPr>
          <w:p>
            <w:r/>
          </w:p>
        </w:tc>
        <w:tc>
          <w:tcPr>
            <w:tcW w:type="dxa" w:w="1314"/>
          </w:tcPr>
          <w:p>
            <w:r/>
          </w:p>
        </w:tc>
        <w:tc>
          <w:tcPr>
            <w:tcW w:type="dxa" w:w="1314"/>
          </w:tcPr>
          <w:p>
            <w:r/>
          </w:p>
        </w:tc>
        <w:tc>
          <w:tcPr>
            <w:tcW w:type="dxa" w:w="1314"/>
          </w:tcPr>
          <w:p>
            <w:r/>
          </w:p>
        </w:tc>
        <w:tc>
          <w:tcPr>
            <w:tcW w:type="dxa" w:w="1314"/>
          </w:tcPr>
          <w:p>
            <w:r/>
          </w:p>
        </w:tc>
        <w:tc>
          <w:tcPr>
            <w:tcW w:type="dxa" w:w="1314"/>
          </w:tcPr>
          <w:p>
            <w:r/>
          </w:p>
        </w:tc>
        <w:tc>
          <w:tcPr>
            <w:tcW w:type="dxa" w:w="1314"/>
          </w:tcPr>
          <w:p>
            <w:r/>
          </w:p>
        </w:tc>
      </w:tr>
      <w:tr>
        <w:tc>
          <w:tcPr>
            <w:tcW w:type="dxa" w:w="1314"/>
          </w:tcPr>
          <w:p>
            <w:r/>
          </w:p>
        </w:tc>
        <w:tc>
          <w:tcPr>
            <w:tcW w:type="dxa" w:w="1314"/>
          </w:tcPr>
          <w:p>
            <w:r/>
          </w:p>
        </w:tc>
        <w:tc>
          <w:tcPr>
            <w:tcW w:type="dxa" w:w="1314"/>
          </w:tcPr>
          <w:p>
            <w:r/>
          </w:p>
        </w:tc>
        <w:tc>
          <w:tcPr>
            <w:tcW w:type="dxa" w:w="1314"/>
          </w:tcPr>
          <w:p>
            <w:r/>
          </w:p>
        </w:tc>
        <w:tc>
          <w:tcPr>
            <w:tcW w:type="dxa" w:w="1314"/>
          </w:tcPr>
          <w:p>
            <w:r/>
          </w:p>
        </w:tc>
        <w:tc>
          <w:tcPr>
            <w:tcW w:type="dxa" w:w="1314"/>
          </w:tcPr>
          <w:p>
            <w:r/>
          </w:p>
        </w:tc>
        <w:tc>
          <w:tcPr>
            <w:tcW w:type="dxa" w:w="1314"/>
          </w:tcPr>
          <w:p>
            <w:r/>
          </w:p>
        </w:tc>
        <w:tc>
          <w:tcPr>
            <w:tcW w:type="dxa" w:w="1314"/>
          </w:tcPr>
          <w:p>
            <w:r/>
          </w:p>
        </w:tc>
      </w:tr>
      <w:tr>
        <w:tc>
          <w:tcPr>
            <w:tcW w:type="dxa" w:w="1314"/>
          </w:tcPr>
          <w:p>
            <w:r/>
          </w:p>
        </w:tc>
        <w:tc>
          <w:tcPr>
            <w:tcW w:type="dxa" w:w="1314"/>
          </w:tcPr>
          <w:p>
            <w:r/>
          </w:p>
        </w:tc>
        <w:tc>
          <w:tcPr>
            <w:tcW w:type="dxa" w:w="1314"/>
          </w:tcPr>
          <w:p>
            <w:r/>
          </w:p>
        </w:tc>
        <w:tc>
          <w:tcPr>
            <w:tcW w:type="dxa" w:w="1314"/>
          </w:tcPr>
          <w:p>
            <w:r/>
          </w:p>
        </w:tc>
        <w:tc>
          <w:tcPr>
            <w:tcW w:type="dxa" w:w="1314"/>
          </w:tcPr>
          <w:p>
            <w:r/>
          </w:p>
        </w:tc>
        <w:tc>
          <w:tcPr>
            <w:tcW w:type="dxa" w:w="1314"/>
          </w:tcPr>
          <w:p>
            <w:r/>
          </w:p>
        </w:tc>
        <w:tc>
          <w:tcPr>
            <w:tcW w:type="dxa" w:w="1314"/>
          </w:tcPr>
          <w:p>
            <w:r/>
          </w:p>
        </w:tc>
        <w:tc>
          <w:tcPr>
            <w:tcW w:type="dxa" w:w="1314"/>
          </w:tcPr>
          <w:p>
            <w:r/>
          </w:p>
        </w:tc>
      </w:tr>
      <w:tr>
        <w:tc>
          <w:tcPr>
            <w:tcW w:type="dxa" w:w="1314"/>
          </w:tcPr>
          <w:p>
            <w:r/>
          </w:p>
        </w:tc>
        <w:tc>
          <w:tcPr>
            <w:tcW w:type="dxa" w:w="1314"/>
          </w:tcPr>
          <w:p>
            <w:r/>
          </w:p>
        </w:tc>
        <w:tc>
          <w:tcPr>
            <w:tcW w:type="dxa" w:w="1314"/>
          </w:tcPr>
          <w:p>
            <w:r/>
          </w:p>
        </w:tc>
        <w:tc>
          <w:tcPr>
            <w:tcW w:type="dxa" w:w="1314"/>
          </w:tcPr>
          <w:p>
            <w:r/>
          </w:p>
        </w:tc>
        <w:tc>
          <w:tcPr>
            <w:tcW w:type="dxa" w:w="1314"/>
          </w:tcPr>
          <w:p>
            <w:r/>
          </w:p>
        </w:tc>
        <w:tc>
          <w:tcPr>
            <w:tcW w:type="dxa" w:w="1314"/>
          </w:tcPr>
          <w:p>
            <w:r/>
          </w:p>
        </w:tc>
        <w:tc>
          <w:tcPr>
            <w:tcW w:type="dxa" w:w="1314"/>
          </w:tcPr>
          <w:p>
            <w:r/>
          </w:p>
        </w:tc>
        <w:tc>
          <w:tcPr>
            <w:tcW w:type="dxa" w:w="1314"/>
          </w:tcPr>
          <w:p>
            <w:r/>
          </w:p>
        </w:tc>
      </w:tr>
      <w:tr>
        <w:tc>
          <w:tcPr>
            <w:tcW w:type="dxa" w:w="1314"/>
          </w:tcPr>
          <w:p>
            <w:r/>
          </w:p>
        </w:tc>
        <w:tc>
          <w:tcPr>
            <w:tcW w:type="dxa" w:w="1314"/>
          </w:tcPr>
          <w:p>
            <w:r/>
          </w:p>
        </w:tc>
        <w:tc>
          <w:tcPr>
            <w:tcW w:type="dxa" w:w="1314"/>
          </w:tcPr>
          <w:p>
            <w:r/>
          </w:p>
        </w:tc>
        <w:tc>
          <w:tcPr>
            <w:tcW w:type="dxa" w:w="1314"/>
          </w:tcPr>
          <w:p>
            <w:r/>
          </w:p>
        </w:tc>
        <w:tc>
          <w:tcPr>
            <w:tcW w:type="dxa" w:w="1314"/>
          </w:tcPr>
          <w:p>
            <w:r/>
          </w:p>
        </w:tc>
        <w:tc>
          <w:tcPr>
            <w:tcW w:type="dxa" w:w="1314"/>
          </w:tcPr>
          <w:p>
            <w:r/>
          </w:p>
        </w:tc>
        <w:tc>
          <w:tcPr>
            <w:tcW w:type="dxa" w:w="1314"/>
          </w:tcPr>
          <w:p>
            <w:r/>
          </w:p>
        </w:tc>
        <w:tc>
          <w:tcPr>
            <w:tcW w:type="dxa" w:w="1314"/>
          </w:tcPr>
          <w:p>
            <w:r/>
          </w:p>
        </w:tc>
      </w:tr>
    </w:tbl>
    <w:p>
      <w:r>
        <w:rPr>
          <w:i/>
          <w:sz w:val="14"/>
        </w:rPr>
        <w:t>Example entry: 15 Jan 2026 | Focimeter Nidek LM-7 (Asset DIO-LAB-01) | Monthly | Noreen (Lab Asst) | Pass — zero 0.00, –2.00 reads –2.02 (within ±0.06), optics clean | None | Hirzi (PC) | 15 Feb 2026</w:t>
      </w:r>
    </w:p>
    <w:p>
      <w:pPr>
        <w:pStyle w:val="Heading2"/>
      </w:pPr>
      <w:r>
        <w:t>3. Evidence for 1-Year Submission</w:t>
      </w:r>
    </w:p>
    <w:p>
      <w:pPr/>
      <w:r>
        <w:t>File in 01/16 Senarai kemudahan or new 34. PPM Log: (a) This SOP (1 p) + (b) 3 months of Log entries (Jan–Mar 2026) + (c) One external service invoice/certificate (annual) or vendor quotation if due after submission. This closes Area 5.1 with auditable preventive evidence, not reactive.</w:t>
      </w:r>
    </w:p>
    <w:p>
      <w:pPr>
        <w:pStyle w:val="Heading1"/>
      </w:pPr>
      <w:r>
        <w:t>PART C — REMAINING MINIMUM FIXES (1-Page TORs — To Be Issued)</w:t>
      </w:r>
    </w:p>
    <w:p>
      <w:pPr/>
      <w:r>
        <w:t>The following TORs/SOPs complete the 14 required areas of concern and can be issued as 1-page appendices to the Review File (no need for full OFI scope):</w:t>
      </w:r>
    </w:p>
    <w:p>
      <w:pPr>
        <w:pStyle w:val="ListBullet"/>
      </w:pPr>
      <w:r>
        <w:t>New-Lecturer Onboarding Pack (Area 4.1): 1-day orientation + OBE module (Bloom/Simpson/Krathwohl per GGP-AoSL) + competency checklist — addresses “tiada bukti program pembangunan staf berstruktur”.</w:t>
      </w:r>
    </w:p>
    <w:p>
      <w:pPr>
        <w:pStyle w:val="ListBullet"/>
      </w:pPr>
      <w:r>
        <w:t>Academic Coordinator TOR (Area 6.1): Clarifies co-chair role, meeting attendance (DIO Curriculum Review + PRM), continuity/quality control — fixes “kurang aktif”.</w:t>
      </w:r>
    </w:p>
    <w:p>
      <w:pPr>
        <w:pStyle w:val="ListBullet"/>
      </w:pPr>
      <w:r>
        <w:t>DIO-Specific QA Audit Request Memo (Area 7.2): Formal request to QA Unit for DIO-specific audit (not Medical Imaging) — audit report to be filed.</w:t>
      </w:r>
    </w:p>
    <w:p>
      <w:pPr>
        <w:pStyle w:val="ListBullet"/>
      </w:pPr>
      <w:r>
        <w:t>Moderation SOP Addendum (Area 2.2): Revise to require ≥3 persons including content expert/external; attach moderator CV.</w:t>
      </w:r>
    </w:p>
    <w:p>
      <w:pPr>
        <w:pStyle w:val="ListBullet"/>
      </w:pPr>
      <w:r>
        <w:t>Clinical External Examiner Appointment Letter Template (Area 2.3): For appointment per MOC p49-50 (professional exam every final session) — separate from expired EA.</w:t>
      </w:r>
    </w:p>
    <w:p>
      <w:pPr>
        <w:pStyle w:val="ListBullet"/>
      </w:pPr>
      <w:r>
        <w:t>Hands-on Audit Sheet (Area 1.5): Checklist auditing 3 LI logbooks vs MOC 500 hrs real-patient (hands-on vs observation ratio) — quantify and set target &gt;70% hands-on.</w:t>
      </w:r>
    </w:p>
    <w:p>
      <w:pPr>
        <w:pStyle w:val="IntenseQuote"/>
      </w:pPr>
      <w:r>
        <w:t>All above are minimum-scope (areas of concern only); 14 OFIs are marked “Noted — for continuous improvement” and need not be fully documented for the 1-year conditional submission. This keeps the package lean for MQA panel re-evaluation and the 1-year monitoring visit on PEO/PLO/CLO/content/alignment.</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