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A5F"/>
          <w:sz w:val="22"/>
        </w:rPr>
        <w:t>VISION UNIVERSITY COLLEGE — DIPLOMA IN OPTICIANRY (MQA/FA 18549)</w:t>
      </w:r>
    </w:p>
    <w:p>
      <w:pPr>
        <w:jc w:val="center"/>
      </w:pPr>
      <w:r>
        <w:rPr>
          <w:b/>
          <w:sz w:val="20"/>
        </w:rPr>
        <w:t>REMAINING TORs / SOPs — Minimum Scope to Close 14 Areas of Concern</w:t>
      </w:r>
    </w:p>
    <w:p>
      <w:pPr>
        <w:jc w:val="center"/>
      </w:pPr>
      <w:r>
        <w:rPr>
          <w:i/>
          <w:sz w:val="13"/>
        </w:rPr>
        <w:t>Reference: MQA Panel Area 4.1, 6.1, 2.2, 2.3 | MOC Code V2.1 Jan 2025 §4.1, §6.2, §2.2 p49-50 | COPPA Ed2 2017 Area 2 &amp; 4 | GGP-AoSL 2023</w:t>
        <w:br/>
        <w:t>Version: 1.0 | Effective: Jan 2026 | Owner: Programme Coordinator (MOC-registered) + Dean, School of Health Science</w:t>
      </w:r>
    </w:p>
    <w:p>
      <w:pPr>
        <w:pStyle w:val="Heading1"/>
      </w:pPr>
      <w:r>
        <w:t>Appendix 1 — Terms of Reference: Academic Coordinator, Diploma in Opticianry</w:t>
      </w:r>
    </w:p>
    <w:p>
      <w:pPr/>
      <w:r>
        <w:t>Purpose: Activate the Academic Coordinator role to ensure continuity and quality control in academic management, fixing Panel Area 6.1 “Penglibatan Academic Coordinator dalam pengurusan DIO masih kurang aktif” (distinct from Programme Coordinator who is MOC-registered full-time per MOC V2.1 §6.2).</w:t>
      </w:r>
    </w:p>
    <w:p>
      <w:r>
        <w:rPr>
          <w:b/>
        </w:rPr>
        <w:t xml:space="preserve">Position: </w:t>
      </w:r>
      <w:r>
        <w:t>Academic Coordinator, DIO — part-time/full-time academic with authority for curriculum oversight (reports to Dean). Works jointly with Programme Coordinator (MOC-registered) who retains statutory responsibility per MOC V2.1 §6.2.</w:t>
      </w:r>
    </w:p>
    <w:tbl>
      <w:tblPr>
        <w:tblStyle w:val="LightGrid-Accent1"/>
        <w:tblW w:type="auto" w:w="0"/>
        <w:tblLook w:firstColumn="1" w:firstRow="1" w:lastColumn="0" w:lastRow="0" w:noHBand="0" w:noVBand="1" w:val="04A0"/>
      </w:tblPr>
      <w:tblGrid>
        <w:gridCol w:w="3504"/>
        <w:gridCol w:w="3504"/>
        <w:gridCol w:w="3504"/>
      </w:tblGrid>
      <w:tr>
        <w:tc>
          <w:tcPr>
            <w:tcW w:type="dxa" w:w="3504"/>
          </w:tcPr>
          <w:p>
            <w:r>
              <w:rPr>
                <w:b/>
                <w:sz w:val="14"/>
              </w:rPr>
              <w:t>Responsibility</w:t>
            </w:r>
          </w:p>
        </w:tc>
        <w:tc>
          <w:tcPr>
            <w:tcW w:type="dxa" w:w="3504"/>
          </w:tcPr>
          <w:p>
            <w:r>
              <w:rPr>
                <w:b/>
                <w:sz w:val="14"/>
              </w:rPr>
              <w:t>Frequency</w:t>
            </w:r>
          </w:p>
        </w:tc>
        <w:tc>
          <w:tcPr>
            <w:tcW w:type="dxa" w:w="3504"/>
          </w:tcPr>
          <w:p>
            <w:r>
              <w:rPr>
                <w:b/>
                <w:sz w:val="14"/>
              </w:rPr>
              <w:t>Evidence</w:t>
            </w:r>
          </w:p>
        </w:tc>
      </w:tr>
      <w:tr>
        <w:tc>
          <w:tcPr>
            <w:tcW w:type="dxa" w:w="3504"/>
          </w:tcPr>
          <w:p>
            <w:r>
              <w:rPr>
                <w:sz w:val="13"/>
              </w:rPr>
              <w:t>Co-chair DIO Curriculum Review Meetings + PRM (with Programme Coordinator)</w:t>
            </w:r>
          </w:p>
        </w:tc>
        <w:tc>
          <w:tcPr>
            <w:tcW w:type="dxa" w:w="3504"/>
          </w:tcPr>
          <w:p>
            <w:r>
              <w:rPr>
                <w:sz w:val="13"/>
              </w:rPr>
              <w:t>All DIO review/PRM meetings (≥2 per semester)</w:t>
            </w:r>
          </w:p>
        </w:tc>
        <w:tc>
          <w:tcPr>
            <w:tcW w:type="dxa" w:w="3504"/>
          </w:tcPr>
          <w:p>
            <w:r>
              <w:rPr>
                <w:sz w:val="13"/>
              </w:rPr>
              <w:t>Minutes with both signatures (fixes Area 6.1/7.1)</w:t>
            </w:r>
          </w:p>
        </w:tc>
      </w:tr>
      <w:tr>
        <w:tc>
          <w:tcPr>
            <w:tcW w:type="dxa" w:w="3504"/>
          </w:tcPr>
          <w:p>
            <w:r>
              <w:rPr>
                <w:sz w:val="13"/>
              </w:rPr>
              <w:t>Review PEO/PLO/CLO matrices and Table 4 for MQF 5 Clusters + 11 MOC competencies before Senate</w:t>
            </w:r>
          </w:p>
        </w:tc>
        <w:tc>
          <w:tcPr>
            <w:tcW w:type="dxa" w:w="3504"/>
          </w:tcPr>
          <w:p>
            <w:r>
              <w:rPr>
                <w:sz w:val="13"/>
              </w:rPr>
              <w:t>Each major review cycle</w:t>
            </w:r>
          </w:p>
        </w:tc>
        <w:tc>
          <w:tcPr>
            <w:tcW w:type="dxa" w:w="3504"/>
          </w:tcPr>
          <w:p>
            <w:r>
              <w:rPr>
                <w:sz w:val="13"/>
              </w:rPr>
              <w:t>Checklist + sign-off</w:t>
            </w:r>
          </w:p>
        </w:tc>
      </w:tr>
      <w:tr>
        <w:tc>
          <w:tcPr>
            <w:tcW w:type="dxa" w:w="3504"/>
          </w:tcPr>
          <w:p>
            <w:r>
              <w:rPr>
                <w:sz w:val="13"/>
              </w:rPr>
              <w:t>Ensure moderation involves content expert (cross-check SOP Addendum)</w:t>
            </w:r>
          </w:p>
        </w:tc>
        <w:tc>
          <w:tcPr>
            <w:tcW w:type="dxa" w:w="3504"/>
          </w:tcPr>
          <w:p>
            <w:r>
              <w:rPr>
                <w:sz w:val="13"/>
              </w:rPr>
              <w:t>Each final exam session</w:t>
            </w:r>
          </w:p>
        </w:tc>
        <w:tc>
          <w:tcPr>
            <w:tcW w:type="dxa" w:w="3504"/>
          </w:tcPr>
          <w:p>
            <w:r>
              <w:rPr>
                <w:sz w:val="13"/>
              </w:rPr>
              <w:t>Moderation report countersignature</w:t>
            </w:r>
          </w:p>
        </w:tc>
      </w:tr>
      <w:tr>
        <w:tc>
          <w:tcPr>
            <w:tcW w:type="dxa" w:w="3504"/>
          </w:tcPr>
          <w:p>
            <w:r>
              <w:rPr>
                <w:sz w:val="13"/>
              </w:rPr>
              <w:t>Liaise with QA Unit for DIO-specific audit and with IAP/EA stakeholders</w:t>
            </w:r>
          </w:p>
        </w:tc>
        <w:tc>
          <w:tcPr>
            <w:tcW w:type="dxa" w:w="3504"/>
          </w:tcPr>
          <w:p>
            <w:r>
              <w:rPr>
                <w:sz w:val="13"/>
              </w:rPr>
              <w:t>Quarterly</w:t>
            </w:r>
          </w:p>
        </w:tc>
        <w:tc>
          <w:tcPr>
            <w:tcW w:type="dxa" w:w="3504"/>
          </w:tcPr>
          <w:p>
            <w:r>
              <w:rPr>
                <w:sz w:val="13"/>
              </w:rPr>
              <w:t>QA audit request memo + IAP minutes</w:t>
            </w:r>
          </w:p>
        </w:tc>
      </w:tr>
      <w:tr>
        <w:tc>
          <w:tcPr>
            <w:tcW w:type="dxa" w:w="3504"/>
          </w:tcPr>
          <w:p>
            <w:r>
              <w:rPr>
                <w:sz w:val="13"/>
              </w:rPr>
              <w:t>Report to Dean on CQI → institutional objectives linkage</w:t>
            </w:r>
          </w:p>
        </w:tc>
        <w:tc>
          <w:tcPr>
            <w:tcW w:type="dxa" w:w="3504"/>
          </w:tcPr>
          <w:p>
            <w:r>
              <w:rPr>
                <w:sz w:val="13"/>
              </w:rPr>
              <w:t>Per PRM</w:t>
            </w:r>
          </w:p>
        </w:tc>
        <w:tc>
          <w:tcPr>
            <w:tcW w:type="dxa" w:w="3504"/>
          </w:tcPr>
          <w:p>
            <w:r>
              <w:rPr>
                <w:sz w:val="13"/>
              </w:rPr>
              <w:t>PRM outcome presented to top management (fixes Area 7.3)</w:t>
            </w:r>
          </w:p>
        </w:tc>
      </w:tr>
    </w:tbl>
    <w:p>
      <w:r>
        <w:rPr>
          <w:b/>
        </w:rPr>
        <w:t xml:space="preserve">Appointment &amp; Authority: </w:t>
      </w:r>
      <w:r>
        <w:t>Appointed by Dean via formal letter (surat lantikan) with 2-year term, renewable. Authority includes curriculum design, delivery and review per COPPA Area 6. This TOR resolves the panel’s observation that communication was “terhad kepada koordinator Program dan pensyarah sahaja” — now includes Academic Coordinator in all academic decisions.</w:t>
      </w:r>
    </w:p>
    <w:p>
      <w:pPr>
        <w:pStyle w:val="Heading1"/>
      </w:pPr>
      <w:r>
        <w:t>Appendix 2 — Structured Development Programme for New Lecturers — DIO</w:t>
      </w:r>
    </w:p>
    <w:p>
      <w:pPr/>
      <w:r>
        <w:t>Purpose: Provide structured development for new lecturers — orientation, OBE course, competency module — fixing Panel Area 4.1 “tiada bukti program pembangunan staf berstruktur untuk pensyarah baharu… pembangunan kurikulum oleh staf dalaman agak kurang memuaskan”. Required per MOC V2.1 §4.1 and COPPA Area 4.</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sz w:val="14"/>
              </w:rPr>
              <w:t>Module</w:t>
            </w:r>
          </w:p>
        </w:tc>
        <w:tc>
          <w:tcPr>
            <w:tcW w:type="dxa" w:w="2628"/>
          </w:tcPr>
          <w:p>
            <w:r>
              <w:rPr>
                <w:b/>
                <w:sz w:val="14"/>
              </w:rPr>
              <w:t>Content</w:t>
            </w:r>
          </w:p>
        </w:tc>
        <w:tc>
          <w:tcPr>
            <w:tcW w:type="dxa" w:w="2628"/>
          </w:tcPr>
          <w:p>
            <w:r>
              <w:rPr>
                <w:b/>
                <w:sz w:val="14"/>
              </w:rPr>
              <w:t>Duration</w:t>
            </w:r>
          </w:p>
        </w:tc>
        <w:tc>
          <w:tcPr>
            <w:tcW w:type="dxa" w:w="2628"/>
          </w:tcPr>
          <w:p>
            <w:r>
              <w:rPr>
                <w:b/>
                <w:sz w:val="14"/>
              </w:rPr>
              <w:t>Evidence</w:t>
            </w:r>
          </w:p>
        </w:tc>
      </w:tr>
      <w:tr>
        <w:tc>
          <w:tcPr>
            <w:tcW w:type="dxa" w:w="2628"/>
          </w:tcPr>
          <w:p>
            <w:r>
              <w:rPr>
                <w:sz w:val="13"/>
              </w:rPr>
              <w:t>A. Orientation (Day 1)</w:t>
            </w:r>
          </w:p>
        </w:tc>
        <w:tc>
          <w:tcPr>
            <w:tcW w:type="dxa" w:w="2628"/>
          </w:tcPr>
          <w:p>
            <w:r>
              <w:rPr>
                <w:sz w:val="13"/>
              </w:rPr>
              <w:t>VUC vision/mission, DIO PEO/PLO, Act 469 scope, MOC Code V2.1, MQF 5 Clusters, QA document control, lab safety</w:t>
            </w:r>
          </w:p>
        </w:tc>
        <w:tc>
          <w:tcPr>
            <w:tcW w:type="dxa" w:w="2628"/>
          </w:tcPr>
          <w:p>
            <w:r>
              <w:rPr>
                <w:sz w:val="13"/>
              </w:rPr>
              <w:t>0.5 day</w:t>
            </w:r>
          </w:p>
        </w:tc>
        <w:tc>
          <w:tcPr>
            <w:tcW w:type="dxa" w:w="2628"/>
          </w:tcPr>
          <w:p>
            <w:r>
              <w:rPr>
                <w:sz w:val="13"/>
              </w:rPr>
              <w:t>Attendance sheet + onboarding checklist signed</w:t>
            </w:r>
          </w:p>
        </w:tc>
      </w:tr>
      <w:tr>
        <w:tc>
          <w:tcPr>
            <w:tcW w:type="dxa" w:w="2628"/>
          </w:tcPr>
          <w:p>
            <w:r>
              <w:rPr>
                <w:sz w:val="13"/>
              </w:rPr>
              <w:t>B. OBE Competency Module</w:t>
            </w:r>
          </w:p>
        </w:tc>
        <w:tc>
          <w:tcPr>
            <w:tcW w:type="dxa" w:w="2628"/>
          </w:tcPr>
          <w:p>
            <w:r>
              <w:rPr>
                <w:sz w:val="13"/>
              </w:rPr>
              <w:t>Bloom revised (Anderson &amp; Krathwohl C1-C6), Simpson P1-P5, Krathwohl A1-A5 per GGP-AoSL 2023; CLO writing, MQF Cluster mapping, CLO-PLO alignment, HOTS/A/P selection (fixes Area 1.4)</w:t>
            </w:r>
          </w:p>
        </w:tc>
        <w:tc>
          <w:tcPr>
            <w:tcW w:type="dxa" w:w="2628"/>
          </w:tcPr>
          <w:p>
            <w:r>
              <w:rPr>
                <w:sz w:val="13"/>
              </w:rPr>
              <w:t>1 day workshop</w:t>
            </w:r>
          </w:p>
        </w:tc>
        <w:tc>
          <w:tcPr>
            <w:tcW w:type="dxa" w:w="2628"/>
          </w:tcPr>
          <w:p>
            <w:r>
              <w:rPr>
                <w:sz w:val="13"/>
              </w:rPr>
              <w:t>OBE quiz + CLO drafting exercise (pass/fail)</w:t>
            </w:r>
          </w:p>
        </w:tc>
      </w:tr>
      <w:tr>
        <w:tc>
          <w:tcPr>
            <w:tcW w:type="dxa" w:w="2628"/>
          </w:tcPr>
          <w:p>
            <w:r>
              <w:rPr>
                <w:sz w:val="13"/>
              </w:rPr>
              <w:t>C. DIO Curriculum Induction</w:t>
            </w:r>
          </w:p>
        </w:tc>
        <w:tc>
          <w:tcPr>
            <w:tcW w:type="dxa" w:w="2628"/>
          </w:tcPr>
          <w:p>
            <w:r>
              <w:rPr>
                <w:sz w:val="13"/>
              </w:rPr>
              <w:t>Table 4 (100 credits, 500 hrs real-patient), course proforma, SLT 40 hrs/credit, assessment blueprint per GGP-AoSL</w:t>
            </w:r>
          </w:p>
        </w:tc>
        <w:tc>
          <w:tcPr>
            <w:tcW w:type="dxa" w:w="2628"/>
          </w:tcPr>
          <w:p>
            <w:r>
              <w:rPr>
                <w:sz w:val="13"/>
              </w:rPr>
              <w:t>0.5 day</w:t>
            </w:r>
          </w:p>
        </w:tc>
        <w:tc>
          <w:tcPr>
            <w:tcW w:type="dxa" w:w="2628"/>
          </w:tcPr>
          <w:p>
            <w:r>
              <w:rPr>
                <w:sz w:val="13"/>
              </w:rPr>
              <w:t>Proforma walkthrough sign-off</w:t>
            </w:r>
          </w:p>
        </w:tc>
      </w:tr>
      <w:tr>
        <w:tc>
          <w:tcPr>
            <w:tcW w:type="dxa" w:w="2628"/>
          </w:tcPr>
          <w:p>
            <w:r>
              <w:rPr>
                <w:sz w:val="13"/>
              </w:rPr>
              <w:t>D. Supervised Teaching</w:t>
            </w:r>
          </w:p>
        </w:tc>
        <w:tc>
          <w:tcPr>
            <w:tcW w:type="dxa" w:w="2628"/>
          </w:tcPr>
          <w:p>
            <w:r>
              <w:rPr>
                <w:sz w:val="13"/>
              </w:rPr>
              <w:t>Co-teaching 1 course with mentor (Programme Coordinator/Academic Coordinator) + peer review</w:t>
            </w:r>
          </w:p>
        </w:tc>
        <w:tc>
          <w:tcPr>
            <w:tcW w:type="dxa" w:w="2628"/>
          </w:tcPr>
          <w:p>
            <w:r>
              <w:rPr>
                <w:sz w:val="13"/>
              </w:rPr>
              <w:t>First semester</w:t>
            </w:r>
          </w:p>
        </w:tc>
        <w:tc>
          <w:tcPr>
            <w:tcW w:type="dxa" w:w="2628"/>
          </w:tcPr>
          <w:p>
            <w:r>
              <w:rPr>
                <w:sz w:val="13"/>
              </w:rPr>
              <w:t>Peer review form + mentor log (fixes 01/18 Mentor-Mentee)</w:t>
            </w:r>
          </w:p>
        </w:tc>
      </w:tr>
      <w:tr>
        <w:tc>
          <w:tcPr>
            <w:tcW w:type="dxa" w:w="2628"/>
          </w:tcPr>
          <w:p>
            <w:r>
              <w:rPr>
                <w:sz w:val="13"/>
              </w:rPr>
              <w:t>E. Assessment &amp; Moderation</w:t>
            </w:r>
          </w:p>
        </w:tc>
        <w:tc>
          <w:tcPr>
            <w:tcW w:type="dxa" w:w="2628"/>
          </w:tcPr>
          <w:p>
            <w:r>
              <w:rPr>
                <w:sz w:val="13"/>
              </w:rPr>
              <w:t>Moderation SOP addendum (content expert), external examiner process, marking rubric</w:t>
            </w:r>
          </w:p>
        </w:tc>
        <w:tc>
          <w:tcPr>
            <w:tcW w:type="dxa" w:w="2628"/>
          </w:tcPr>
          <w:p>
            <w:r>
              <w:rPr>
                <w:sz w:val="13"/>
              </w:rPr>
              <w:t>Half-day</w:t>
            </w:r>
          </w:p>
        </w:tc>
        <w:tc>
          <w:tcPr>
            <w:tcW w:type="dxa" w:w="2628"/>
          </w:tcPr>
          <w:p>
            <w:r>
              <w:rPr>
                <w:sz w:val="13"/>
              </w:rPr>
              <w:t>Moderation report participation</w:t>
            </w:r>
          </w:p>
        </w:tc>
      </w:tr>
    </w:tbl>
    <w:p>
      <w:pPr>
        <w:pStyle w:val="IntenseQuote"/>
      </w:pPr>
      <w:r>
        <w:t>Completion: New lecturer must complete A–C before independent teaching, D within first semester, E before first exam. Records filed in 01/06 (staff file) and QA Unit. Addresses internal curriculum development weakness noted by panel.</w:t>
      </w:r>
    </w:p>
    <w:p>
      <w:pPr>
        <w:pStyle w:val="Heading1"/>
      </w:pPr>
      <w:r>
        <w:t>Appendix 3 — Standard Operating Procedure Addendum: Moderation / Vetting of Final Examination Questions</w:t>
      </w:r>
    </w:p>
    <w:p>
      <w:pPr/>
      <w:r>
        <w:t>Purpose: Strengthen mechanism for validity, reliability, integrity and fairness of assessment, fixing Panel Area 2.2 “hanya melibatkan penyelaras program dan seorang pensyarah”. Required per COPPA Area 2.3 + MOC V2.1 p49-50 (external examiners in professional exams) + GGP-AoSL (validity/reliability). Supersedes prior 2-person practice.</w:t>
      </w:r>
    </w:p>
    <w:p>
      <w:r>
        <w:rPr>
          <w:i/>
          <w:sz w:val="14"/>
        </w:rPr>
        <w:t>Effective: February 2026 (next final exam session) | Applies to: All DIO core and MPU courses with final examination (written/practical/OSCE) | Owner: Programme Coordinator</w:t>
        <w:br/>
      </w:r>
    </w:p>
    <w:p>
      <w:pPr>
        <w:pStyle w:val="ListNumber"/>
      </w:pPr>
      <w:r>
        <w:t>1. Composition: Moderation panel = Minimum 3 persons: (a) Course lecturer (setter), (b) Programme Coordinator or Academic Coordinator, (c) Content expert (internal subject expert with ≥2 years teaching or external — e.g., from UCSI/UiTM optometry or Hospital Selayang optometrist). Content expert must not be the setter.</w:t>
      </w:r>
    </w:p>
    <w:p>
      <w:pPr>
        <w:pStyle w:val="ListNumber"/>
      </w:pPr>
      <w:r>
        <w:t>2. Timeline: Draft paper + JSU + marking scheme submitted to panel ≥14 days before vetting meeting. Vetting meeting minuted. Revised paper + moderation form signed ≥7 days before printing.</w:t>
      </w:r>
    </w:p>
    <w:p>
      <w:pPr>
        <w:pStyle w:val="ListNumber"/>
      </w:pPr>
      <w:r>
        <w:t>3. Checklist (to be signed): Constructive alignment CLO-PLO-MQF Cluster checked; Bloom level (C1-C6) vs assessment type appropriate (HOTS not MCQ-only); affective A-level vs presentation/assignment match; psychomotor P-level vs practical/OSCE match (P4/P5 required); SLT/weightage per MQF clusters; past question / leak prevention.</w:t>
      </w:r>
    </w:p>
    <w:p>
      <w:pPr>
        <w:pStyle w:val="ListNumber"/>
      </w:pPr>
      <w:r>
        <w:t>4. Security: Paperless/online exam — per Area 2 OFI, follow SOP tatacara peperiksaan atas talian (added as addendum to paperless SOP). Questions stored in secure drive, access logged; moderation via password-protected PDF, not email attachment.</w:t>
      </w:r>
    </w:p>
    <w:p>
      <w:pPr>
        <w:pStyle w:val="ListNumber"/>
      </w:pPr>
      <w:r>
        <w:t>5. Records: Moderation Report (01/19/4) must contain: panel names/qualifications/signatures, date, checklist, tracked changes, and “Approved for printing” stamp. Filed in course file and QA Unit. For clinical professional exams, also attach external examiner appointment letter (Appendix 4).</w:t>
      </w:r>
    </w:p>
    <w:p>
      <w:pPr>
        <w:pStyle w:val="IntenseQuote"/>
      </w:pPr>
      <w:r>
        <w:t>Non-compliance: Paper without 3-person moderation will not be approved by Head of Academic for printing. This addendum is attached to the existing paperless SOP and closes Area 2.2 for the 1-year submission; 3 moderation reports with content-expert signatures will be shown at monitoring visit.</w:t>
      </w:r>
    </w:p>
    <w:p>
      <w:pPr>
        <w:pStyle w:val="Heading1"/>
      </w:pPr>
      <w:r>
        <w:t>Appendix 4 — Appointment Letter Template: External Examiner (Clinical Professional Examination) — DIO</w:t>
      </w:r>
    </w:p>
    <w:p>
      <w:pPr/>
      <w:r>
        <w:t>Purpose: Provide clear evidence of external examiner appointment for clinical professional examinations (final academic session), fixing Panel Area 2.3 “Tiada bukti jelas proses pelantikan pemeriksa luar (peperiksaan klinikal)”. Required per MOC V2.1 p49-50 “External examiners to be included in professional examinations every final academic session” and COPPA 2.3. Distinct from EA (External Academic Adviser) — this examiner assesses student clinical performance, not programme.</w:t>
      </w:r>
    </w:p>
    <w:p>
      <w:r>
        <w:rPr>
          <w:sz w:val="14"/>
        </w:rPr>
        <w:t>[On VUC Letterhead]</w:t>
        <w:br/>
        <w:t>Ref: VUC/DIO/EXT-EXAM/2026-01</w:t>
        <w:br/>
        <w:t>Date: ___ February 2026</w:t>
        <w:br/>
        <w:t>To: [Name, Title, Organisation, MOC Registration No.]</w:t>
        <w:br/>
        <w:t>Re: Appointment as External Examiner — Diploma in Opticianry (MQA/FA 18549) — Clinical Professional Examination (Final Academic Session ___ 2026)</w:t>
        <w:br/>
        <w:br/>
        <w:t>Dear [Title] [Name],</w:t>
        <w:br/>
        <w:br/>
        <w:t>Vision University College, School of Health Science, hereby appoints you as External Examiner for the Diploma in Opticianry (MQA/FA 18549) clinical professional examination for the final academic session [e.g., Semester 5/6, 2026].</w:t>
        <w:br/>
        <w:br/>
        <w:t>Scope (per MOC Code V2.1 p49-50 and COPPA Area 2):</w:t>
        <w:br/>
        <w:t>• Moderate clinical examination papers/OSCE stations and marking schemes (pre-exam vetting)</w:t>
        <w:br/>
        <w:t>• Observe or co-assess clinical practical examinations (dispensing, refraction, binocular vision, hands-on) — sample ≥10% of candidates or as agreed</w:t>
        <w:br/>
        <w:t>• Review marked scripts/practical rubrics/logbooks for validity/reliability</w:t>
        <w:br/>
        <w:t>• Provide written External Examiner Report with findings and recommendations (to be filed in 01/21 and used for CQI closing-the-loop)</w:t>
        <w:br/>
        <w:br/>
        <w:t>Appointment period: [Session e.g., Mar–Jul 2026], renewable per session. Remuneration: [RM___ per session / per GGP norms] + travel/honorarium as per VUC policy.</w:t>
        <w:br/>
        <w:br/>
        <w:t>Qualifications required: Registered optometrist/optician with MOC-registered APC, ≥3 years clinical experience (per MOC V2.1 §4.1 vi for clinical supervision), and recognised academic/professional standing — please attach CV, MOC registration/APC copy, and CPD record.</w:t>
        <w:br/>
        <w:br/>
        <w:t>Please confirm acceptance by ___ February 2026 via reply slip below and return signed copy to the Programme Coordinator (MOC-registered, Full-time).</w:t>
        <w:br/>
        <w:br/>
        <w:t>Thank you for supporting VUC DIO quality assurance.</w:t>
        <w:br/>
        <w:br/>
        <w:t>Yours sincerely,</w:t>
        <w:br/>
        <w:t>[Dean, School of Health Science]</w:t>
        <w:br/>
        <w:t>[Programme Coordinator, MOC-registered]</w:t>
        <w:br/>
        <w:t>[Head of Academic / Registrar]</w:t>
        <w:br/>
        <w:br/>
        <w:t>— Reply Slip —</w:t>
        <w:br/>
        <w:t>I, [Name, MOC Reg. No. ___], accept the appointment as External Examiner for the above session and agree to the scope and confidentiality.</w:t>
        <w:br/>
        <w:br/>
        <w:t>Signature: _________________ Date: _______</w:t>
        <w:br/>
      </w:r>
    </w:p>
    <w:p>
      <w:pPr>
        <w:pStyle w:val="IntenseQuote"/>
      </w:pPr>
      <w:r>
        <w:t>Filing: Original letter + reply slip + CV/APC + External Examiner Report to be filed in 01/21 Laporan Pemeriksa Luar and in each final-session course file (01/19/4 Moderation Report + 01/19/7 Student Assessment). For the 1-year MQA improvement submission, attach at least one appointment letter (even if examination not yet held — appointment evidence satisfies “proses pelantikan” concern; report will be provided at monitoring visit). This is separate from EA appointment (Assoc. Prof. Dr. Md Muziman Syah) — EA reviews programme (COPPA 1-9), external examiner assesses students.</w:t>
      </w:r>
    </w:p>
    <w:p>
      <w:pPr>
        <w:pStyle w:val="Heading2"/>
      </w:pPr>
      <w:r>
        <w:t>Evidence Checklist for 1-Year Submission (These 4 Appendices)</w:t>
      </w:r>
    </w:p>
    <w:p>
      <w:pPr>
        <w:pStyle w:val="ListBullet"/>
      </w:pPr>
      <w:r>
        <w:t>Academic Coordinator TOR (Appendix 1) + appointment letter (01/02) + meeting minutes showing co-chair involvement — closes Area 6.1</w:t>
      </w:r>
    </w:p>
    <w:p>
      <w:pPr>
        <w:pStyle w:val="ListBullet"/>
      </w:pPr>
      <w:r>
        <w:t>New-Lecturer Onboarding Pack completion records (Appendix 2) for at least 2 recent lecturers — closes Area 4.1</w:t>
      </w:r>
    </w:p>
    <w:p>
      <w:pPr>
        <w:pStyle w:val="ListBullet"/>
      </w:pPr>
      <w:r>
        <w:t>Moderation SOP Addendum (Appendix 3) + 3 moderated papers with 3 signatures including content expert (01/19/4) — closes Area 2.2</w:t>
      </w:r>
    </w:p>
    <w:p>
      <w:pPr>
        <w:pStyle w:val="ListBullet"/>
      </w:pPr>
      <w:r>
        <w:t>Clinical External Examiner appointment letter (Appendix 4) + CV/APC (01/21) — closes Area 2.3 (report due at exam session)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