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 Runbook</w:t>
      </w:r>
    </w:p>
    <w:p>
      <w:pPr>
        <w:pStyle w:val="Subtitle"/>
      </w:pPr>
      <w:r>
        <w:t xml:space="preserve">January 2026</w:t>
      </w:r>
    </w:p>
    <w:p>
      <w:pPr>
        <w:pStyle w:val="BlockText"/>
      </w:pPr>
      <w:r>
        <w:t xml:space="preserve">Short operator guide. Detailed technical references are linked, not included. Markdown is the maintained source; use approved inputs and templates for the reporting cycle.</w:t>
      </w:r>
    </w:p>
    <w:bookmarkStart w:id="15" w:name="pra-runbook-pra-offline-runbook"/>
    <w:p>
      <w:pPr>
        <w:pStyle w:val="Heading1"/>
      </w:pPr>
      <w:r>
        <w:t xml:space="preserve">PRA offline runbook</w:t>
      </w:r>
    </w:p>
    <w:bookmarkStart w:id="9" w:name="pra-runbook-operator-steps"/>
    <w:p>
      <w:pPr>
        <w:pStyle w:val="Heading2"/>
      </w:pPr>
      <w:r>
        <w:t xml:space="preserve">Operator steps</w:t>
      </w:r>
    </w:p>
    <w:p>
      <w:pPr>
        <w:pStyle w:val="FirstParagraph"/>
      </w:pPr>
      <w:r>
        <w:t xml:space="preserve">Use Python 3.13+ on the calculation PC; it does not need SQL Server access, ODBC, Excel or</w:t>
      </w:r>
      <w:r>
        <w:t xml:space="preserve"> </w:t>
      </w:r>
      <w:r>
        <w:rPr>
          <w:rStyle w:val="VerbatimChar"/>
        </w:rPr>
        <w:t xml:space="preserve">uv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Create one input folder and one empty output folder for each approved snapshot and peril/policy selection, without mixing snapshots or scopes.</w:t>
      </w:r>
    </w:p>
    <w:p>
      <w:pPr>
        <w:pStyle w:val="Compact"/>
        <w:numPr>
          <w:ilvl w:val="0"/>
          <w:numId w:val="1001"/>
        </w:numPr>
      </w:pPr>
      <w:r>
        <w:t xml:space="preserve">On the approved SQL Server, run</w:t>
      </w:r>
      <w:r>
        <w:t xml:space="preserve"> </w:t>
      </w:r>
      <w:r>
        <w:rPr>
          <w:rStyle w:val="VerbatimChar"/>
        </w:rPr>
        <w:t xml:space="preserve">pra/sql/pra-raw.sql</w:t>
      </w:r>
      <w:r>
        <w:t xml:space="preserve"> </w:t>
      </w:r>
      <w:r>
        <w:t xml:space="preserve">with the recorded PRA defaults</w:t>
      </w:r>
      <w:r>
        <w:t xml:space="preserve"> </w:t>
      </w:r>
      <w:r>
        <w:rPr>
          <w:rStyle w:val="VerbatimChar"/>
        </w:rPr>
        <w:t xml:space="preserve">@peril = 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@policy_type = 2</w:t>
      </w:r>
      <w:r>
        <w:t xml:space="preserve"> </w:t>
      </w:r>
      <w:r>
        <w:t xml:space="preserve">unless the approved selection says otherwise.</w:t>
      </w:r>
    </w:p>
    <w:p>
      <w:pPr>
        <w:pStyle w:val="Compact"/>
        <w:numPr>
          <w:ilvl w:val="0"/>
          <w:numId w:val="1001"/>
        </w:numPr>
      </w:pPr>
      <w:r>
        <w:t xml:space="preserve">Export the SQL result, including its header, as</w:t>
      </w:r>
      <w:r>
        <w:t xml:space="preserve"> </w:t>
      </w:r>
      <w:r>
        <w:rPr>
          <w:rStyle w:val="VerbatimChar"/>
        </w:rPr>
        <w:t xml:space="preserve">&lt;input-dir&gt;/pra-source.csv</w:t>
      </w:r>
      <w:r>
        <w:t xml:space="preserve"> </w:t>
      </w:r>
      <w:r>
        <w:t xml:space="preserve">with exactly</w:t>
      </w:r>
      <w:r>
        <w:t xml:space="preserve"> </w:t>
      </w:r>
      <w:r>
        <w:rPr>
          <w:rStyle w:val="VerbatimChar"/>
        </w:rPr>
        <w:t xml:space="preserve">pml,accgrpid,uwritrname,state,userid1,branchname,cntrycode</w:t>
      </w:r>
      <w:r>
        <w:t xml:space="preserve"> </w:t>
      </w:r>
      <w:r>
        <w:t xml:space="preserve">in that order.</w:t>
      </w:r>
    </w:p>
    <w:p>
      <w:pPr>
        <w:pStyle w:val="Compact"/>
        <w:numPr>
          <w:ilvl w:val="0"/>
          <w:numId w:val="1001"/>
        </w:numPr>
      </w:pPr>
      <w:r>
        <w:t xml:space="preserve">On the calculation PC, create the one-time environment with</w:t>
      </w:r>
      <w:r>
        <w:t xml:space="preserve"> </w:t>
      </w:r>
      <w:r>
        <w:rPr>
          <w:rStyle w:val="VerbatimChar"/>
        </w:rPr>
        <w:t xml:space="preserve">python -m venv .venv</w:t>
      </w:r>
      <w:r>
        <w:t xml:space="preserve"> </w:t>
      </w:r>
      <w:r>
        <w:t xml:space="preserve">and, on Windows, install dependencies with</w:t>
      </w:r>
      <w:r>
        <w:t xml:space="preserve"> </w:t>
      </w:r>
      <w:r>
        <w:rPr>
          <w:rStyle w:val="VerbatimChar"/>
        </w:rPr>
        <w:t xml:space="preserve">.venv\Scripts\python -m pip install -r bscr/requirements.txt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Set</w:t>
      </w:r>
      <w:r>
        <w:t xml:space="preserve"> </w:t>
      </w:r>
      <w:r>
        <w:rPr>
          <w:rStyle w:val="VerbatimChar"/>
        </w:rPr>
        <w:t xml:space="preserve">PRA_INPUT_CSV</w:t>
      </w:r>
      <w:r>
        <w:t xml:space="preserve">,</w:t>
      </w:r>
      <w:r>
        <w:t xml:space="preserve"> </w:t>
      </w:r>
      <w:r>
        <w:rPr>
          <w:rStyle w:val="VerbatimChar"/>
        </w:rPr>
        <w:t xml:space="preserve">BSCR_INPUT_CSV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 </w:t>
      </w:r>
      <w:r>
        <w:t xml:space="preserve">at the top of</w:t>
      </w:r>
      <w:r>
        <w:t xml:space="preserve"> </w:t>
      </w:r>
      <w:r>
        <w:rPr>
          <w:rStyle w:val="VerbatimChar"/>
        </w:rPr>
        <w:t xml:space="preserve">bscr/BSCR_UKEU.py</w:t>
      </w:r>
      <w:r>
        <w:t xml:space="preserve"> </w:t>
      </w:r>
      <w:r>
        <w:t xml:space="preserve">using the example below, then run</w:t>
      </w:r>
      <w:r>
        <w:t xml:space="preserve"> </w:t>
      </w:r>
      <w:r>
        <w:rPr>
          <w:rStyle w:val="VerbatimChar"/>
        </w:rPr>
        <w:t xml:space="preserve">.venv\Scripts\python bscr/BSCR_UKEU.py</w:t>
      </w:r>
      <w:r>
        <w:t xml:space="preserve"> </w:t>
      </w:r>
      <w:r>
        <w:t xml:space="preserve">with no arguments.</w:t>
      </w:r>
    </w:p>
    <w:p>
      <w:pPr>
        <w:pStyle w:val="Compact"/>
        <w:numPr>
          <w:ilvl w:val="0"/>
          <w:numId w:val="1001"/>
        </w:numPr>
      </w:pPr>
      <w:r>
        <w:t xml:space="preserve">Confirm that the output directory was absent or empty before the run and that it now contains exactly</w:t>
      </w:r>
      <w:r>
        <w:t xml:space="preserve"> </w:t>
      </w:r>
      <w:r>
        <w:rPr>
          <w:rStyle w:val="VerbatimChar"/>
        </w:rPr>
        <w:t xml:space="preserve">pra-raw.csv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pra-aggregate.csv</w:t>
      </w:r>
      <w:r>
        <w:t xml:space="preserve"> </w:t>
      </w:r>
      <w:r>
        <w:t xml:space="preserve">for a PRA-only run.</w:t>
      </w:r>
    </w:p>
    <w:p>
      <w:pPr>
        <w:pStyle w:val="Compact"/>
        <w:numPr>
          <w:ilvl w:val="0"/>
          <w:numId w:val="1001"/>
        </w:numPr>
      </w:pPr>
      <w:r>
        <w:t xml:space="preserve">Check</w:t>
      </w:r>
      <w:r>
        <w:t xml:space="preserve"> </w:t>
      </w:r>
      <w:r>
        <w:rPr>
          <w:rStyle w:val="VerbatimChar"/>
        </w:rPr>
        <w:t xml:space="preserve">pra-raw.csv</w:t>
      </w:r>
      <w:r>
        <w:t xml:space="preserve"> </w:t>
      </w:r>
      <w:r>
        <w:t xml:space="preserve">as the seven-column raw file and</w:t>
      </w:r>
      <w:r>
        <w:t xml:space="preserve"> </w:t>
      </w:r>
      <w:r>
        <w:rPr>
          <w:rStyle w:val="VerbatimChar"/>
        </w:rPr>
        <w:t xml:space="preserve">pra-aggregate.csv</w:t>
      </w:r>
      <w:r>
        <w:t xml:space="preserve"> </w:t>
      </w:r>
      <w:r>
        <w:t xml:space="preserve">as the five-column file</w:t>
      </w:r>
      <w:r>
        <w:t xml:space="preserve"> </w:t>
      </w:r>
      <w:r>
        <w:rPr>
          <w:rStyle w:val="VerbatimChar"/>
        </w:rPr>
        <w:t xml:space="preserve">pml,state,userid1,cntrycode,uwritrname</w:t>
      </w:r>
      <w:r>
        <w:t xml:space="preserve">, then reconcile row counts, headers, totals, and approved tolerances.</w:t>
      </w:r>
    </w:p>
    <w:p>
      <w:pPr>
        <w:pStyle w:val="Compact"/>
        <w:numPr>
          <w:ilvl w:val="0"/>
          <w:numId w:val="1001"/>
        </w:numPr>
      </w:pPr>
      <w:r>
        <w:t xml:space="preserve">Retain the SQL export, both output files, snapshot/peril/policy metadata, script and query revisions, mappings, and the reconciliation record before review.</w:t>
      </w:r>
    </w:p>
    <w:p>
      <w:pPr>
        <w:pStyle w:val="Compact"/>
        <w:numPr>
          <w:ilvl w:val="0"/>
          <w:numId w:val="1001"/>
        </w:numPr>
      </w:pPr>
      <w:r>
        <w:t xml:space="preserve">Treat unexplained differences, partial files, malformed headers, mapping errors, currency or unit uncertainty, and policy-join cardinality or cross-product risk as stops.</w:t>
      </w:r>
    </w:p>
    <w:p>
      <w:pPr>
        <w:pStyle w:val="Compact"/>
        <w:numPr>
          <w:ilvl w:val="0"/>
          <w:numId w:val="1001"/>
        </w:numPr>
      </w:pPr>
      <w:r>
        <w:t xml:space="preserve">Treat these files as reviewed internal calculation candidates only: no checked-in template or approved source-to-destination map establishes a final PRA return.</w:t>
      </w:r>
    </w:p>
    <w:p>
      <w:pPr>
        <w:pStyle w:val="FirstParagraph"/>
      </w:pPr>
      <w:r>
        <w:t xml:space="preserve">Edit this configuration block at the top of the Python file, replacing the example locations with your actual paths:</w:t>
      </w:r>
    </w:p>
    <w:p>
      <w:pPr>
        <w:pStyle w:val="SourceCode"/>
      </w:pPr>
      <w:r>
        <w:rPr>
          <w:rStyle w:val="NormalTok"/>
        </w:rPr>
        <w:t xml:space="preserve">BSCR_INPUT_CSV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PRA_INPUT_CSV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erbatimStringTok"/>
        </w:rPr>
        <w:t xml:space="preserve">r"C: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Returns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eq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input</w:t>
      </w:r>
      <w:r>
        <w:rPr>
          <w:rStyle w:val="DecValTok"/>
        </w:rPr>
        <w:t xml:space="preserve">\m</w:t>
      </w:r>
      <w:r>
        <w:rPr>
          <w:rStyle w:val="VerbatimStringTok"/>
        </w:rPr>
        <w:t xml:space="preserve">y PRA extract</w:t>
      </w:r>
      <w:r>
        <w:rPr>
          <w:rStyle w:val="DecValTok"/>
        </w:rPr>
        <w:t xml:space="preserve">.</w:t>
      </w:r>
      <w:r>
        <w:rPr>
          <w:rStyle w:val="VerbatimStringTok"/>
        </w:rPr>
        <w:t xml:space="preserve">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Path(</w:t>
      </w:r>
      <w:r>
        <w:rPr>
          <w:rStyle w:val="VerbatimStringTok"/>
        </w:rPr>
        <w:t xml:space="preserve">r"C: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Returns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eq</w:t>
      </w:r>
      <w:r>
        <w:rPr>
          <w:rStyle w:val="ErrorTok"/>
        </w:rPr>
        <w:t xml:space="preserve">\</w:t>
      </w:r>
      <w:r>
        <w:rPr>
          <w:rStyle w:val="VerbatimStringTok"/>
        </w:rPr>
        <w:t xml:space="preserve">output"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Include the CSV filename in</w:t>
      </w:r>
      <w:r>
        <w:t xml:space="preserve"> </w:t>
      </w:r>
      <w:r>
        <w:rPr>
          <w:rStyle w:val="VerbatimChar"/>
        </w:rPr>
        <w:t xml:space="preserve">PRA_INPUT_CSV</w:t>
      </w:r>
      <w:r>
        <w:t xml:space="preserve">;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skips BSCR, and</w:t>
      </w:r>
      <w:r>
        <w:t xml:space="preserve"> </w:t>
      </w:r>
      <w:r>
        <w:rPr>
          <w:rStyle w:val="VerbatimChar"/>
        </w:rPr>
        <w:t xml:space="preserve">OUTPUT_DIR</w:t>
      </w:r>
      <w:r>
        <w:t xml:space="preserve"> </w:t>
      </w:r>
      <w:r>
        <w:t xml:space="preserve">must be new or empty.</w:t>
      </w:r>
      <w:r>
        <w:t xml:space="preserve"> </w:t>
      </w:r>
      <w:r>
        <w:t xml:space="preserve">On macOS/Linux use</w:t>
      </w:r>
      <w:r>
        <w:t xml:space="preserve"> </w:t>
      </w:r>
      <w:r>
        <w:rPr>
          <w:rStyle w:val="VerbatimChar"/>
        </w:rPr>
        <w:t xml:space="preserve">.venv/bin/python</w:t>
      </w:r>
      <w:r>
        <w:t xml:space="preserve"> </w:t>
      </w:r>
      <w:r>
        <w:t xml:space="preserve">to run the file and use your local paths.</w:t>
      </w:r>
    </w:p>
    <w:bookmarkEnd w:id="9"/>
    <w:bookmarkStart w:id="10" w:name="pra-runbook-column-boundary"/>
    <w:p>
      <w:pPr>
        <w:pStyle w:val="Heading2"/>
      </w:pPr>
      <w:r>
        <w:t xml:space="preserve">Column boundary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pra-source.csv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pml,accgrpid,uwritrname,state,userid1,branchname,cntrycode</w:t>
            </w:r>
            <w:r>
              <w:t xml:space="preserve"> </w:t>
            </w:r>
            <w:r>
              <w:t xml:space="preserve">(7)</w:t>
            </w:r>
          </w:p>
        </w:tc>
        <w:tc>
          <w:tcPr/>
          <w:p>
            <w:pPr>
              <w:pStyle w:val="Compact"/>
            </w:pPr>
            <w:r>
              <w:t xml:space="preserve">Input exported by</w:t>
            </w:r>
            <w:r>
              <w:t xml:space="preserve"> </w:t>
            </w:r>
            <w:r>
              <w:rPr>
                <w:rStyle w:val="VerbatimChar"/>
              </w:rPr>
              <w:t xml:space="preserve">pra/sql/pra-raw.sql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pra-raw.csv</w:t>
            </w:r>
          </w:p>
        </w:tc>
        <w:tc>
          <w:tcPr/>
          <w:p>
            <w:pPr>
              <w:pStyle w:val="Compact"/>
            </w:pPr>
            <w:r>
              <w:t xml:space="preserve">Same seven columns</w:t>
            </w:r>
          </w:p>
        </w:tc>
        <w:tc>
          <w:tcPr/>
          <w:p>
            <w:pPr>
              <w:pStyle w:val="Compact"/>
            </w:pPr>
            <w:r>
              <w:t xml:space="preserve">Offline raw output and evidence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pra-aggregate.csv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pml,state,userid1,cntrycode,uwritrname</w:t>
            </w:r>
            <w:r>
              <w:t xml:space="preserve"> </w:t>
            </w:r>
            <w:r>
              <w:t xml:space="preserve">(5)</w:t>
            </w:r>
          </w:p>
        </w:tc>
        <w:tc>
          <w:tcPr/>
          <w:p>
            <w:pPr>
              <w:pStyle w:val="Compact"/>
            </w:pPr>
            <w:r>
              <w:t xml:space="preserve">Offline aggregate output</w:t>
            </w:r>
          </w:p>
        </w:tc>
      </w:tr>
    </w:tbl>
    <w:p>
      <w:pPr>
        <w:pStyle w:val="BodyText"/>
      </w:pPr>
      <w:r>
        <w:t xml:space="preserve">Do not substitute an eight-column BSCR source for</w:t>
      </w:r>
      <w:r>
        <w:t xml:space="preserve"> </w:t>
      </w:r>
      <w:r>
        <w:rPr>
          <w:rStyle w:val="VerbatimChar"/>
        </w:rPr>
        <w:t xml:space="preserve">pra-source.csv</w:t>
      </w:r>
      <w:r>
        <w:t xml:space="preserve">, and do not paste a five-column aggregate where the script requires the seven-column raw input.</w:t>
      </w:r>
    </w:p>
    <w:bookmarkEnd w:id="10"/>
    <w:bookmarkStart w:id="11" w:name="pra-runbook-all-peril-runs"/>
    <w:p>
      <w:pPr>
        <w:pStyle w:val="Heading2"/>
      </w:pPr>
      <w:r>
        <w:t xml:space="preserve">All-peril runs</w:t>
      </w:r>
    </w:p>
    <w:p>
      <w:pPr>
        <w:pStyle w:val="Compact"/>
        <w:numPr>
          <w:ilvl w:val="0"/>
          <w:numId w:val="1002"/>
        </w:numPr>
      </w:pPr>
      <w:r>
        <w:t xml:space="preserve">Put every separately approved all-peril export in its own directory, such as</w:t>
      </w:r>
      <w:r>
        <w:t xml:space="preserve"> </w:t>
      </w:r>
      <w:r>
        <w:rPr>
          <w:rStyle w:val="VerbatimChar"/>
        </w:rPr>
        <w:t xml:space="preserve">runs/all-peril-&lt;scope&gt;/input/pra-source.csv</w:t>
      </w:r>
      <w:r>
        <w:t xml:space="preserve">, with a matching empty output directory.</w:t>
      </w:r>
    </w:p>
    <w:p>
      <w:pPr>
        <w:pStyle w:val="Compact"/>
        <w:numPr>
          <w:ilvl w:val="0"/>
          <w:numId w:val="1002"/>
        </w:numPr>
      </w:pPr>
      <w:r>
        <w:t xml:space="preserve">Keep the all-peril producer, population, peril code, policy code, currency, mappings, and approval evidence with that directory rather than combining it with the earthquake run.</w:t>
      </w:r>
    </w:p>
    <w:p>
      <w:pPr>
        <w:pStyle w:val="Compact"/>
        <w:numPr>
          <w:ilvl w:val="0"/>
          <w:numId w:val="1002"/>
        </w:numPr>
      </w:pPr>
      <w:r>
        <w:t xml:space="preserve">Do not promote</w:t>
      </w:r>
      <w:r>
        <w:t xml:space="preserve"> </w:t>
      </w:r>
      <w:r>
        <w:rPr>
          <w:rStyle w:val="VerbatimChar"/>
        </w:rPr>
        <w:t xml:space="preserve">1/1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4/4</w:t>
      </w:r>
      <w:r>
        <w:t xml:space="preserve"> </w:t>
      </w:r>
      <w:r>
        <w:t xml:space="preserve">to an approved all-peril scope: the repository does not resolve which population or scope those codes represent.</w:t>
      </w:r>
    </w:p>
    <w:p>
      <w:pPr>
        <w:pStyle w:val="Compact"/>
        <w:numPr>
          <w:ilvl w:val="0"/>
          <w:numId w:val="1002"/>
        </w:numPr>
      </w:pPr>
      <w:r>
        <w:t xml:space="preserve">Run the same offline command with that folder’s paths only after the source selection is established, and apply the same exact-file and reconciliation checks.</w:t>
      </w:r>
    </w:p>
    <w:bookmarkEnd w:id="11"/>
    <w:bookmarkStart w:id="12" w:name="Xc2a35ba08bcd9c6de0cb1ded52bb837af890852"/>
    <w:p>
      <w:pPr>
        <w:pStyle w:val="Heading2"/>
      </w:pPr>
      <w:r>
        <w:t xml:space="preserve">Optional current workbook review</w:t>
      </w:r>
    </w:p>
    <w:p>
      <w:pPr>
        <w:pStyle w:val="FirstParagraph"/>
      </w:pPr>
      <w:r>
        <w:t xml:space="preserve">The user-reported Excel corruption is unresolved; the workbook is not required for the CSV calculation and the reference steps below are deferred until it opens correctly.</w:t>
      </w:r>
    </w:p>
    <w:p>
      <w:pPr>
        <w:pStyle w:val="BodyText"/>
      </w:pPr>
      <w:r>
        <w:rPr>
          <w:rStyle w:val="VerbatimChar"/>
        </w:rPr>
        <w:t xml:space="preserve">pra/workbooks/PRA_Aggs.xlsx</w:t>
      </w:r>
      <w:r>
        <w:t xml:space="preserve"> </w:t>
      </w:r>
      <w:r>
        <w:t xml:space="preserve">is optional: it has only the two aggregate sheets and their three mapping sheets, not the former raw-data, BSCR-panel or SQL tabs.</w:t>
      </w:r>
    </w:p>
    <w:p>
      <w:pPr>
        <w:pStyle w:val="Compact"/>
        <w:numPr>
          <w:ilvl w:val="0"/>
          <w:numId w:val="1003"/>
        </w:numPr>
      </w:pPr>
      <w:r>
        <w:t xml:space="preserve">Choose</w:t>
      </w:r>
      <w:r>
        <w:t xml:space="preserve"> </w:t>
      </w:r>
      <w:r>
        <w:rPr>
          <w:rStyle w:val="VerbatimChar"/>
        </w:rPr>
        <w:t xml:space="preserve">pivot_eq</w:t>
      </w:r>
      <w:r>
        <w:t xml:space="preserve"> </w:t>
      </w:r>
      <w:r>
        <w:t xml:space="preserve">for earthquake or</w:t>
      </w:r>
      <w:r>
        <w:t xml:space="preserve"> </w:t>
      </w:r>
      <w:r>
        <w:rPr>
          <w:rStyle w:val="VerbatimChar"/>
        </w:rPr>
        <w:t xml:space="preserve">pivot_allperil</w:t>
      </w:r>
      <w:r>
        <w:t xml:space="preserve"> </w:t>
      </w:r>
      <w:r>
        <w:t xml:space="preserve">for a separately confirmed all-peril input.</w:t>
      </w:r>
    </w:p>
    <w:p>
      <w:pPr>
        <w:pStyle w:val="Compact"/>
        <w:numPr>
          <w:ilvl w:val="0"/>
          <w:numId w:val="1003"/>
        </w:numPr>
      </w:pPr>
      <w:r>
        <w:t xml:space="preserve">Clear old A:E data below row 1 and paste the five-column aggregate</w:t>
      </w:r>
      <w:r>
        <w:t xml:space="preserve"> </w:t>
      </w:r>
      <w:r>
        <w:rPr>
          <w:b/>
          <w:bCs/>
        </w:rPr>
        <w:t xml:space="preserve">with headers into A1</w:t>
      </w:r>
      <w:r>
        <w:t xml:space="preserve">, leaving F:M and the report areas untouched.</w:t>
      </w:r>
    </w:p>
    <w:p>
      <w:pPr>
        <w:pStyle w:val="Compact"/>
        <w:numPr>
          <w:ilvl w:val="0"/>
          <w:numId w:val="1003"/>
        </w:numPr>
      </w:pPr>
      <w:r>
        <w:t xml:space="preserve">Resize</w:t>
      </w:r>
      <w:r>
        <w:t xml:space="preserve"> </w:t>
      </w:r>
      <w:r>
        <w:rPr>
          <w:rStyle w:val="VerbatimChar"/>
        </w:rPr>
        <w:t xml:space="preserve">Table32</w:t>
      </w:r>
      <w:r>
        <w:t xml:space="preserve"> </w:t>
      </w:r>
      <w:r>
        <w:t xml:space="preserve">(earthquake) or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 </w:t>
      </w:r>
      <w:r>
        <w:t xml:space="preserve">(all-peril) through column M to the last pasted row and fill the correct F:M formulas down.</w:t>
      </w:r>
    </w:p>
    <w:p>
      <w:pPr>
        <w:pStyle w:val="Compact"/>
        <w:numPr>
          <w:ilvl w:val="0"/>
          <w:numId w:val="1003"/>
        </w:numPr>
      </w:pPr>
      <w:r>
        <w:t xml:space="preserve">Set every earthquake pivot source to</w:t>
      </w:r>
      <w:r>
        <w:t xml:space="preserve"> </w:t>
      </w:r>
      <w:r>
        <w:rPr>
          <w:rStyle w:val="VerbatimChar"/>
        </w:rPr>
        <w:t xml:space="preserve">Table32</w:t>
      </w:r>
      <w:r>
        <w:t xml:space="preserve">—the retained cache initially points to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—and every all-peril pivot source to</w:t>
      </w:r>
      <w:r>
        <w:t xml:space="preserve"> </w:t>
      </w:r>
      <w:r>
        <w:rPr>
          <w:rStyle w:val="VerbatimChar"/>
        </w:rPr>
        <w:t xml:space="preserve">Table3</w:t>
      </w:r>
      <w:r>
        <w:t xml:space="preserve">, then check value fields, refresh those pivots and reconcile totals.</w:t>
      </w:r>
    </w:p>
    <w:p>
      <w:pPr>
        <w:pStyle w:val="FirstParagraph"/>
      </w:pPr>
      <w:r>
        <w:t xml:space="preserve">The four pivot titles are</w:t>
      </w:r>
      <w:r>
        <w:t xml:space="preserve"> </w:t>
      </w:r>
      <w:r>
        <w:rPr>
          <w:b/>
          <w:bCs/>
        </w:rPr>
        <w:t xml:space="preserve">Total PML / Fine Art</w:t>
      </w:r>
      <w:r>
        <w:t xml:space="preserve">,</w:t>
      </w:r>
      <w:r>
        <w:t xml:space="preserve"> </w:t>
      </w:r>
      <w:r>
        <w:rPr>
          <w:b/>
          <w:bCs/>
        </w:rPr>
        <w:t xml:space="preserve">Portfolio / country / Fine Art</w:t>
      </w:r>
      <w:r>
        <w:t xml:space="preserve">,</w:t>
      </w:r>
      <w:r>
        <w:t xml:space="preserve"> </w:t>
      </w:r>
      <w:r>
        <w:rPr>
          <w:b/>
          <w:bCs/>
        </w:rPr>
        <w:t xml:space="preserve">Country / Fine Art</w:t>
      </w:r>
      <w:r>
        <w:t xml:space="preserve">, and</w:t>
      </w:r>
      <w:r>
        <w:t xml:space="preserve"> </w:t>
      </w:r>
      <w:r>
        <w:rPr>
          <w:b/>
          <w:bCs/>
        </w:rPr>
        <w:t xml:space="preserve">CDS class</w:t>
      </w:r>
      <w:r>
        <w:t xml:space="preserve">; the banner identifies the peril and makes clear that</w:t>
      </w:r>
      <w:r>
        <w:t xml:space="preserve"> </w:t>
      </w:r>
      <w:r>
        <w:rPr>
          <w:rStyle w:val="VerbatimChar"/>
        </w:rPr>
        <w:t xml:space="preserve">pml</w:t>
      </w:r>
      <w:r>
        <w:t xml:space="preserve"> </w:t>
      </w:r>
      <w:r>
        <w:t xml:space="preserve">is not automatically USD-converted.</w:t>
      </w:r>
    </w:p>
    <w:bookmarkEnd w:id="12"/>
    <w:bookmarkStart w:id="13" w:name="pra-runbook-former-workbook-reference"/>
    <w:p>
      <w:pPr>
        <w:pStyle w:val="Heading2"/>
      </w:pPr>
      <w:r>
        <w:t xml:space="preserve">Former workbook reference</w:t>
      </w:r>
    </w:p>
    <w:p>
      <w:pPr>
        <w:pStyle w:val="FirstParagraph"/>
      </w:pPr>
      <w:r>
        <w:t xml:space="preserve">The former</w:t>
      </w:r>
      <w:r>
        <w:t xml:space="preserve"> </w:t>
      </w:r>
      <w:r>
        <w:rPr>
          <w:rStyle w:val="VerbatimChar"/>
        </w:rPr>
        <w:t xml:space="preserve">PRA_BSCR_Aggs.xlsx</w:t>
      </w:r>
      <w:r>
        <w:t xml:space="preserve"> </w:t>
      </w:r>
      <w:r>
        <w:t xml:space="preserve">is available in repository history only; its raw sheet, SQL tab and BSCR panels were removed from the renamed workbook, and raw CSVs now remain separate audit files.</w:t>
      </w:r>
    </w:p>
    <w:bookmarkEnd w:id="13"/>
    <w:bookmarkStart w:id="14" w:name="pra-runbook-financial-caveats"/>
    <w:p>
      <w:pPr>
        <w:pStyle w:val="Heading2"/>
      </w:pPr>
      <w:r>
        <w:t xml:space="preserve">Financial caveats</w:t>
      </w:r>
    </w:p>
    <w:p>
      <w:pPr>
        <w:pStyle w:val="FirstParagraph"/>
      </w:pPr>
      <w:r>
        <w:t xml:space="preserve">The SQL logic zeroes grouped value below</w:t>
      </w:r>
      <w:r>
        <w:t xml:space="preserve"> </w:t>
      </w:r>
      <w:r>
        <w:rPr>
          <w:rStyle w:val="VerbatimChar"/>
        </w:rPr>
        <w:t xml:space="preserve">deductamt</w:t>
      </w:r>
      <w:r>
        <w:t xml:space="preserve"> </w:t>
      </w:r>
      <w:r>
        <w:t xml:space="preserve">without subtracting the deductible, retains equality, groups deductible and limit currencies without conversion, and has unresolved null/negative deductible, currency, limit, policy-join, and cross-product behaviour. Python’s existing BSCR retention and geography discrepancies remain unchanged: the removed raw-sheet formulas used 33% SRP versus 0.3333 in Python. The optional PRA workbook still requires review of CDS/PRA-region</w:t>
      </w:r>
      <w:r>
        <w:t xml:space="preserve"> </w:t>
      </w:r>
      <w:r>
        <w:rPr>
          <w:rStyle w:val="VerbatimChar"/>
        </w:rPr>
        <w:t xml:space="preserve">#N/A</w:t>
      </w:r>
      <w:r>
        <w:t xml:space="preserve">,</w:t>
      </w:r>
      <w:r>
        <w:t xml:space="preserve"> </w:t>
      </w:r>
      <w:r>
        <w:rPr>
          <w:rStyle w:val="VerbatimChar"/>
        </w:rPr>
        <w:t xml:space="preserve">Agg_USD = pml * 1.25</w:t>
      </w:r>
      <w:r>
        <w:t xml:space="preserve">, and whether pivots should sum</w:t>
      </w:r>
      <w:r>
        <w:t xml:space="preserve"> </w:t>
      </w:r>
      <w:r>
        <w:rPr>
          <w:rStyle w:val="VerbatimChar"/>
        </w:rPr>
        <w:t xml:space="preserve">pml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Agg_USD</w:t>
      </w:r>
      <w:r>
        <w:t xml:space="preserve">.</w:t>
      </w:r>
    </w:p>
    <w:bookmarkEnd w:id="14"/>
    <w:bookmarkEnd w:id="15"/>
    <w:bookmarkStart w:id="22" w:name="operating-controls-run-checklist"/>
    <w:p>
      <w:pPr>
        <w:pStyle w:val="Heading1"/>
      </w:pPr>
      <w:r>
        <w:t xml:space="preserve">Run checklist</w:t>
      </w:r>
    </w:p>
    <w:p>
      <w:pPr>
        <w:pStyle w:val="FirstParagraph"/>
      </w:pPr>
      <w:hyperlink r:id="rId16">
        <w:r>
          <w:rPr>
            <w:rStyle w:val="Hyperlink"/>
          </w:rPr>
          <w:t xml:space="preserve">Start here</w:t>
        </w:r>
      </w:hyperlink>
      <w:r>
        <w:t xml:space="preserve"> </w:t>
      </w:r>
      <w:r>
        <w:t xml:space="preserve">·</w:t>
      </w:r>
      <w:r>
        <w:t xml:space="preserve"> </w:t>
      </w:r>
      <w:hyperlink r:id="rId17">
        <w:r>
          <w:rPr>
            <w:rStyle w:val="Hyperlink"/>
          </w:rPr>
          <w:t xml:space="preserve">Detailed controls for LLMs/reviewers</w:t>
        </w:r>
      </w:hyperlink>
    </w:p>
    <w:p>
      <w:pPr>
        <w:pStyle w:val="BodyText"/>
      </w:pPr>
      <w:r>
        <w:t xml:space="preserve">Use this alongside your process guide. Keep the evidence in a new, restricted</w:t>
      </w:r>
      <w:r>
        <w:t xml:space="preserve"> </w:t>
      </w:r>
      <w:r>
        <w:t xml:space="preserve">run folder—not in source control. Mark irrelevant checks N/A with a reason.</w:t>
      </w:r>
    </w:p>
    <w:bookmarkStart w:id="18" w:name="operating-controls-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4"/>
        </w:numPr>
      </w:pPr>
      <w:r>
        <w:t xml:space="preserve">Confirm the reporting period, source snapshot, scope and controlled template.</w:t>
      </w:r>
    </w:p>
    <w:p>
      <w:pPr>
        <w:pStyle w:val="Compact"/>
        <w:numPr>
          <w:ilvl w:val="0"/>
          <w:numId w:val="1005"/>
        </w:numPr>
      </w:pPr>
      <w:r>
        <w:t xml:space="preserve">Confirm the approved mappings, retention/proxy rules, scale factors, FX and units.</w:t>
      </w:r>
    </w:p>
    <w:p>
      <w:pPr>
        <w:pStyle w:val="Compact"/>
        <w:numPr>
          <w:ilvl w:val="0"/>
          <w:numId w:val="1006"/>
        </w:numPr>
      </w:pPr>
      <w:r>
        <w:t xml:space="preserve">Record the operator, reviewer, code version, exact command/query and output folder. Keep credentials out of the record.</w:t>
      </w:r>
    </w:p>
    <w:p>
      <w:pPr>
        <w:pStyle w:val="Compact"/>
        <w:numPr>
          <w:ilvl w:val="0"/>
          <w:numId w:val="1007"/>
        </w:numPr>
      </w:pPr>
      <w:r>
        <w:t xml:space="preserve">Agree independent control totals and acceptable differences with the reviewer.</w:t>
      </w:r>
    </w:p>
    <w:p>
      <w:pPr>
        <w:pStyle w:val="Compact"/>
        <w:numPr>
          <w:ilvl w:val="0"/>
          <w:numId w:val="1008"/>
        </w:numPr>
      </w:pPr>
      <w:r>
        <w:t xml:space="preserve">For Excel, work on a copy. Identify input ranges, formulas, tables, pivot sources and external links before changing anything.</w:t>
      </w:r>
    </w:p>
    <w:p>
      <w:pPr>
        <w:pStyle w:val="Compact"/>
        <w:numPr>
          <w:ilvl w:val="0"/>
          <w:numId w:val="1009"/>
        </w:numPr>
      </w:pPr>
      <w:r>
        <w:t xml:space="preserve">Resolve the blockers listed in your guide before doing the affected step.</w:t>
      </w:r>
    </w:p>
    <w:bookmarkEnd w:id="18"/>
    <w:bookmarkStart w:id="19" w:name="operating-controls-run-and-check"/>
    <w:p>
      <w:pPr>
        <w:pStyle w:val="Heading2"/>
      </w:pPr>
      <w:r>
        <w:t xml:space="preserve">Run and check</w:t>
      </w:r>
    </w:p>
    <w:p>
      <w:pPr>
        <w:pStyle w:val="Compact"/>
        <w:numPr>
          <w:ilvl w:val="0"/>
          <w:numId w:val="1010"/>
        </w:numPr>
      </w:pPr>
      <w:r>
        <w:t xml:space="preserve">Save the raw outputs, logs, parameters and row counts. Use a stable snapshot when running multiple queries.</w:t>
      </w:r>
    </w:p>
    <w:p>
      <w:pPr>
        <w:pStyle w:val="Compact"/>
        <w:numPr>
          <w:ilvl w:val="0"/>
          <w:numId w:val="1011"/>
        </w:numPr>
      </w:pPr>
      <w:r>
        <w:t xml:space="preserve">Check joins have not multiplied exposure; investigate missing mappings, geography, currency or other required values.</w:t>
      </w:r>
    </w:p>
    <w:p>
      <w:pPr>
        <w:pStyle w:val="Compact"/>
        <w:numPr>
          <w:ilvl w:val="0"/>
          <w:numId w:val="1012"/>
        </w:numPr>
      </w:pPr>
      <w:r>
        <w:t xml:space="preserve">Reconcile source → raw output → grouped output by relevant entity, peril and geography, including gross/net and FX movements.</w:t>
      </w:r>
    </w:p>
    <w:p>
      <w:pPr>
        <w:pStyle w:val="Compact"/>
        <w:numPr>
          <w:ilvl w:val="0"/>
          <w:numId w:val="1013"/>
        </w:numPr>
      </w:pPr>
      <w:r>
        <w:t xml:space="preserve">Before loading Excel, check headers/order, row counts, currency and units. Replace input rows only; preserve formulas and report areas.</w:t>
      </w:r>
    </w:p>
    <w:p>
      <w:pPr>
        <w:pStyle w:val="Compact"/>
        <w:numPr>
          <w:ilvl w:val="0"/>
          <w:numId w:val="1014"/>
        </w:numPr>
      </w:pPr>
      <w:r>
        <w:t xml:space="preserve">Extend approved formulas and table/pivot ranges to all new rows; remove stale input rows. Do not copy known inconsistent formulas or blindly refresh external links.</w:t>
      </w:r>
    </w:p>
    <w:p>
      <w:pPr>
        <w:pStyle w:val="Compact"/>
        <w:numPr>
          <w:ilvl w:val="0"/>
          <w:numId w:val="1015"/>
        </w:numPr>
      </w:pPr>
      <w:r>
        <w:t xml:space="preserve">Recalculate in Excel and reconcile report totals. Investigate errors, stale values and unexplained movements.</w:t>
      </w:r>
    </w:p>
    <w:bookmarkEnd w:id="19"/>
    <w:bookmarkStart w:id="20" w:name="operating-controls-finish"/>
    <w:p>
      <w:pPr>
        <w:pStyle w:val="Heading2"/>
      </w:pPr>
      <w:r>
        <w:t xml:space="preserve">Finish</w:t>
      </w:r>
    </w:p>
    <w:p>
      <w:pPr>
        <w:pStyle w:val="Compact"/>
        <w:numPr>
          <w:ilvl w:val="0"/>
          <w:numId w:val="1016"/>
        </w:numPr>
      </w:pPr>
      <w:r>
        <w:t xml:space="preserve">Use an approved source-to-destination map for any final-template transfer. Do not choose cells by colour or label alone.</w:t>
      </w:r>
    </w:p>
    <w:p>
      <w:pPr>
        <w:pStyle w:val="Compact"/>
        <w:numPr>
          <w:ilvl w:val="0"/>
          <w:numId w:val="1017"/>
        </w:numPr>
      </w:pPr>
      <w:r>
        <w:t xml:space="preserve">Log each transfer: source file/sheet/range, destination file/sheet/cell, value, measure, currency/unit, as-of date and assumption versions.</w:t>
      </w:r>
    </w:p>
    <w:p>
      <w:pPr>
        <w:pStyle w:val="Compact"/>
        <w:numPr>
          <w:ilvl w:val="0"/>
          <w:numId w:val="1018"/>
        </w:numPr>
      </w:pPr>
      <w:r>
        <w:t xml:space="preserve">Obtain reviewer sign-off and retain inputs, outputs, reconciliations, adjustments and final submission/delivery evidence together.</w:t>
      </w:r>
    </w:p>
    <w:p>
      <w:pPr>
        <w:pStyle w:val="FirstParagraph"/>
      </w:pPr>
      <w:r>
        <w:rPr>
          <w:b/>
          <w:bCs/>
        </w:rPr>
        <w:t xml:space="preserve">Stop if</w:t>
      </w:r>
      <w:r>
        <w:t xml:space="preserve"> </w:t>
      </w:r>
      <w:r>
        <w:t xml:space="preserve">the source or assumptions are unapproved, a formula/pivot/handoff</w:t>
      </w:r>
      <w:r>
        <w:t xml:space="preserve"> </w:t>
      </w:r>
      <w:r>
        <w:t xml:space="preserve">cannot be traced, or differences exceed the agreed tolerance. A successful</w:t>
      </w:r>
      <w:r>
        <w:t xml:space="preserve"> </w:t>
      </w:r>
      <w:r>
        <w:t xml:space="preserve">command or refresh does not mean the return is complete.</w:t>
      </w:r>
    </w:p>
    <w:bookmarkEnd w:id="20"/>
    <w:bookmarkStart w:id="21" w:name="source-identity"/>
    <w:p>
      <w:pPr>
        <w:pStyle w:val="Heading2"/>
      </w:pPr>
      <w:r>
        <w:t xml:space="preserve">Source identity</w:t>
      </w:r>
    </w:p>
    <w:p>
      <w:pPr>
        <w:pStyle w:val="Compact"/>
        <w:numPr>
          <w:ilvl w:val="0"/>
          <w:numId w:val="1019"/>
        </w:numPr>
      </w:pPr>
      <w:r>
        <w:t xml:space="preserve">Git revision:</w:t>
      </w:r>
      <w:r>
        <w:t xml:space="preserve"> </w:t>
      </w:r>
      <w:r>
        <w:rPr>
          <w:rStyle w:val="VerbatimChar"/>
        </w:rPr>
        <w:t xml:space="preserve">c8bb3839827c2d81c289b3c92ccac26e24c48725</w:t>
      </w:r>
      <w:r>
        <w:t xml:space="preserve"> </w:t>
      </w:r>
      <w:r>
        <w:t xml:space="preserve">(the working tree may contain uncommitted changes).</w:t>
      </w:r>
    </w:p>
    <w:p>
      <w:pPr>
        <w:pStyle w:val="Compact"/>
        <w:numPr>
          <w:ilvl w:val="0"/>
          <w:numId w:val="1019"/>
        </w:numPr>
      </w:pPr>
      <w:r>
        <w:t xml:space="preserve">Builder SHA-256:</w:t>
      </w:r>
      <w:r>
        <w:t xml:space="preserve"> </w:t>
      </w:r>
      <w:r>
        <w:rPr>
          <w:rStyle w:val="VerbatimChar"/>
        </w:rPr>
        <w:t xml:space="preserve">765e4a76df782e41f11d22fbd047c32337d86646f12e7c3af301a86318c6b023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Assembly semantics:</w:t>
      </w:r>
      <w:r>
        <w:t xml:space="preserve"> </w:t>
      </w:r>
      <w:r>
        <w:rPr>
          <w:rStyle w:val="VerbatimChar"/>
        </w:rPr>
        <w:t xml:space="preserve">docx-source-manifest-v1; stable-heading-anchors-v1; generated-link-rebase-v1; human-guides-only-v2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Exact input-doc manifest SHA-256:</w:t>
      </w:r>
      <w:r>
        <w:t xml:space="preserve"> </w:t>
      </w:r>
      <w:r>
        <w:rPr>
          <w:rStyle w:val="VerbatimChar"/>
        </w:rPr>
        <w:t xml:space="preserve">414a04e08f5abcce2d63931d44eab4462a37b9e52ff8fe96438028b365869bca</w:t>
      </w:r>
      <w:r>
        <w:t xml:space="preserve">.</w:t>
      </w:r>
    </w:p>
    <w:p>
      <w:pPr>
        <w:pStyle w:val="FirstParagraph"/>
      </w:pPr>
      <w:r>
        <w:t xml:space="preserve">The per-file hashes below are computed from the current UTF-8 bytes, so uncommitted Markdown edits remain distinguishable even when the Git revision is unchanged: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Included source</w:t>
            </w:r>
          </w:p>
        </w:tc>
        <w:tc>
          <w:tcPr/>
          <w:p>
            <w:pPr>
              <w:pStyle w:val="Compact"/>
            </w:pPr>
            <w:r>
              <w:t xml:space="preserve">SHA-256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docs/pra/runbook.md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5f65cd0680ebbd814fe6306cdb2cbba5072e1b91c29c086a13105abb2a3d3cba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docs/operating-controls.md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064cd9201e216d0f6c0258c9cc398782448e2f059ed7bbedc14be18691513a00</w:t>
            </w:r>
          </w:p>
        </w:tc>
      </w:tr>
    </w:tbl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../../README.md" TargetMode="External" /><Relationship Type="http://schemas.openxmlformats.org/officeDocument/2006/relationships/hyperlink" Id="rId17" Target="../llm-instructions.md#detailed-run-contro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../../README.md" TargetMode="External" /><Relationship Type="http://schemas.openxmlformats.org/officeDocument/2006/relationships/hyperlink" Id="rId17" Target="../llm-instructions.md#detailed-run-contro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 Runbook</dc:title>
  <dc:creator/>
  <cp:keywords/>
  <dcterms:created xsi:type="dcterms:W3CDTF">2026-09-14T20:21:13Z</dcterms:created>
  <dcterms:modified xsi:type="dcterms:W3CDTF">2026-09-14T20:21:13Z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January 2026</vt:lpwstr>
  </property>
</Properties>
</file>