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pPr>
        <w:spacing w:after="40"/>
      </w:pPr>
      <w:r>
        <w:t>―</w:t>
      </w:r>
    </w:p>
    <w:p>
      <w:r>
        <w:rPr>
          <w:b w:val="0"/>
          <w:i w:val="0"/>
        </w:rPr>
        <w:t>Report: BSCR Time: 1d ---</w:t>
      </w:r>
    </w:p>
    <w:p>
      <w:bookmarkStart w:id="1" w:name="bm_bscr_runbook_bscr_sql_only_outputs"/>
      <w:pPr>
        <w:pStyle w:val="Heading1"/>
        <w:keepNext/>
      </w:pPr>
      <w:r>
        <w:rPr>
          <w:b w:val="0"/>
          <w:i w:val="0"/>
        </w:rPr>
        <w:t>BSCR — SQL-only outputs</w:t>
      </w:r>
      <w:bookmarkEnd w:id="1"/>
    </w:p>
    <w:p>
      <w:r>
        <w:rPr>
          <w:b w:val="0"/>
          <w:i w:val="0"/>
        </w:rPr>
        <w:t xml:space="preserve">Paths below are relative to </w:t>
      </w:r>
      <w:r>
        <w:rPr>
          <w:rFonts w:ascii="Courier New" w:hAnsi="Courier New"/>
          <w:b w:val="0"/>
          <w:i w:val="0"/>
          <w:sz w:val="18"/>
        </w:rPr>
        <w:t>reporting/</w:t>
      </w:r>
      <w:r>
        <w:rPr>
          <w:b w:val="0"/>
          <w:i w:val="0"/>
        </w:rPr>
        <w:t xml:space="preserve">. The current route is </w:t>
      </w:r>
      <w:r>
        <w:rPr>
          <w:b/>
          <w:i w:val="0"/>
        </w:rPr>
        <w:t>SQL extraction and aggregation → CSV → Excel</w:t>
      </w:r>
      <w:r>
        <w:rPr>
          <w:b w:val="0"/>
          <w:i w:val="0"/>
        </w:rPr>
        <w:t xml:space="preserve">. The repository supplies the queries, not an approved database snapshot, connection, or reporting-cycle methodology. Resolve the </w:t>
      </w:r>
      <w:hyperlink r:id="rId9">
        <w:r>
          <w:rPr>
            <w:color w:val="0563C1"/>
            <w:u w:val="single"/>
          </w:rPr>
          <w:t>BSCR decisions</w:t>
        </w:r>
      </w:hyperlink>
      <w:r>
        <w:rPr>
          <w:b w:val="0"/>
          <w:i w:val="0"/>
        </w:rPr>
        <w:t xml:space="preserve"> before production use.</w:t>
      </w:r>
    </w:p>
    <w:p>
      <w:r>
        <w:rPr>
          <w:b w:val="0"/>
          <w:i w:val="0"/>
        </w:rPr>
        <w:t xml:space="preserve">For a single-peril comparison, use </w:t>
      </w:r>
      <w:r>
        <w:rPr>
          <w:rFonts w:ascii="Courier New" w:hAnsi="Courier New"/>
          <w:b w:val="0"/>
          <w:i w:val="0"/>
          <w:sz w:val="18"/>
        </w:rPr>
        <w:t>bscr/sql/bscr-output-peril1.sql</w:t>
      </w:r>
      <w:r>
        <w:rPr>
          <w:b w:val="0"/>
          <w:i w:val="0"/>
        </w:rPr>
        <w:t xml:space="preserve">. It runs the full aggregate calculation with </w:t>
      </w:r>
      <w:r>
        <w:rPr>
          <w:rFonts w:ascii="Courier New" w:hAnsi="Courier New"/>
          <w:b w:val="0"/>
          <w:i w:val="0"/>
          <w:sz w:val="18"/>
        </w:rPr>
        <w:t>peril = 1</w:t>
      </w:r>
      <w:r>
        <w:rPr>
          <w:b w:val="0"/>
          <w:i w:val="0"/>
        </w:rPr>
        <w:t xml:space="preserve"> and </w:t>
      </w:r>
      <w:r>
        <w:rPr>
          <w:rFonts w:ascii="Courier New" w:hAnsi="Courier New"/>
          <w:b w:val="0"/>
          <w:i w:val="0"/>
          <w:sz w:val="18"/>
        </w:rPr>
        <w:t>policytype = 1</w:t>
      </w:r>
      <w:r>
        <w:rPr>
          <w:b w:val="0"/>
          <w:i w:val="0"/>
        </w:rPr>
        <w:t xml:space="preserve"> for every region, including </w:t>
      </w:r>
      <w:r>
        <w:rPr>
          <w:rFonts w:ascii="Courier New" w:hAnsi="Courier New"/>
          <w:b w:val="0"/>
          <w:i w:val="0"/>
          <w:sz w:val="18"/>
        </w:rPr>
        <w:t>is_nahu</w:t>
      </w:r>
      <w:r>
        <w:rPr>
          <w:b w:val="0"/>
          <w:i w:val="0"/>
        </w:rPr>
        <w:t xml:space="preserve">, </w:t>
      </w:r>
      <w:r>
        <w:rPr>
          <w:rFonts w:ascii="Courier New" w:hAnsi="Courier New"/>
          <w:b w:val="0"/>
          <w:i w:val="0"/>
          <w:sz w:val="18"/>
        </w:rPr>
        <w:t>is_eu</w:t>
      </w:r>
      <w:r>
        <w:rPr>
          <w:b w:val="0"/>
          <w:i w:val="0"/>
        </w:rPr>
        <w:t xml:space="preserve"> and </w:t>
      </w:r>
      <w:r>
        <w:rPr>
          <w:rFonts w:ascii="Courier New" w:hAnsi="Courier New"/>
          <w:b w:val="0"/>
          <w:i w:val="0"/>
          <w:sz w:val="18"/>
        </w:rPr>
        <w:t>is_jp</w:t>
      </w:r>
      <w:r>
        <w:rPr>
          <w:b w:val="0"/>
          <w:i w:val="0"/>
        </w:rPr>
        <w:t xml:space="preserve">. Those labels therefore contain earthquake exposure in this variant, not wind. FX, retention, entity filtering and the eight-column aggregate output are retained; </w:t>
      </w:r>
      <w:r>
        <w:rPr>
          <w:rFonts w:ascii="Courier New" w:hAnsi="Courier New"/>
          <w:b w:val="0"/>
          <w:i w:val="0"/>
          <w:sz w:val="18"/>
        </w:rPr>
        <w:t>peril_id</w:t>
      </w:r>
      <w:r>
        <w:rPr>
          <w:b w:val="0"/>
          <w:i w:val="0"/>
        </w:rPr>
        <w:t xml:space="preserve"> is always </w:t>
      </w:r>
      <w:r>
        <w:rPr>
          <w:rFonts w:ascii="Courier New" w:hAnsi="Courier New"/>
          <w:b w:val="0"/>
          <w:i w:val="0"/>
          <w:sz w:val="18"/>
        </w:rPr>
        <w:t>1</w:t>
      </w:r>
      <w:r>
        <w:rPr>
          <w:b w:val="0"/>
          <w:i w:val="0"/>
        </w:rPr>
        <w:t xml:space="preserve">. This replaces the mistakenly supplied </w:t>
      </w:r>
      <w:r>
        <w:rPr>
          <w:rFonts w:ascii="Courier New" w:hAnsi="Courier New"/>
          <w:b w:val="0"/>
          <w:i w:val="0"/>
          <w:sz w:val="18"/>
        </w:rPr>
        <w:t>bscr-extract-peril1.sql</w:t>
      </w:r>
      <w:r>
        <w:rPr>
          <w:b w:val="0"/>
          <w:i w:val="0"/>
        </w:rPr>
        <w:t xml:space="preserve"> raw extract. The main dual-peril queries are unchanged.</w:t>
      </w:r>
    </w:p>
    <w:p>
      <w:bookmarkStart w:id="2" w:name="bm_bscr_runbook_historical_workbook_reconciliation"/>
      <w:pPr>
        <w:pStyle w:val="Heading2"/>
        <w:keepNext/>
      </w:pPr>
      <w:r>
        <w:rPr>
          <w:b w:val="0"/>
          <w:i w:val="0"/>
        </w:rPr>
        <w:t>Historical workbook reconciliation</w:t>
      </w:r>
      <w:bookmarkEnd w:id="2"/>
    </w:p>
    <w:p>
      <w:r>
        <w:rPr>
          <w:b w:val="0"/>
          <w:i w:val="0"/>
        </w:rPr>
        <w:t xml:space="preserve">The supplied files in </w:t>
      </w:r>
      <w:r>
        <w:rPr>
          <w:rFonts w:ascii="Courier New" w:hAnsi="Courier New"/>
          <w:b w:val="0"/>
          <w:i w:val="0"/>
          <w:sz w:val="18"/>
        </w:rPr>
        <w:t>bscr/reconcile/</w:t>
      </w:r>
      <w:r>
        <w:rPr>
          <w:b w:val="0"/>
          <w:i w:val="0"/>
        </w:rPr>
        <w:t xml:space="preserve"> are candidate historical evidence, not confirmed submissions. The detailed comparison is </w:t>
      </w:r>
      <w:r>
        <w:rPr>
          <w:rFonts w:ascii="Courier New" w:hAnsi="Courier New"/>
          <w:b w:val="0"/>
          <w:i w:val="0"/>
          <w:sz w:val="18"/>
        </w:rPr>
        <w:t>bscr/reconcile/results/bscr_workbook_collection_reconciliation.xlsx</w:t>
      </w:r>
      <w:r>
        <w:rPr>
          <w:b w:val="0"/>
          <w:i w:val="0"/>
        </w:rPr>
        <w:t>; its companion CSVs record every template version change, cached error, regional limit comparison, file hash, and control total.</w:t>
      </w:r>
    </w:p>
    <w:p>
      <w:r>
        <w:rPr>
          <w:b w:val="0"/>
          <w:i w:val="0"/>
        </w:rPr>
        <w:t xml:space="preserve">• </w:t>
      </w:r>
      <w:r>
        <w:rPr>
          <w:rFonts w:ascii="Courier New" w:hAnsi="Courier New"/>
          <w:b w:val="0"/>
          <w:i w:val="0"/>
          <w:sz w:val="18"/>
        </w:rPr>
        <w:t>workings_old_report.xlsx</w:t>
      </w:r>
      <w:r>
        <w:rPr>
          <w:b w:val="0"/>
          <w:i w:val="0"/>
        </w:rPr>
        <w:t xml:space="preserve"> is byte-identical to </w:t>
      </w:r>
      <w:r>
        <w:rPr>
          <w:rFonts w:ascii="Courier New" w:hAnsi="Courier New"/>
          <w:b w:val="0"/>
          <w:i w:val="0"/>
          <w:sz w:val="18"/>
        </w:rPr>
        <w:t>Workings_with_geocodingFW.xlsx</w:t>
      </w:r>
      <w:r>
        <w:rPr>
          <w:b w:val="0"/>
          <w:i w:val="0"/>
        </w:rPr>
        <w:t>.</w:t>
      </w:r>
    </w:p>
    <w:p>
      <w:r>
        <w:rPr>
          <w:b w:val="0"/>
          <w:i w:val="0"/>
        </w:rPr>
        <w:t xml:space="preserve">• </w:t>
      </w:r>
      <w:r>
        <w:rPr>
          <w:rFonts w:ascii="Courier New" w:hAnsi="Courier New"/>
          <w:b w:val="0"/>
          <w:i w:val="0"/>
          <w:sz w:val="18"/>
        </w:rPr>
        <w:t>Workings_with_geocoding.xlsx</w:t>
      </w:r>
      <w:r>
        <w:rPr>
          <w:b w:val="0"/>
          <w:i w:val="0"/>
        </w:rPr>
        <w:t xml:space="preserve"> and the FW version have the same 47 raw output rows. The first divides by 1,000; FW divides by 1,000,000.</w:t>
      </w:r>
    </w:p>
    <w:p>
      <w:r>
        <w:rPr>
          <w:b w:val="0"/>
          <w:i w:val="0"/>
        </w:rPr>
        <w:t xml:space="preserve">• </w:t>
      </w:r>
      <w:r>
        <w:rPr>
          <w:rFonts w:ascii="Courier New" w:hAnsi="Courier New"/>
          <w:b w:val="0"/>
          <w:i w:val="0"/>
          <w:sz w:val="18"/>
        </w:rPr>
        <w:t>Workings_with_geocodingFW - Including blanks USD.xlsx</w:t>
      </w:r>
      <w:r>
        <w:rPr>
          <w:b w:val="0"/>
          <w:i w:val="0"/>
        </w:rPr>
        <w:t xml:space="preserve"> restores US exposure to NA hurricane, has 49 output groups, and explicitly applies 1.35 FX followed by division by 1,000,000. Its static output sheet is not linked to </w:t>
      </w:r>
      <w:r>
        <w:rPr>
          <w:rFonts w:ascii="Courier New" w:hAnsi="Courier New"/>
          <w:b w:val="0"/>
          <w:i w:val="0"/>
          <w:sz w:val="18"/>
        </w:rPr>
        <w:t>Sheet1</w:t>
      </w:r>
      <w:r>
        <w:rPr>
          <w:b w:val="0"/>
          <w:i w:val="0"/>
        </w:rPr>
        <w:t>; a GB/HIC amount differs between those populations.</w:t>
      </w:r>
    </w:p>
    <w:p>
      <w:r>
        <w:rPr>
          <w:b w:val="0"/>
          <w:i w:val="0"/>
        </w:rPr>
        <w:t>• The February corrected template family is the 33 original plus the four other entities' v2 files. Their total counts and source amounts divided by 1,000 match the workings, despite template US$M labels.</w:t>
      </w:r>
    </w:p>
    <w:p>
      <w:r>
        <w:rPr>
          <w:b w:val="0"/>
          <w:i w:val="0"/>
        </w:rPr>
        <w:t xml:space="preserve">• The five top-level April templates retain the historical total counts. All 46 populated regional gross/net limit cells match the later USD workings within USD 1; four 3624 Japan cells are blank with no source rows. Overall limits are rounded, and modelability categories are reallocated. Do not equate those categories directly with </w:t>
      </w:r>
      <w:r>
        <w:rPr>
          <w:rFonts w:ascii="Courier New" w:hAnsi="Courier New"/>
          <w:b w:val="0"/>
          <w:i w:val="0"/>
          <w:sz w:val="18"/>
        </w:rPr>
        <w:t>is_geocoded</w:t>
      </w:r>
      <w:r>
        <w:rPr>
          <w:b w:val="0"/>
          <w:i w:val="0"/>
        </w:rPr>
        <w:t>.</w:t>
      </w:r>
    </w:p>
    <w:p>
      <w:r>
        <w:rPr>
          <w:b w:val="0"/>
          <w:i w:val="0"/>
        </w:rPr>
        <w:t>• The templates still contain external links, cached errors and nonnumeric EP-curve placeholders. Premiums, modelability judgments and actual submission status need independent evidence.</w:t>
      </w:r>
    </w:p>
    <w:p>
      <w:bookmarkStart w:id="3" w:name="bm_bscr_runbook_export_raw_edm_data_for_local_diagnosis"/>
      <w:pPr>
        <w:pStyle w:val="Heading2"/>
        <w:keepNext/>
      </w:pPr>
      <w:r>
        <w:rPr>
          <w:b w:val="0"/>
          <w:i w:val="0"/>
        </w:rPr>
        <w:t>Export raw EDM data for local diagnosis</w:t>
      </w:r>
      <w:bookmarkEnd w:id="3"/>
    </w:p>
    <w:p>
      <w:r>
        <w:rPr>
          <w:b w:val="0"/>
          <w:i w:val="0"/>
        </w:rPr>
        <w:t xml:space="preserve">The aggregate exports cannot explain changes at policy/location level. Use </w:t>
      </w:r>
      <w:r>
        <w:rPr>
          <w:rFonts w:ascii="Courier New" w:hAnsi="Courier New"/>
          <w:b w:val="0"/>
          <w:i w:val="0"/>
          <w:sz w:val="18"/>
        </w:rPr>
        <w:t>bscr/sql/bscr-edm-raw-export.sql</w:t>
      </w:r>
      <w:r>
        <w:rPr>
          <w:b w:val="0"/>
          <w:i w:val="0"/>
        </w:rPr>
        <w:t xml:space="preserve"> on the same approved EDM snapshot as the comparison outputs. It reads source tables only; it does not modify data or enable database settings. It requires existing SNAPSHOT isolation or an immutable read-only database/database snapshot. Otherwise it stops. Use a standalone connection and discard partial results if the batch fails.</w:t>
      </w:r>
    </w:p>
    <w:p>
      <w:r>
        <w:rPr>
          <w:b w:val="0"/>
          <w:i w:val="0"/>
        </w:rPr>
        <w:t xml:space="preserve">Save its six resultsets as UTF-8 CSVs with headers, in a controlled directory outside Git, for example </w:t>
      </w:r>
      <w:r>
        <w:rPr>
          <w:rFonts w:ascii="Courier New" w:hAnsi="Courier New"/>
          <w:b w:val="0"/>
          <w:i w:val="0"/>
          <w:sz w:val="18"/>
        </w:rPr>
        <w:t>$HOME/bscr-edm/snapshot</w:t>
      </w:r>
      <w:r>
        <w:rPr>
          <w:b w:val="0"/>
          <w:i w:val="0"/>
        </w:rPr>
        <w:t>:</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Content and scope</w:t>
            </w:r>
          </w:p>
        </w:tc>
      </w:tr>
      <w:tr>
        <w:tc>
          <w:tcPr>
            <w:tcW w:type="dxa" w:w="5040"/>
          </w:tcPr>
          <w:p>
            <w:r/>
            <w:r>
              <w:rPr>
                <w:rFonts w:ascii="Courier New" w:hAnsi="Courier New"/>
                <w:b w:val="0"/>
                <w:i w:val="0"/>
                <w:sz w:val="18"/>
              </w:rPr>
              <w:t>manifest.csv</w:t>
            </w:r>
          </w:p>
        </w:tc>
        <w:tc>
          <w:tcPr>
            <w:tcW w:type="dxa" w:w="5040"/>
          </w:tcPr>
          <w:p>
            <w:r/>
            <w:r>
              <w:rPr>
                <w:b w:val="0"/>
                <w:i w:val="0"/>
              </w:rPr>
              <w:t>Run ID, server/database, UTC start, isolation, four source counts and scopes</w:t>
            </w:r>
          </w:p>
        </w:tc>
      </w:tr>
      <w:tr>
        <w:tc>
          <w:tcPr>
            <w:tcW w:type="dxa" w:w="5040"/>
          </w:tcPr>
          <w:p>
            <w:r/>
            <w:r>
              <w:rPr>
                <w:rFonts w:ascii="Courier New" w:hAnsi="Courier New"/>
                <w:b w:val="0"/>
                <w:i w:val="0"/>
                <w:sz w:val="18"/>
              </w:rPr>
              <w:t>schema.csv</w:t>
            </w:r>
          </w:p>
        </w:tc>
        <w:tc>
          <w:tcPr>
            <w:tcW w:type="dxa" w:w="5040"/>
          </w:tcPr>
          <w:p>
            <w:r/>
            <w:r>
              <w:rPr>
                <w:b w:val="0"/>
                <w:i w:val="0"/>
              </w:rPr>
              <w:t>Actual source column types, precision, scale and nullability</w:t>
            </w:r>
          </w:p>
        </w:tc>
      </w:tr>
      <w:tr>
        <w:tc>
          <w:tcPr>
            <w:tcW w:type="dxa" w:w="5040"/>
          </w:tcPr>
          <w:p>
            <w:r/>
            <w:r>
              <w:rPr>
                <w:rFonts w:ascii="Courier New" w:hAnsi="Courier New"/>
                <w:b w:val="0"/>
                <w:i w:val="0"/>
                <w:sz w:val="18"/>
              </w:rPr>
              <w:t>accgrp.csv</w:t>
            </w:r>
          </w:p>
        </w:tc>
        <w:tc>
          <w:tcPr>
            <w:tcW w:type="dxa" w:w="5040"/>
          </w:tcPr>
          <w:p>
            <w:r/>
            <w:r>
              <w:rPr>
                <w:b w:val="0"/>
                <w:i w:val="0"/>
              </w:rPr>
              <w:t>All account IDs, entity/treaty marker, branch and underwriter</w:t>
            </w:r>
          </w:p>
        </w:tc>
      </w:tr>
      <w:tr>
        <w:tc>
          <w:tcPr>
            <w:tcW w:type="dxa" w:w="5040"/>
          </w:tcPr>
          <w:p>
            <w:r/>
            <w:r>
              <w:rPr>
                <w:rFonts w:ascii="Courier New" w:hAnsi="Courier New"/>
                <w:b w:val="0"/>
                <w:i w:val="0"/>
                <w:sz w:val="18"/>
              </w:rPr>
              <w:t>policy.csv</w:t>
            </w:r>
          </w:p>
        </w:tc>
        <w:tc>
          <w:tcPr>
            <w:tcW w:type="dxa" w:w="5040"/>
          </w:tcPr>
          <w:p>
            <w:r/>
            <w:r>
              <w:rPr>
                <w:b w:val="0"/>
                <w:i w:val="0"/>
              </w:rPr>
              <w:t>Every type-1/type-2 policy ID, account ID and relevant limit/deductible terms</w:t>
            </w:r>
          </w:p>
        </w:tc>
      </w:tr>
      <w:tr>
        <w:tc>
          <w:tcPr>
            <w:tcW w:type="dxa" w:w="5040"/>
          </w:tcPr>
          <w:p>
            <w:r/>
            <w:r>
              <w:rPr>
                <w:rFonts w:ascii="Courier New" w:hAnsi="Courier New"/>
                <w:b w:val="0"/>
                <w:i w:val="0"/>
                <w:sz w:val="18"/>
              </w:rPr>
              <w:t>loc.csv</w:t>
            </w:r>
          </w:p>
        </w:tc>
        <w:tc>
          <w:tcPr>
            <w:tcW w:type="dxa" w:w="5040"/>
          </w:tcPr>
          <w:p>
            <w:r/>
            <w:r>
              <w:rPr>
                <w:b w:val="0"/>
                <w:i w:val="0"/>
              </w:rPr>
              <w:t>All location/account IDs, location number, geocode flag, state/country and coordinates</w:t>
            </w:r>
          </w:p>
        </w:tc>
      </w:tr>
      <w:tr>
        <w:tc>
          <w:tcPr>
            <w:tcW w:type="dxa" w:w="5040"/>
          </w:tcPr>
          <w:p>
            <w:r/>
            <w:r>
              <w:rPr>
                <w:rFonts w:ascii="Courier New" w:hAnsi="Courier New"/>
                <w:b w:val="0"/>
                <w:i w:val="0"/>
                <w:sz w:val="18"/>
              </w:rPr>
              <w:t>loccvg.csv</w:t>
            </w:r>
          </w:p>
        </w:tc>
        <w:tc>
          <w:tcPr>
            <w:tcW w:type="dxa" w:w="5040"/>
          </w:tcPr>
          <w:p>
            <w:r/>
            <w:r>
              <w:rPr>
                <w:b w:val="0"/>
                <w:i w:val="0"/>
              </w:rPr>
              <w:t>Every peril-1/peril-2 coverage row, values, deductibles, limits and currencies</w:t>
            </w:r>
          </w:p>
        </w:tc>
      </w:tr>
    </w:tbl>
    <w:p/>
    <w:p>
      <w:r>
        <w:rPr>
          <w:b w:val="0"/>
          <w:i w:val="0"/>
        </w:rPr>
        <w:t xml:space="preserve">Preserve duplicate coverage rows and orphan/unmapped records. Do not use </w:t>
      </w:r>
      <w:r>
        <w:rPr>
          <w:rFonts w:ascii="Courier New" w:hAnsi="Courier New"/>
          <w:b w:val="0"/>
          <w:i w:val="0"/>
          <w:sz w:val="18"/>
        </w:rPr>
        <w:t>DISTINCT</w:t>
      </w:r>
      <w:r>
        <w:rPr>
          <w:b w:val="0"/>
          <w:i w:val="0"/>
        </w:rPr>
        <w:t xml:space="preserve">, pre-join the tables, restrict entities, aggregate or apply FX. The exporter uses literal </w:t>
      </w:r>
      <w:r>
        <w:rPr>
          <w:rFonts w:ascii="Courier New" w:hAnsi="Courier New"/>
          <w:b w:val="0"/>
          <w:i w:val="0"/>
          <w:sz w:val="18"/>
        </w:rPr>
        <w:t>\N</w:t>
      </w:r>
      <w:r>
        <w:rPr>
          <w:b w:val="0"/>
          <w:i w:val="0"/>
        </w:rPr>
        <w:t xml:space="preserve"> for SQL NULL; empty strings are distinct. Use a CSV writer that quotes commas, quotes and embedded newlines correctly; do not open and resave the raw files in Excel. Numeric style-3 conversion requires SQL Server 2016 or later. All four data files carry one run ID.</w:t>
      </w:r>
    </w:p>
    <w:p>
      <w:r>
        <w:rPr>
          <w:b w:val="0"/>
          <w:i w:val="0"/>
        </w:rPr>
        <w:t xml:space="preserve">From the </w:t>
      </w:r>
      <w:r>
        <w:rPr>
          <w:rFonts w:ascii="Courier New" w:hAnsi="Courier New"/>
          <w:b w:val="0"/>
          <w:i w:val="0"/>
          <w:sz w:val="18"/>
        </w:rPr>
        <w:t>reporting/</w:t>
      </w:r>
      <w:r>
        <w:rPr>
          <w:b w:val="0"/>
          <w:i w:val="0"/>
        </w:rPr>
        <w:t xml:space="preserve"> directory, import the six files:</w:t>
      </w:r>
    </w:p>
    <w:p>
      <w:pPr>
        <w:spacing w:after="0"/>
      </w:pPr>
      <w:r>
        <w:rPr>
          <w:rFonts w:ascii="Courier New" w:hAnsi="Courier New"/>
          <w:sz w:val="18"/>
          <w:shd w:fill="F2F2F2"/>
        </w:rPr>
        <w:t>uv run --no-project --with duckdb --with sqlglot python bscr/tools/edm_local.py import \</w:t>
      </w:r>
    </w:p>
    <w:p>
      <w:pPr>
        <w:spacing w:after="0"/>
      </w:pPr>
      <w:r>
        <w:rPr>
          <w:rFonts w:ascii="Courier New" w:hAnsi="Courier New"/>
          <w:sz w:val="18"/>
          <w:shd w:fill="F2F2F2"/>
        </w:rPr>
        <w:t xml:space="preserve">  --input "$HOME/bscr-edm/snapshot" \</w:t>
      </w:r>
    </w:p>
    <w:p>
      <w:pPr>
        <w:spacing w:after="0"/>
      </w:pPr>
      <w:r>
        <w:rPr>
          <w:rFonts w:ascii="Courier New" w:hAnsi="Courier New"/>
          <w:sz w:val="18"/>
          <w:shd w:fill="F2F2F2"/>
        </w:rPr>
        <w:t xml:space="preserve">  --database "$HOME/bscr-edm/snapshot/source.duckdb"</w:t>
      </w:r>
    </w:p>
    <w:p>
      <w:r>
        <w:rPr>
          <w:b w:val="0"/>
          <w:i w:val="0"/>
        </w:rPr>
        <w:t xml:space="preserve">The importer checks headers, run IDs, counts and numeric conversions before publishing a new database. It preserves lexical source values in </w:t>
      </w:r>
      <w:r>
        <w:rPr>
          <w:rFonts w:ascii="Courier New" w:hAnsi="Courier New"/>
          <w:b w:val="0"/>
          <w:i w:val="0"/>
          <w:sz w:val="18"/>
        </w:rPr>
        <w:t>raw_*</w:t>
      </w:r>
      <w:r>
        <w:rPr>
          <w:b w:val="0"/>
          <w:i w:val="0"/>
        </w:rPr>
        <w:t xml:space="preserve"> tables, creates typed </w:t>
      </w:r>
      <w:r>
        <w:rPr>
          <w:rFonts w:ascii="Courier New" w:hAnsi="Courier New"/>
          <w:b w:val="0"/>
          <w:i w:val="0"/>
          <w:sz w:val="18"/>
        </w:rPr>
        <w:t>accgrp</w:t>
      </w:r>
      <w:r>
        <w:rPr>
          <w:b w:val="0"/>
          <w:i w:val="0"/>
        </w:rPr>
        <w:t xml:space="preserve">, </w:t>
      </w:r>
      <w:r>
        <w:rPr>
          <w:rFonts w:ascii="Courier New" w:hAnsi="Courier New"/>
          <w:b w:val="0"/>
          <w:i w:val="0"/>
          <w:sz w:val="18"/>
        </w:rPr>
        <w:t>policy</w:t>
      </w:r>
      <w:r>
        <w:rPr>
          <w:b w:val="0"/>
          <w:i w:val="0"/>
        </w:rPr>
        <w:t xml:space="preserve">, </w:t>
      </w:r>
      <w:r>
        <w:rPr>
          <w:rFonts w:ascii="Courier New" w:hAnsi="Courier New"/>
          <w:b w:val="0"/>
          <w:i w:val="0"/>
          <w:sz w:val="18"/>
        </w:rPr>
        <w:t>loc</w:t>
      </w:r>
      <w:r>
        <w:rPr>
          <w:b w:val="0"/>
          <w:i w:val="0"/>
        </w:rPr>
        <w:t xml:space="preserve">, </w:t>
      </w:r>
      <w:r>
        <w:rPr>
          <w:rFonts w:ascii="Courier New" w:hAnsi="Courier New"/>
          <w:b w:val="0"/>
          <w:i w:val="0"/>
          <w:sz w:val="18"/>
        </w:rPr>
        <w:t>loccvg</w:t>
      </w:r>
      <w:r>
        <w:rPr>
          <w:b w:val="0"/>
          <w:i w:val="0"/>
        </w:rPr>
        <w:t xml:space="preserve"> views, and stores the manifest, schema and CSV SHA-256 hashes. Unexported schema columns are not fabricated as NULL. Existing databases are not overwritten.</w:t>
      </w:r>
    </w:p>
    <w:p>
      <w:r>
        <w:rPr>
          <w:b w:val="0"/>
          <w:i w:val="0"/>
        </w:rPr>
        <w:t>Inspect policy counts without joining to locations:</w:t>
      </w:r>
    </w:p>
    <w:p>
      <w:pPr>
        <w:spacing w:after="0"/>
      </w:pPr>
      <w:r>
        <w:rPr>
          <w:rFonts w:ascii="Courier New" w:hAnsi="Courier New"/>
          <w:sz w:val="18"/>
          <w:shd w:fill="F2F2F2"/>
        </w:rPr>
        <w:t>uv run --no-project --with duckdb --with sqlglot python bscr/tools/edm_local.py query \</w:t>
      </w:r>
    </w:p>
    <w:p>
      <w:pPr>
        <w:spacing w:after="0"/>
      </w:pPr>
      <w:r>
        <w:rPr>
          <w:rFonts w:ascii="Courier New" w:hAnsi="Courier New"/>
          <w:sz w:val="18"/>
          <w:shd w:fill="F2F2F2"/>
        </w:rPr>
        <w:t xml:space="preserve">  --database "$HOME/bscr-edm/snapshot/source.duckdb" \</w:t>
      </w:r>
    </w:p>
    <w:p>
      <w:pPr>
        <w:spacing w:after="0"/>
      </w:pPr>
      <w:r>
        <w:rPr>
          <w:rFonts w:ascii="Courier New" w:hAnsi="Courier New"/>
          <w:sz w:val="18"/>
          <w:shd w:fill="F2F2F2"/>
        </w:rPr>
        <w:t xml:space="preserve">  --sql "SELECT policytype, COUNT(*) AS rows, COUNT(DISTINCT policyid) AS distinct_policy_ids FROM policy GROUP BY policytype"</w:t>
      </w:r>
    </w:p>
    <w:p>
      <w:r>
        <w:rPr>
          <w:b w:val="0"/>
          <w:i w:val="0"/>
        </w:rPr>
        <w:t>Replay an aggregate query locally:</w:t>
      </w:r>
    </w:p>
    <w:p>
      <w:pPr>
        <w:spacing w:after="0"/>
      </w:pPr>
      <w:r>
        <w:rPr>
          <w:rFonts w:ascii="Courier New" w:hAnsi="Courier New"/>
          <w:sz w:val="18"/>
          <w:shd w:fill="F2F2F2"/>
        </w:rPr>
        <w:t>uv run --no-project --with duckdb --with sqlglot python bscr/tools/edm_local.py replay \</w:t>
      </w:r>
    </w:p>
    <w:p>
      <w:pPr>
        <w:spacing w:after="0"/>
      </w:pPr>
      <w:r>
        <w:rPr>
          <w:rFonts w:ascii="Courier New" w:hAnsi="Courier New"/>
          <w:sz w:val="18"/>
          <w:shd w:fill="F2F2F2"/>
        </w:rPr>
        <w:t xml:space="preserve">  --database "$HOME/bscr-edm/snapshot/source.duckdb" \</w:t>
      </w:r>
    </w:p>
    <w:p>
      <w:pPr>
        <w:spacing w:after="0"/>
      </w:pPr>
      <w:r>
        <w:rPr>
          <w:rFonts w:ascii="Courier New" w:hAnsi="Courier New"/>
          <w:sz w:val="18"/>
          <w:shd w:fill="F2F2F2"/>
        </w:rPr>
        <w:t xml:space="preserve">  --query bscr/sql/bscr-output.sql \</w:t>
      </w:r>
    </w:p>
    <w:p>
      <w:pPr>
        <w:spacing w:after="0"/>
      </w:pPr>
      <w:r>
        <w:rPr>
          <w:rFonts w:ascii="Courier New" w:hAnsi="Courier New"/>
          <w:sz w:val="18"/>
          <w:shd w:fill="F2F2F2"/>
        </w:rPr>
        <w:t xml:space="preserve">  --output "$HOME/bscr-edm/snapshot/current-output.csv"</w:t>
      </w:r>
    </w:p>
    <w:p>
      <w:r>
        <w:rPr>
          <w:b w:val="0"/>
          <w:i w:val="0"/>
        </w:rPr>
        <w:t xml:space="preserve">Repeat with </w:t>
      </w:r>
      <w:r>
        <w:rPr>
          <w:rFonts w:ascii="Courier New" w:hAnsi="Courier New"/>
          <w:b w:val="0"/>
          <w:i w:val="0"/>
          <w:sz w:val="18"/>
        </w:rPr>
        <w:t>bscr/sql/bscr-output_old_logic.sql</w:t>
      </w:r>
      <w:r>
        <w:rPr>
          <w:b w:val="0"/>
          <w:i w:val="0"/>
        </w:rPr>
        <w:t xml:space="preserve"> and a different output name to isolate the policy-side geocode join; that variant is </w:t>
      </w:r>
      <w:r>
        <w:rPr>
          <w:b/>
          <w:i w:val="0"/>
        </w:rPr>
        <w:t>not</w:t>
      </w:r>
      <w:r>
        <w:rPr>
          <w:b w:val="0"/>
          <w:i w:val="0"/>
        </w:rPr>
        <w:t xml:space="preserve"> a complete historical reproduction. </w:t>
      </w:r>
      <w:r>
        <w:rPr>
          <w:rFonts w:ascii="Courier New" w:hAnsi="Courier New"/>
          <w:b w:val="0"/>
          <w:i w:val="0"/>
          <w:sz w:val="18"/>
        </w:rPr>
        <w:t>bscr-output-peril1.sql</w:t>
      </w:r>
      <w:r>
        <w:rPr>
          <w:b w:val="0"/>
          <w:i w:val="0"/>
        </w:rPr>
        <w:t xml:space="preserve"> uses earthquake for all regions; </w:t>
      </w:r>
      <w:r>
        <w:rPr>
          <w:rFonts w:ascii="Courier New" w:hAnsi="Courier New"/>
          <w:b w:val="0"/>
          <w:i w:val="0"/>
          <w:sz w:val="18"/>
        </w:rPr>
        <w:t>bscr-output-all-perils.sql</w:t>
      </w:r>
      <w:r>
        <w:rPr>
          <w:b w:val="0"/>
          <w:i w:val="0"/>
        </w:rPr>
        <w:t xml:space="preserve"> provides both perils in every region, including </w:t>
      </w:r>
      <w:r>
        <w:rPr>
          <w:rFonts w:ascii="Courier New" w:hAnsi="Courier New"/>
          <w:b w:val="0"/>
          <w:i w:val="0"/>
          <w:sz w:val="18"/>
        </w:rPr>
        <w:t>ALL</w:t>
      </w:r>
      <w:r>
        <w:rPr>
          <w:b w:val="0"/>
          <w:i w:val="0"/>
        </w:rPr>
        <w:t xml:space="preserve">. Keep identical source files and parameter values between runs. Optional </w:t>
      </w:r>
      <w:r>
        <w:rPr>
          <w:rFonts w:ascii="Courier New" w:hAnsi="Courier New"/>
          <w:b w:val="0"/>
          <w:i w:val="0"/>
          <w:sz w:val="18"/>
        </w:rPr>
        <w:t>--fx</w:t>
      </w:r>
      <w:r>
        <w:rPr>
          <w:b w:val="0"/>
          <w:i w:val="0"/>
        </w:rPr>
        <w:t xml:space="preserve"> and </w:t>
      </w:r>
      <w:r>
        <w:rPr>
          <w:rFonts w:ascii="Courier New" w:hAnsi="Courier New"/>
          <w:b w:val="0"/>
          <w:i w:val="0"/>
          <w:sz w:val="18"/>
        </w:rPr>
        <w:t>--entity</w:t>
      </w:r>
      <w:r>
        <w:rPr>
          <w:b w:val="0"/>
          <w:i w:val="0"/>
        </w:rPr>
        <w:t xml:space="preserve"> overrides are recorded alongside the declared defaults in each output's </w:t>
      </w:r>
      <w:r>
        <w:rPr>
          <w:rFonts w:ascii="Courier New" w:hAnsi="Courier New"/>
          <w:b w:val="0"/>
          <w:i w:val="0"/>
          <w:sz w:val="18"/>
        </w:rPr>
        <w:t>.provenance.json</w:t>
      </w:r>
      <w:r>
        <w:rPr>
          <w:b w:val="0"/>
          <w:i w:val="0"/>
        </w:rPr>
        <w:t>, with source hashes and engine versions.</w:t>
      </w:r>
    </w:p>
    <w:p>
      <w:r>
        <w:rPr>
          <w:b w:val="0"/>
          <w:i w:val="0"/>
        </w:rPr>
        <w:t xml:space="preserve">Local replay adapts T-SQL to DuckDB; collation and numeric aggregation can differ from SQL Server. First compare the local current-query output with the server output from the </w:t>
      </w:r>
      <w:r>
        <w:rPr>
          <w:b/>
          <w:i w:val="0"/>
        </w:rPr>
        <w:t>same snapshot</w:t>
      </w:r>
      <w:r>
        <w:rPr>
          <w:b w:val="0"/>
          <w:i w:val="0"/>
        </w:rPr>
        <w:t xml:space="preserve">. Then change one calculation dimension at a time: geocode join, policy cap grouping, peril selection, regional scope. Trace residuals by account/policy/location before approving a change. </w:t>
      </w:r>
      <w:r>
        <w:rPr>
          <w:rFonts w:ascii="Courier New" w:hAnsi="Courier New"/>
          <w:b w:val="0"/>
          <w:i w:val="0"/>
          <w:sz w:val="18"/>
        </w:rPr>
        <w:t>count_policies</w:t>
      </w:r>
      <w:r>
        <w:rPr>
          <w:b w:val="0"/>
          <w:i w:val="0"/>
        </w:rPr>
        <w:t xml:space="preserve"> remains a grouped-source-row count; distinct policy IDs are a separate diagnostic, not automatically a contract count.</w:t>
      </w:r>
    </w:p>
    <w:p>
      <w:bookmarkStart w:id="4" w:name="bm_bscr_runbook_run_the_two_sql_exports"/>
      <w:pPr>
        <w:pStyle w:val="Heading2"/>
        <w:keepNext/>
      </w:pPr>
      <w:r>
        <w:rPr>
          <w:b w:val="0"/>
          <w:i w:val="0"/>
        </w:rPr>
        <w:t>Run the two SQL exports</w:t>
      </w:r>
      <w:bookmarkEnd w:id="4"/>
    </w:p>
    <w:p>
      <w:r>
        <w:rPr>
          <w:b w:val="0"/>
          <w:i w:val="0"/>
        </w:rPr>
        <w:t xml:space="preserve">1. In an approved SQL Server client, select the approved EDM database and run </w:t>
      </w:r>
      <w:r>
        <w:rPr>
          <w:rFonts w:ascii="Courier New" w:hAnsi="Courier New"/>
          <w:b w:val="0"/>
          <w:i w:val="0"/>
          <w:sz w:val="18"/>
        </w:rPr>
        <w:t>bscr/sql/bscr-extract.sql</w:t>
      </w:r>
      <w:r>
        <w:rPr>
          <w:b w:val="0"/>
          <w:i w:val="0"/>
        </w:rPr>
        <w:t xml:space="preserve">. Its </w:t>
      </w:r>
      <w:r>
        <w:rPr>
          <w:rFonts w:ascii="Courier New" w:hAnsi="Courier New"/>
          <w:b w:val="0"/>
          <w:i w:val="0"/>
          <w:sz w:val="18"/>
        </w:rPr>
        <w:t>peril_selection</w:t>
      </w:r>
      <w:r>
        <w:rPr>
          <w:b w:val="0"/>
          <w:i w:val="0"/>
        </w:rPr>
        <w:t xml:space="preserve"> selects peril 1 (earthquake) and 2 (wind) together. Both use the single </w:t>
      </w:r>
      <w:r>
        <w:rPr>
          <w:rFonts w:ascii="Courier New" w:hAnsi="Courier New"/>
          <w:b w:val="0"/>
          <w:i w:val="0"/>
          <w:sz w:val="18"/>
        </w:rPr>
        <w:t>@policy_type = 1</w:t>
      </w:r>
      <w:r>
        <w:rPr>
          <w:b w:val="0"/>
          <w:i w:val="0"/>
        </w:rPr>
        <w:t xml:space="preserve"> filter: confirm that policy population is appropriate for both perils; the query does not select a separate policy type per peril.</w:t>
      </w:r>
    </w:p>
    <w:p>
      <w:r>
        <w:rPr>
          <w:b w:val="0"/>
          <w:i w:val="0"/>
        </w:rPr>
        <w:t xml:space="preserve">2. Export the raw/source result with these eight headers, in order: </w:t>
      </w:r>
      <w:r>
        <w:rPr>
          <w:rFonts w:ascii="Courier New" w:hAnsi="Courier New"/>
          <w:b w:val="0"/>
          <w:i w:val="0"/>
          <w:sz w:val="18"/>
        </w:rPr>
        <w:t>pml, accgrpid, uwritrname, state, userid1, cntrycode, is_geocoded, peril_id</w:t>
      </w:r>
      <w:r>
        <w:rPr>
          <w:b w:val="0"/>
          <w:i w:val="0"/>
        </w:rPr>
        <w:t>. These are already capped account/geography aggregates, not location or individual-policy detail.</w:t>
      </w:r>
    </w:p>
    <w:p>
      <w:r>
        <w:rPr>
          <w:b w:val="0"/>
          <w:i w:val="0"/>
        </w:rPr>
        <w:t xml:space="preserve">3. Run </w:t>
      </w:r>
      <w:r>
        <w:rPr>
          <w:rFonts w:ascii="Courier New" w:hAnsi="Courier New"/>
          <w:b w:val="0"/>
          <w:i w:val="0"/>
          <w:sz w:val="18"/>
        </w:rPr>
        <w:t>bscr/sql/bscr-output.sql</w:t>
      </w:r>
      <w:r>
        <w:rPr>
          <w:b w:val="0"/>
          <w:i w:val="0"/>
        </w:rPr>
        <w:t xml:space="preserve"> against the </w:t>
      </w:r>
      <w:r>
        <w:rPr>
          <w:b/>
          <w:i w:val="0"/>
        </w:rPr>
        <w:t>same snapshot</w:t>
      </w:r>
      <w:r>
        <w:rPr>
          <w:b w:val="0"/>
          <w:i w:val="0"/>
        </w:rPr>
        <w:t xml:space="preserve"> and peril selection. It matches policy type to each peril rather than using the extract's single </w:t>
      </w:r>
      <w:r>
        <w:rPr>
          <w:rFonts w:ascii="Courier New" w:hAnsi="Courier New"/>
          <w:b w:val="0"/>
          <w:i w:val="0"/>
          <w:sz w:val="18"/>
        </w:rPr>
        <w:t>@policy_type</w:t>
      </w:r>
      <w:r>
        <w:rPr>
          <w:b w:val="0"/>
          <w:i w:val="0"/>
        </w:rPr>
        <w:t xml:space="preserve">. It independently calculates the source exposure; it does not read the raw CSV. Leave </w:t>
      </w:r>
      <w:r>
        <w:rPr>
          <w:rFonts w:ascii="Courier New" w:hAnsi="Courier New"/>
          <w:b w:val="0"/>
          <w:i w:val="0"/>
          <w:sz w:val="18"/>
        </w:rPr>
        <w:t>@bscr_entity = NULL</w:t>
      </w:r>
      <w:r>
        <w:rPr>
          <w:b w:val="0"/>
          <w:i w:val="0"/>
        </w:rPr>
        <w:t xml:space="preserve"> for all entities, including unmapped NULL entities, or set a quoted value such as </w:t>
      </w:r>
      <w:r>
        <w:rPr>
          <w:rFonts w:ascii="Courier New" w:hAnsi="Courier New"/>
          <w:b w:val="0"/>
          <w:i w:val="0"/>
          <w:sz w:val="18"/>
        </w:rPr>
        <w:t>'HIC'</w:t>
      </w:r>
      <w:r>
        <w:rPr>
          <w:b w:val="0"/>
          <w:i w:val="0"/>
        </w:rPr>
        <w:t xml:space="preserve">, </w:t>
      </w:r>
      <w:r>
        <w:rPr>
          <w:rFonts w:ascii="Courier New" w:hAnsi="Courier New"/>
          <w:b w:val="0"/>
          <w:i w:val="0"/>
          <w:sz w:val="18"/>
        </w:rPr>
        <w:t>'33'</w:t>
      </w:r>
      <w:r>
        <w:rPr>
          <w:b w:val="0"/>
          <w:i w:val="0"/>
        </w:rPr>
        <w:t xml:space="preserve">, </w:t>
      </w:r>
      <w:r>
        <w:rPr>
          <w:rFonts w:ascii="Courier New" w:hAnsi="Courier New"/>
          <w:b w:val="0"/>
          <w:i w:val="0"/>
          <w:sz w:val="18"/>
        </w:rPr>
        <w:t>'HIG'</w:t>
      </w:r>
      <w:r>
        <w:rPr>
          <w:b w:val="0"/>
          <w:i w:val="0"/>
        </w:rPr>
        <w:t xml:space="preserve">, </w:t>
      </w:r>
      <w:r>
        <w:rPr>
          <w:rFonts w:ascii="Courier New" w:hAnsi="Courier New"/>
          <w:b w:val="0"/>
          <w:i w:val="0"/>
          <w:sz w:val="18"/>
        </w:rPr>
        <w:t>'HSA'</w:t>
      </w:r>
      <w:r>
        <w:rPr>
          <w:b w:val="0"/>
          <w:i w:val="0"/>
        </w:rPr>
        <w:t xml:space="preserve">, or </w:t>
      </w:r>
      <w:r>
        <w:rPr>
          <w:rFonts w:ascii="Courier New" w:hAnsi="Courier New"/>
          <w:b w:val="0"/>
          <w:i w:val="0"/>
          <w:sz w:val="18"/>
        </w:rPr>
        <w:t>'3624'</w:t>
      </w:r>
      <w:r>
        <w:rPr>
          <w:b w:val="0"/>
          <w:i w:val="0"/>
        </w:rPr>
        <w:t>.</w:t>
      </w:r>
    </w:p>
    <w:p>
      <w:r>
        <w:rPr>
          <w:b w:val="0"/>
          <w:i w:val="0"/>
        </w:rPr>
        <w:t xml:space="preserve">4. Confirm </w:t>
      </w:r>
      <w:r>
        <w:rPr>
          <w:rFonts w:ascii="Courier New" w:hAnsi="Courier New"/>
          <w:b w:val="0"/>
          <w:i w:val="0"/>
          <w:sz w:val="18"/>
        </w:rPr>
        <w:t>@qs_pct_retention</w:t>
      </w:r>
      <w:r>
        <w:rPr>
          <w:b w:val="0"/>
          <w:i w:val="0"/>
        </w:rPr>
        <w:t xml:space="preserve"> and </w:t>
      </w:r>
      <w:r>
        <w:rPr>
          <w:rFonts w:ascii="Courier New" w:hAnsi="Courier New"/>
          <w:b w:val="0"/>
          <w:i w:val="0"/>
          <w:sz w:val="18"/>
        </w:rPr>
        <w:t>@srp_pct_retention</w:t>
      </w:r>
      <w:r>
        <w:rPr>
          <w:b w:val="0"/>
          <w:i w:val="0"/>
        </w:rPr>
        <w:t xml:space="preserve"> (</w:t>
      </w:r>
      <w:r>
        <w:rPr>
          <w:rFonts w:ascii="Courier New" w:hAnsi="Courier New"/>
          <w:b w:val="0"/>
          <w:i w:val="0"/>
          <w:sz w:val="18"/>
        </w:rPr>
        <w:t>0.5</w:t>
      </w:r>
      <w:r>
        <w:rPr>
          <w:b w:val="0"/>
          <w:i w:val="0"/>
        </w:rPr>
        <w:t xml:space="preserve"> and </w:t>
      </w:r>
      <w:r>
        <w:rPr>
          <w:rFonts w:ascii="Courier New" w:hAnsi="Courier New"/>
          <w:b w:val="0"/>
          <w:i w:val="0"/>
          <w:sz w:val="18"/>
        </w:rPr>
        <w:t>0.3333</w:t>
      </w:r>
      <w:r>
        <w:rPr>
          <w:b w:val="0"/>
          <w:i w:val="0"/>
        </w:rPr>
        <w:t xml:space="preserve">). They are retained fractions, not percentages to divide by 100. A literal </w:t>
      </w:r>
      <w:r>
        <w:rPr>
          <w:rFonts w:ascii="Courier New" w:hAnsi="Courier New"/>
          <w:b w:val="0"/>
          <w:i w:val="0"/>
          <w:sz w:val="18"/>
        </w:rPr>
        <w:t>_QS</w:t>
      </w:r>
      <w:r>
        <w:rPr>
          <w:b w:val="0"/>
          <w:i w:val="0"/>
        </w:rPr>
        <w:t xml:space="preserve"> marker in </w:t>
      </w:r>
      <w:r>
        <w:rPr>
          <w:rFonts w:ascii="Courier New" w:hAnsi="Courier New"/>
          <w:b w:val="0"/>
          <w:i w:val="0"/>
          <w:sz w:val="18"/>
        </w:rPr>
        <w:t>userid1</w:t>
      </w:r>
      <w:r>
        <w:rPr>
          <w:b w:val="0"/>
          <w:i w:val="0"/>
        </w:rPr>
        <w:t xml:space="preserve"> takes precedence over </w:t>
      </w:r>
      <w:r>
        <w:rPr>
          <w:rFonts w:ascii="Courier New" w:hAnsi="Courier New"/>
          <w:b w:val="0"/>
          <w:i w:val="0"/>
          <w:sz w:val="18"/>
        </w:rPr>
        <w:t>_SRP</w:t>
      </w:r>
      <w:r>
        <w:rPr>
          <w:b w:val="0"/>
          <w:i w:val="0"/>
        </w:rPr>
        <w:t xml:space="preserve">; other rows retain the full amount. Set </w:t>
      </w:r>
      <w:r>
        <w:rPr>
          <w:rFonts w:ascii="Courier New" w:hAnsi="Courier New"/>
          <w:b w:val="0"/>
          <w:i w:val="0"/>
          <w:sz w:val="18"/>
        </w:rPr>
        <w:t>@gbp_to_usd</w:t>
      </w:r>
      <w:r>
        <w:rPr>
          <w:b w:val="0"/>
          <w:i w:val="0"/>
        </w:rPr>
        <w:t xml:space="preserve"> to the approved USD-per-GBP rate (default </w:t>
      </w:r>
      <w:r>
        <w:rPr>
          <w:rFonts w:ascii="Courier New" w:hAnsi="Courier New"/>
          <w:b w:val="0"/>
          <w:i w:val="0"/>
          <w:sz w:val="18"/>
        </w:rPr>
        <w:t>1.35</w:t>
      </w:r>
      <w:r>
        <w:rPr>
          <w:b w:val="0"/>
          <w:i w:val="0"/>
        </w:rPr>
        <w:t>). The final SELECT converts gross/net amounts to full USD; counts and grouping are unchanged. No division by 1,000,000 is applied in SQL.</w:t>
      </w:r>
    </w:p>
    <w:p>
      <w:r>
        <w:rPr>
          <w:b w:val="0"/>
          <w:i w:val="0"/>
        </w:rPr>
        <w:t xml:space="preserve">5. Export the aggregate result with these eight headers: </w:t>
      </w:r>
      <w:r>
        <w:rPr>
          <w:rFonts w:ascii="Courier New" w:hAnsi="Courier New"/>
          <w:b w:val="0"/>
          <w:i w:val="0"/>
          <w:sz w:val="18"/>
        </w:rPr>
        <w:t>cntrycode, bscr_entity, region, sum_pml, sum_net, count_policies, is_geocoded, peril_id</w:t>
      </w:r>
      <w:r>
        <w:rPr>
          <w:b w:val="0"/>
          <w:i w:val="0"/>
        </w:rPr>
        <w:t xml:space="preserve">. </w:t>
      </w:r>
      <w:r>
        <w:rPr>
          <w:rFonts w:ascii="Courier New" w:hAnsi="Courier New"/>
          <w:b w:val="0"/>
          <w:i w:val="0"/>
          <w:sz w:val="18"/>
        </w:rPr>
        <w:t>peril_id</w:t>
      </w:r>
      <w:r>
        <w:rPr>
          <w:b w:val="0"/>
          <w:i w:val="0"/>
        </w:rPr>
        <w:t xml:space="preserve"> is explicit: </w:t>
      </w:r>
      <w:r>
        <w:rPr>
          <w:rFonts w:ascii="Courier New" w:hAnsi="Courier New"/>
          <w:b w:val="0"/>
          <w:i w:val="0"/>
          <w:sz w:val="18"/>
        </w:rPr>
        <w:t>1</w:t>
      </w:r>
      <w:r>
        <w:rPr>
          <w:b w:val="0"/>
          <w:i w:val="0"/>
        </w:rPr>
        <w:t xml:space="preserve"> for earthquake (including </w:t>
      </w:r>
      <w:r>
        <w:rPr>
          <w:rFonts w:ascii="Courier New" w:hAnsi="Courier New"/>
          <w:b w:val="0"/>
          <w:i w:val="0"/>
          <w:sz w:val="18"/>
        </w:rPr>
        <w:t>ALL</w:t>
      </w:r>
      <w:r>
        <w:rPr>
          <w:b w:val="0"/>
          <w:i w:val="0"/>
        </w:rPr>
        <w:t xml:space="preserve">), </w:t>
      </w:r>
      <w:r>
        <w:rPr>
          <w:rFonts w:ascii="Courier New" w:hAnsi="Courier New"/>
          <w:b w:val="0"/>
          <w:i w:val="0"/>
          <w:sz w:val="18"/>
        </w:rPr>
        <w:t>2</w:t>
      </w:r>
      <w:r>
        <w:rPr>
          <w:b w:val="0"/>
          <w:i w:val="0"/>
        </w:rPr>
        <w:t xml:space="preserve"> for wind.</w:t>
      </w:r>
    </w:p>
    <w:p>
      <w:r>
        <w:rPr>
          <w:b w:val="0"/>
          <w:i w:val="0"/>
        </w:rPr>
        <w:t>6. Preserve both SQL files, parameter values, exports, row counts, totals and source-snapshot identity together. A successful export does not resolve the policy-grain or workbook defects below.</w:t>
      </w:r>
    </w:p>
    <w:p>
      <w:bookmarkStart w:id="5" w:name="bm_bscr_runbook_understand_and_reconcile_the_output"/>
      <w:pPr>
        <w:pStyle w:val="Heading2"/>
        <w:keepNext/>
      </w:pPr>
      <w:r>
        <w:rPr>
          <w:b w:val="0"/>
          <w:i w:val="0"/>
        </w:rPr>
        <w:t>Understand and reconcile the output</w:t>
      </w:r>
      <w:bookmarkEnd w:id="5"/>
    </w:p>
    <w:p>
      <w:r>
        <w:rPr>
          <w:b w:val="0"/>
          <w:i w:val="0"/>
        </w:rPr>
        <w:t xml:space="preserve">The aggregate grain is country, derived entity, region and geocode status. There is no final </w:t>
      </w:r>
      <w:r>
        <w:rPr>
          <w:rFonts w:ascii="Courier New" w:hAnsi="Courier New"/>
          <w:b w:val="0"/>
          <w:i w:val="0"/>
          <w:sz w:val="18"/>
        </w:rPr>
        <w:t>peril_id</w:t>
      </w:r>
      <w:r>
        <w:rPr>
          <w:b w:val="0"/>
          <w:i w:val="0"/>
        </w:rPr>
        <w:t xml:space="preserve"> column: the following region routing is part of the output contract.</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Pr>
                <w:b/>
              </w:rPr>
            </w:r>
            <w:r>
              <w:rPr>
                <w:b/>
                <w:i w:val="0"/>
              </w:rPr>
              <w:t>Region</w:t>
            </w:r>
          </w:p>
        </w:tc>
        <w:tc>
          <w:tcPr>
            <w:tcW w:type="dxa" w:w="3360"/>
            <w:shd w:fill="D9EAF7"/>
          </w:tcPr>
          <w:p>
            <w:r>
              <w:rPr>
                <w:b/>
              </w:rPr>
            </w:r>
            <w:r>
              <w:rPr>
                <w:b/>
                <w:i w:val="0"/>
              </w:rPr>
              <w:t>Peril</w:t>
            </w:r>
          </w:p>
        </w:tc>
        <w:tc>
          <w:tcPr>
            <w:tcW w:type="dxa" w:w="3360"/>
            <w:shd w:fill="D9EAF7"/>
          </w:tcPr>
          <w:p>
            <w:r>
              <w:rPr>
                <w:b/>
              </w:rPr>
            </w:r>
            <w:r>
              <w:rPr>
                <w:b/>
                <w:i w:val="0"/>
              </w:rPr>
              <w:t>Current population</w:t>
            </w:r>
          </w:p>
        </w:tc>
      </w:tr>
      <w:tr>
        <w:tc>
          <w:tcPr>
            <w:tcW w:type="dxa" w:w="3360"/>
          </w:tcPr>
          <w:p>
            <w:r/>
            <w:r>
              <w:rPr>
                <w:rFonts w:ascii="Courier New" w:hAnsi="Courier New"/>
                <w:b w:val="0"/>
                <w:i w:val="0"/>
                <w:sz w:val="18"/>
              </w:rPr>
              <w:t>is_nahu</w:t>
            </w:r>
          </w:p>
        </w:tc>
        <w:tc>
          <w:tcPr>
            <w:tcW w:type="dxa" w:w="3360"/>
          </w:tcPr>
          <w:p>
            <w:r/>
            <w:r>
              <w:rPr>
                <w:b w:val="0"/>
                <w:i w:val="0"/>
              </w:rPr>
              <w:t>2 — wind</w:t>
            </w:r>
          </w:p>
        </w:tc>
        <w:tc>
          <w:tcPr>
            <w:tcW w:type="dxa" w:w="3360"/>
          </w:tcPr>
          <w:p>
            <w:r/>
            <w:r>
              <w:rPr>
                <w:b w:val="0"/>
                <w:i w:val="0"/>
              </w:rPr>
              <w:t>US (all states), CB, TC, BH, JM, VI, MX</w:t>
            </w:r>
          </w:p>
        </w:tc>
      </w:tr>
      <w:tr>
        <w:tc>
          <w:tcPr>
            <w:tcW w:type="dxa" w:w="3360"/>
          </w:tcPr>
          <w:p>
            <w:r/>
            <w:r>
              <w:rPr>
                <w:rFonts w:ascii="Courier New" w:hAnsi="Courier New"/>
                <w:b w:val="0"/>
                <w:i w:val="0"/>
                <w:sz w:val="18"/>
              </w:rPr>
              <w:t>is_eu</w:t>
            </w:r>
          </w:p>
        </w:tc>
        <w:tc>
          <w:tcPr>
            <w:tcW w:type="dxa" w:w="3360"/>
          </w:tcPr>
          <w:p>
            <w:r/>
            <w:r>
              <w:rPr>
                <w:b w:val="0"/>
                <w:i w:val="0"/>
              </w:rPr>
              <w:t>2 — wind</w:t>
            </w:r>
          </w:p>
        </w:tc>
        <w:tc>
          <w:tcPr>
            <w:tcW w:type="dxa" w:w="3360"/>
          </w:tcPr>
          <w:p>
            <w:r/>
            <w:r>
              <w:rPr>
                <w:b w:val="0"/>
                <w:i w:val="0"/>
              </w:rPr>
              <w:t>GB, UK, FR, DE, BE, NL, LX, AT, DK, SE, PL, CZ</w:t>
            </w:r>
          </w:p>
        </w:tc>
      </w:tr>
      <w:tr>
        <w:tc>
          <w:tcPr>
            <w:tcW w:type="dxa" w:w="3360"/>
          </w:tcPr>
          <w:p>
            <w:r/>
            <w:r>
              <w:rPr>
                <w:rFonts w:ascii="Courier New" w:hAnsi="Courier New"/>
                <w:b w:val="0"/>
                <w:i w:val="0"/>
                <w:sz w:val="18"/>
              </w:rPr>
              <w:t>is_jp</w:t>
            </w:r>
          </w:p>
        </w:tc>
        <w:tc>
          <w:tcPr>
            <w:tcW w:type="dxa" w:w="3360"/>
          </w:tcPr>
          <w:p>
            <w:r/>
            <w:r>
              <w:rPr>
                <w:b w:val="0"/>
                <w:i w:val="0"/>
              </w:rPr>
              <w:t>2 — wind</w:t>
            </w:r>
          </w:p>
        </w:tc>
        <w:tc>
          <w:tcPr>
            <w:tcW w:type="dxa" w:w="3360"/>
          </w:tcPr>
          <w:p>
            <w:r/>
            <w:r>
              <w:rPr>
                <w:b w:val="0"/>
                <w:i w:val="0"/>
              </w:rPr>
              <w:t>JP</w:t>
            </w:r>
          </w:p>
        </w:tc>
      </w:tr>
      <w:tr>
        <w:tc>
          <w:tcPr>
            <w:tcW w:type="dxa" w:w="3360"/>
          </w:tcPr>
          <w:p>
            <w:r/>
            <w:r>
              <w:rPr>
                <w:rFonts w:ascii="Courier New" w:hAnsi="Courier New"/>
                <w:b w:val="0"/>
                <w:i w:val="0"/>
                <w:sz w:val="18"/>
              </w:rPr>
              <w:t>is_na_eq</w:t>
            </w:r>
          </w:p>
        </w:tc>
        <w:tc>
          <w:tcPr>
            <w:tcW w:type="dxa" w:w="3360"/>
          </w:tcPr>
          <w:p>
            <w:r/>
            <w:r>
              <w:rPr>
                <w:b w:val="0"/>
                <w:i w:val="0"/>
              </w:rPr>
              <w:t>1 — earthquake</w:t>
            </w:r>
          </w:p>
        </w:tc>
        <w:tc>
          <w:tcPr>
            <w:tcW w:type="dxa" w:w="3360"/>
          </w:tcPr>
          <w:p>
            <w:r/>
            <w:r>
              <w:rPr>
                <w:b w:val="0"/>
                <w:i w:val="0"/>
              </w:rPr>
              <w:t>CA; US California, Washington, Oregon, South Carolina, Tennessee, or NULL state</w:t>
            </w:r>
          </w:p>
        </w:tc>
      </w:tr>
      <w:tr>
        <w:tc>
          <w:tcPr>
            <w:tcW w:type="dxa" w:w="3360"/>
          </w:tcPr>
          <w:p>
            <w:r/>
            <w:r>
              <w:rPr>
                <w:rFonts w:ascii="Courier New" w:hAnsi="Courier New"/>
                <w:b w:val="0"/>
                <w:i w:val="0"/>
                <w:sz w:val="18"/>
              </w:rPr>
              <w:t>is_jp_eq</w:t>
            </w:r>
          </w:p>
        </w:tc>
        <w:tc>
          <w:tcPr>
            <w:tcW w:type="dxa" w:w="3360"/>
          </w:tcPr>
          <w:p>
            <w:r/>
            <w:r>
              <w:rPr>
                <w:b w:val="0"/>
                <w:i w:val="0"/>
              </w:rPr>
              <w:t>1 — earthquake</w:t>
            </w:r>
          </w:p>
        </w:tc>
        <w:tc>
          <w:tcPr>
            <w:tcW w:type="dxa" w:w="3360"/>
          </w:tcPr>
          <w:p>
            <w:r/>
            <w:r>
              <w:rPr>
                <w:b w:val="0"/>
                <w:i w:val="0"/>
              </w:rPr>
              <w:t>JP</w:t>
            </w:r>
          </w:p>
        </w:tc>
      </w:tr>
      <w:tr>
        <w:tc>
          <w:tcPr>
            <w:tcW w:type="dxa" w:w="3360"/>
          </w:tcPr>
          <w:p>
            <w:r/>
            <w:r>
              <w:rPr>
                <w:rFonts w:ascii="Courier New" w:hAnsi="Courier New"/>
                <w:b w:val="0"/>
                <w:i w:val="0"/>
                <w:sz w:val="18"/>
              </w:rPr>
              <w:t>is_us_all</w:t>
            </w:r>
          </w:p>
        </w:tc>
        <w:tc>
          <w:tcPr>
            <w:tcW w:type="dxa" w:w="3360"/>
          </w:tcPr>
          <w:p>
            <w:r/>
            <w:r>
              <w:rPr>
                <w:b w:val="0"/>
                <w:i w:val="0"/>
              </w:rPr>
              <w:t>1 — earthquake</w:t>
            </w:r>
          </w:p>
        </w:tc>
        <w:tc>
          <w:tcPr>
            <w:tcW w:type="dxa" w:w="3360"/>
          </w:tcPr>
          <w:p>
            <w:r/>
            <w:r>
              <w:rPr>
                <w:b w:val="0"/>
                <w:i w:val="0"/>
              </w:rPr>
              <w:t>US</w:t>
            </w:r>
          </w:p>
        </w:tc>
      </w:tr>
      <w:tr>
        <w:tc>
          <w:tcPr>
            <w:tcW w:type="dxa" w:w="3360"/>
          </w:tcPr>
          <w:p>
            <w:r/>
            <w:r>
              <w:rPr>
                <w:rFonts w:ascii="Courier New" w:hAnsi="Courier New"/>
                <w:b w:val="0"/>
                <w:i w:val="0"/>
                <w:sz w:val="18"/>
              </w:rPr>
              <w:t>is_non_us</w:t>
            </w:r>
          </w:p>
        </w:tc>
        <w:tc>
          <w:tcPr>
            <w:tcW w:type="dxa" w:w="3360"/>
          </w:tcPr>
          <w:p>
            <w:r/>
            <w:r>
              <w:rPr>
                <w:b w:val="0"/>
                <w:i w:val="0"/>
              </w:rPr>
              <w:t>1 — earthquake</w:t>
            </w:r>
          </w:p>
        </w:tc>
        <w:tc>
          <w:tcPr>
            <w:tcW w:type="dxa" w:w="3360"/>
          </w:tcPr>
          <w:p>
            <w:r/>
            <w:r>
              <w:rPr>
                <w:b w:val="0"/>
                <w:i w:val="0"/>
              </w:rPr>
              <w:t>Anything other than US, including NULL country</w:t>
            </w:r>
          </w:p>
        </w:tc>
      </w:tr>
      <w:tr>
        <w:tc>
          <w:tcPr>
            <w:tcW w:type="dxa" w:w="3360"/>
          </w:tcPr>
          <w:p>
            <w:r/>
            <w:r>
              <w:rPr>
                <w:rFonts w:ascii="Courier New" w:hAnsi="Courier New"/>
                <w:b w:val="0"/>
                <w:i w:val="0"/>
                <w:sz w:val="18"/>
              </w:rPr>
              <w:t>ALL</w:t>
            </w:r>
          </w:p>
        </w:tc>
        <w:tc>
          <w:tcPr>
            <w:tcW w:type="dxa" w:w="3360"/>
          </w:tcPr>
          <w:p>
            <w:r/>
            <w:r>
              <w:rPr>
                <w:b w:val="0"/>
                <w:i w:val="0"/>
              </w:rPr>
              <w:t>1 — earthquake</w:t>
            </w:r>
          </w:p>
        </w:tc>
        <w:tc>
          <w:tcPr>
            <w:tcW w:type="dxa" w:w="3360"/>
          </w:tcPr>
          <w:p>
            <w:r/>
            <w:r>
              <w:rPr>
                <w:b w:val="0"/>
                <w:i w:val="0"/>
              </w:rPr>
              <w:t>All source countries</w:t>
            </w:r>
          </w:p>
        </w:tc>
      </w:tr>
    </w:tbl>
    <w:p/>
    <w:p>
      <w:r>
        <w:rPr>
          <w:b w:val="0"/>
          <w:i w:val="0"/>
        </w:rPr>
        <w:t xml:space="preserve">These are observed mappings, not approved geography definitions. </w:t>
      </w:r>
      <w:r>
        <w:rPr>
          <w:rFonts w:ascii="Courier New" w:hAnsi="Courier New"/>
          <w:b w:val="0"/>
          <w:i w:val="0"/>
          <w:sz w:val="18"/>
        </w:rPr>
        <w:t>LX</w:t>
      </w:r>
      <w:r>
        <w:rPr>
          <w:b w:val="0"/>
          <w:i w:val="0"/>
        </w:rPr>
        <w:t xml:space="preserve"> is literal; SQL does not substitute </w:t>
      </w:r>
      <w:r>
        <w:rPr>
          <w:rFonts w:ascii="Courier New" w:hAnsi="Courier New"/>
          <w:b w:val="0"/>
          <w:i w:val="0"/>
          <w:sz w:val="18"/>
        </w:rPr>
        <w:t>LU</w:t>
      </w:r>
      <w:r>
        <w:rPr>
          <w:b w:val="0"/>
          <w:i w:val="0"/>
        </w:rPr>
        <w:t xml:space="preserve">. Empty US state is not the same as NULL. Region rows overlap; </w:t>
      </w:r>
      <w:r>
        <w:rPr>
          <w:b/>
          <w:i w:val="0"/>
        </w:rPr>
        <w:t>never total all regions together</w:t>
      </w:r>
      <w:r>
        <w:rPr>
          <w:b w:val="0"/>
          <w:i w:val="0"/>
        </w:rPr>
        <w:t xml:space="preserve">. </w:t>
      </w:r>
      <w:r>
        <w:rPr>
          <w:rFonts w:ascii="Courier New" w:hAnsi="Courier New"/>
          <w:b w:val="0"/>
          <w:i w:val="0"/>
          <w:sz w:val="18"/>
        </w:rPr>
        <w:t>ALL</w:t>
      </w:r>
      <w:r>
        <w:rPr>
          <w:b w:val="0"/>
          <w:i w:val="0"/>
        </w:rPr>
        <w:t xml:space="preserve"> is earthquake only, not an all-peril or wind control. Wind outside its three regional populations has no aggregate output row.</w:t>
      </w:r>
    </w:p>
    <w:p>
      <w:r>
        <w:rPr>
          <w:b w:val="0"/>
          <w:i w:val="0"/>
        </w:rPr>
        <w:t xml:space="preserve">• Compare </w:t>
      </w:r>
      <w:r>
        <w:rPr>
          <w:rFonts w:ascii="Courier New" w:hAnsi="Courier New"/>
          <w:b w:val="0"/>
          <w:i w:val="0"/>
          <w:sz w:val="18"/>
        </w:rPr>
        <w:t>ALL.sum_pml</w:t>
      </w:r>
      <w:r>
        <w:rPr>
          <w:b w:val="0"/>
          <w:i w:val="0"/>
        </w:rPr>
        <w:t xml:space="preserve"> to raw </w:t>
      </w:r>
      <w:r>
        <w:rPr>
          <w:rFonts w:ascii="Courier New" w:hAnsi="Courier New"/>
          <w:b w:val="0"/>
          <w:i w:val="0"/>
          <w:sz w:val="18"/>
        </w:rPr>
        <w:t>pml * @gbp_to_usd</w:t>
      </w:r>
      <w:r>
        <w:rPr>
          <w:b w:val="0"/>
          <w:i w:val="0"/>
        </w:rPr>
        <w:t xml:space="preserve"> filtered to </w:t>
      </w:r>
      <w:r>
        <w:rPr>
          <w:rFonts w:ascii="Courier New" w:hAnsi="Courier New"/>
          <w:b w:val="0"/>
          <w:i w:val="0"/>
          <w:sz w:val="18"/>
        </w:rPr>
        <w:t>peril_id = 1</w:t>
      </w:r>
      <w:r>
        <w:rPr>
          <w:b w:val="0"/>
          <w:i w:val="0"/>
        </w:rPr>
        <w:t>, using the same entity scope and geocode/country grain. For an entity-filtered aggregate, first apply the same entity classification to the raw result.</w:t>
      </w:r>
    </w:p>
    <w:p>
      <w:r>
        <w:rPr>
          <w:b w:val="0"/>
          <w:i w:val="0"/>
        </w:rPr>
        <w:t xml:space="preserve">• Entity classification searches </w:t>
      </w:r>
      <w:r>
        <w:rPr>
          <w:rFonts w:ascii="Courier New" w:hAnsi="Courier New"/>
          <w:b w:val="0"/>
          <w:i w:val="0"/>
          <w:sz w:val="18"/>
        </w:rPr>
        <w:t>userid1</w:t>
      </w:r>
      <w:r>
        <w:rPr>
          <w:b w:val="0"/>
          <w:i w:val="0"/>
        </w:rPr>
        <w:t xml:space="preserve"> case-insensitively in this order: HIG, HSA, 33, 3624, HIC. It is substring matching, not an exact portfolio map; unmatched values produce NULL. Investigate those rows before filtering.</w:t>
      </w:r>
    </w:p>
    <w:p>
      <w:r>
        <w:rPr>
          <w:b w:val="0"/>
          <w:i w:val="0"/>
        </w:rPr>
        <w:t>• Check each wind region separately against the corresponding peril-2 raw population after applying the same FX rate. Reconcile gross-to-net movement by QS/SRP category.</w:t>
      </w:r>
    </w:p>
    <w:p>
      <w:r>
        <w:rPr>
          <w:b w:val="0"/>
          <w:i w:val="0"/>
        </w:rPr>
        <w:t xml:space="preserve">• </w:t>
      </w:r>
      <w:r>
        <w:rPr>
          <w:rFonts w:ascii="Courier New" w:hAnsi="Courier New"/>
          <w:b w:val="0"/>
          <w:i w:val="0"/>
          <w:sz w:val="18"/>
        </w:rPr>
        <w:t>count_policies</w:t>
      </w:r>
      <w:r>
        <w:rPr>
          <w:b w:val="0"/>
          <w:i w:val="0"/>
        </w:rPr>
        <w:t xml:space="preserve"> is </w:t>
      </w:r>
      <w:r>
        <w:rPr>
          <w:rFonts w:ascii="Courier New" w:hAnsi="Courier New"/>
          <w:b w:val="0"/>
          <w:i w:val="0"/>
          <w:sz w:val="18"/>
        </w:rPr>
        <w:t>COUNT_BIG(*)</w:t>
      </w:r>
      <w:r>
        <w:rPr>
          <w:b w:val="0"/>
          <w:i w:val="0"/>
        </w:rPr>
        <w:t xml:space="preserve"> over contributing source aggregates. It is neither distinct policies nor distinct contracts and is not an approved Schedule X(f) count.</w:t>
      </w:r>
    </w:p>
    <w:p>
      <w:r>
        <w:rPr>
          <w:b w:val="0"/>
          <w:i w:val="0"/>
        </w:rPr>
        <w:t>• The extract retains source currency; the aggregate converts assumed GBP amounts to full USD only in its final SELECT. Confirm all source amounts are GBP independently: currency is absent from both final exports, and a single rate cannot normalize mixed-currency data. Neither query divides by 1,000,000.</w:t>
      </w:r>
    </w:p>
    <w:p>
      <w:r>
        <w:rPr>
          <w:b w:val="0"/>
          <w:i w:val="0"/>
        </w:rPr>
        <w:t xml:space="preserve">• The extract still retains the account-only policy rejoin, policy-side geocode and cap grouping without </w:t>
      </w:r>
      <w:r>
        <w:rPr>
          <w:rFonts w:ascii="Courier New" w:hAnsi="Courier New"/>
          <w:b w:val="0"/>
          <w:i w:val="0"/>
          <w:sz w:val="18"/>
        </w:rPr>
        <w:t>policyid</w:t>
      </w:r>
      <w:r>
        <w:rPr>
          <w:b w:val="0"/>
          <w:i w:val="0"/>
        </w:rPr>
        <w:t xml:space="preserve">. The aggregate query corrects those joins, matches policies by peril, and applies caps separately per policy within each exposure grouping. Raw-to-aggregate differences can therefore remain after FX conversion. Obtain independent source and before/after-join controls rather than treating the legacy extract as a correctness baseline. See BSCR-002 in the </w:t>
      </w:r>
      <w:hyperlink r:id="rId10">
        <w:r>
          <w:rPr>
            <w:color w:val="0563C1"/>
            <w:u w:val="single"/>
          </w:rPr>
          <w:t>discrepancy register</w:t>
        </w:r>
      </w:hyperlink>
      <w:r>
        <w:rPr>
          <w:b w:val="0"/>
          <w:i w:val="0"/>
        </w:rPr>
        <w:t>.</w:t>
      </w:r>
    </w:p>
    <w:p>
      <w:bookmarkStart w:id="6" w:name="bm_bscr_runbook_load_a_controlled_workbook_copy"/>
      <w:pPr>
        <w:pStyle w:val="Heading2"/>
        <w:keepNext/>
      </w:pPr>
      <w:r>
        <w:rPr>
          <w:b w:val="0"/>
          <w:i w:val="0"/>
        </w:rPr>
        <w:t>Load a controlled workbook copy</w:t>
      </w:r>
      <w:bookmarkEnd w:id="6"/>
    </w:p>
    <w:p>
      <w:r>
        <w:rPr>
          <w:b w:val="0"/>
          <w:i w:val="0"/>
        </w:rPr>
        <w:t xml:space="preserve">Use </w:t>
      </w:r>
      <w:r>
        <w:rPr>
          <w:rFonts w:ascii="Courier New" w:hAnsi="Courier New"/>
          <w:b w:val="0"/>
          <w:i w:val="0"/>
          <w:sz w:val="18"/>
        </w:rPr>
        <w:t>bscr/workbooks/BSCR_Workings.xlsx</w:t>
      </w:r>
      <w:r>
        <w:rPr>
          <w:b w:val="0"/>
          <w:i w:val="0"/>
        </w:rPr>
        <w:t xml:space="preserve"> as workings, not as a completed return. Its current input is a worksheet range, </w:t>
      </w:r>
      <w:r>
        <w:rPr>
          <w:b/>
          <w:i w:val="0"/>
        </w:rPr>
        <w:t>not an Excel table</w:t>
      </w:r>
      <w:r>
        <w:rPr>
          <w:b w:val="0"/>
          <w:i w:val="0"/>
        </w:rPr>
        <w:t>, and there is no configured Power Query connection.</w:t>
      </w:r>
    </w:p>
    <w:p>
      <w:r>
        <w:rPr>
          <w:b w:val="0"/>
          <w:i w:val="0"/>
        </w:rPr>
        <w:t>1. Resolve the affected workbook blockers below before a production refresh.</w:t>
      </w:r>
    </w:p>
    <w:p>
      <w:r>
        <w:rPr>
          <w:b w:val="0"/>
          <w:i w:val="0"/>
        </w:rPr>
        <w:t xml:space="preserve">2. Set </w:t>
      </w:r>
      <w:r>
        <w:rPr>
          <w:rFonts w:ascii="Courier New" w:hAnsi="Courier New"/>
          <w:b w:val="0"/>
          <w:i w:val="0"/>
          <w:sz w:val="18"/>
        </w:rPr>
        <w:t>Settings!B7</w:t>
      </w:r>
      <w:r>
        <w:rPr>
          <w:b w:val="0"/>
          <w:i w:val="0"/>
        </w:rPr>
        <w:t xml:space="preserve"> to the entity being prepared. Its validation list contains 33, HIC, HIG, HSA and 3624. If filtering the SQL, use the same entity value.</w:t>
      </w:r>
    </w:p>
    <w:p>
      <w:r>
        <w:rPr>
          <w:b w:val="0"/>
          <w:i w:val="0"/>
        </w:rPr>
        <w:t xml:space="preserve">3. Load only the </w:t>
      </w:r>
      <w:r>
        <w:rPr>
          <w:b/>
          <w:i w:val="0"/>
        </w:rPr>
        <w:t>first seven columns of the aggregate</w:t>
      </w:r>
      <w:r>
        <w:rPr>
          <w:b w:val="0"/>
          <w:i w:val="0"/>
        </w:rPr>
        <w:t xml:space="preserve">, not the raw export, into </w:t>
      </w:r>
      <w:r>
        <w:rPr>
          <w:rFonts w:ascii="Courier New" w:hAnsi="Courier New"/>
          <w:b w:val="0"/>
          <w:i w:val="0"/>
          <w:sz w:val="18"/>
        </w:rPr>
        <w:t>BSCR Source Data!A:G</w:t>
      </w:r>
      <w:r>
        <w:rPr>
          <w:b w:val="0"/>
          <w:i w:val="0"/>
        </w:rPr>
        <w:t xml:space="preserve"> with headers in row 1. Preserve the eighth column (</w:t>
      </w:r>
      <w:r>
        <w:rPr>
          <w:rFonts w:ascii="Courier New" w:hAnsi="Courier New"/>
          <w:b w:val="0"/>
          <w:i w:val="0"/>
          <w:sz w:val="18"/>
        </w:rPr>
        <w:t>peril_id</w:t>
      </w:r>
      <w:r>
        <w:rPr>
          <w:b w:val="0"/>
          <w:i w:val="0"/>
        </w:rPr>
        <w:t>) in the CSV for audit; do not paste it into H, which contains workbook formulas. Clear stale controlled input rows. First adapt the currency formulas as described below; preserve unrelated worksheet content.</w:t>
      </w:r>
    </w:p>
    <w:p>
      <w:r>
        <w:rPr>
          <w:b w:val="0"/>
          <w:i w:val="0"/>
        </w:rPr>
        <w:t xml:space="preserve">4. </w:t>
      </w:r>
      <w:r>
        <w:rPr>
          <w:rFonts w:ascii="Courier New" w:hAnsi="Courier New"/>
          <w:b w:val="0"/>
          <w:i w:val="0"/>
          <w:sz w:val="18"/>
        </w:rPr>
        <w:t>BSCR Output!C:E</w:t>
      </w:r>
      <w:r>
        <w:rPr>
          <w:b w:val="0"/>
          <w:i w:val="0"/>
        </w:rPr>
        <w:t xml:space="preserve"> uses </w:t>
      </w:r>
      <w:r>
        <w:rPr>
          <w:rFonts w:ascii="Courier New" w:hAnsi="Courier New"/>
          <w:b w:val="0"/>
          <w:i w:val="0"/>
          <w:sz w:val="18"/>
        </w:rPr>
        <w:t>SUMIFS</w:t>
      </w:r>
      <w:r>
        <w:rPr>
          <w:b w:val="0"/>
          <w:i w:val="0"/>
        </w:rPr>
        <w:t xml:space="preserve"> over source D:F, matching entity, region and geocode from output A, B and F, and summing across countries. Those grouping keys are a fixed list: ensure every incoming key has an approved output row. Recalculation does not create missing groups.</w:t>
      </w:r>
    </w:p>
    <w:p>
      <w:r>
        <w:rPr>
          <w:b w:val="0"/>
          <w:i w:val="0"/>
        </w:rPr>
        <w:t xml:space="preserve">5. Before loading the USD aggregate, remove or bypass the workbook's GBP-to-USD multiplication on every gross/net path. Retain division by 1,000,000 only where USD millions are required. The checked-in workbook has not been updated for this SQL currency change: loading into its existing formulas would convert twice. Changing </w:t>
      </w:r>
      <w:r>
        <w:rPr>
          <w:rFonts w:ascii="Courier New" w:hAnsi="Courier New"/>
          <w:b w:val="0"/>
          <w:i w:val="0"/>
          <w:sz w:val="18"/>
        </w:rPr>
        <w:t>Settings!B3</w:t>
      </w:r>
      <w:r>
        <w:rPr>
          <w:b w:val="0"/>
          <w:i w:val="0"/>
        </w:rPr>
        <w:t xml:space="preserve"> alone is insufficient because some formulas hard-code </w:t>
      </w:r>
      <w:r>
        <w:rPr>
          <w:rFonts w:ascii="Courier New" w:hAnsi="Courier New"/>
          <w:b w:val="0"/>
          <w:i w:val="0"/>
          <w:sz w:val="18"/>
        </w:rPr>
        <w:t>1.35</w:t>
      </w:r>
      <w:r>
        <w:rPr>
          <w:b w:val="0"/>
          <w:i w:val="0"/>
        </w:rPr>
        <w:t>. Reconcile formula coverage before refresh.</w:t>
      </w:r>
    </w:p>
    <w:p>
      <w:r>
        <w:rPr>
          <w:b w:val="0"/>
          <w:i w:val="0"/>
        </w:rPr>
        <w:t>6. Reconcile source → output → pivots → schedule reference cells. Retain a reviewed copy and the final-template transfer record.</w:t>
      </w:r>
    </w:p>
    <w:p>
      <w:bookmarkStart w:id="7" w:name="bm_bscr_runbook_current_workbook_blockers"/>
      <w:pPr>
        <w:pStyle w:val="Heading3"/>
        <w:keepNext/>
      </w:pPr>
      <w:r>
        <w:rPr>
          <w:b w:val="0"/>
          <w:i w:val="0"/>
        </w:rPr>
        <w:t>Current workbook blockers</w:t>
      </w:r>
      <w:bookmarkEnd w:id="7"/>
    </w:p>
    <w:p>
      <w:r>
        <w:rPr>
          <w:b w:val="0"/>
          <w:i w:val="0"/>
        </w:rPr>
        <w:t xml:space="preserve">• </w:t>
      </w:r>
      <w:r>
        <w:rPr>
          <w:b/>
          <w:i w:val="0"/>
        </w:rPr>
        <w:t>Japanese perils reversed:</w:t>
      </w:r>
      <w:r>
        <w:rPr>
          <w:b w:val="0"/>
          <w:i w:val="0"/>
        </w:rPr>
        <w:t xml:space="preserve"> </w:t>
      </w:r>
      <w:r>
        <w:rPr>
          <w:rFonts w:ascii="Courier New" w:hAnsi="Courier New"/>
          <w:b w:val="0"/>
          <w:i w:val="0"/>
          <w:sz w:val="18"/>
        </w:rPr>
        <w:t>Schedule X(c)!B7:C7</w:t>
      </w:r>
      <w:r>
        <w:rPr>
          <w:b w:val="0"/>
          <w:i w:val="0"/>
        </w:rPr>
        <w:t xml:space="preserve"> (earthquake) selects </w:t>
      </w:r>
      <w:r>
        <w:rPr>
          <w:rFonts w:ascii="Courier New" w:hAnsi="Courier New"/>
          <w:b w:val="0"/>
          <w:i w:val="0"/>
          <w:sz w:val="18"/>
        </w:rPr>
        <w:t>is_jp</w:t>
      </w:r>
      <w:r>
        <w:rPr>
          <w:b w:val="0"/>
          <w:i w:val="0"/>
        </w:rPr>
        <w:t xml:space="preserve">, which SQL now defines as wind. </w:t>
      </w:r>
      <w:r>
        <w:rPr>
          <w:rFonts w:ascii="Courier New" w:hAnsi="Courier New"/>
          <w:b w:val="0"/>
          <w:i w:val="0"/>
          <w:sz w:val="18"/>
        </w:rPr>
        <w:t>B8:C8</w:t>
      </w:r>
      <w:r>
        <w:rPr>
          <w:b w:val="0"/>
          <w:i w:val="0"/>
        </w:rPr>
        <w:t xml:space="preserve"> (typhoon) selects </w:t>
      </w:r>
      <w:r>
        <w:rPr>
          <w:rFonts w:ascii="Courier New" w:hAnsi="Courier New"/>
          <w:b w:val="0"/>
          <w:i w:val="0"/>
          <w:sz w:val="18"/>
        </w:rPr>
        <w:t>is_jp_eq</w:t>
      </w:r>
      <w:r>
        <w:rPr>
          <w:b w:val="0"/>
          <w:i w:val="0"/>
        </w:rPr>
        <w:t>, which SQL defines as earthquake. Resolve the formula/key mapping before use.</w:t>
      </w:r>
    </w:p>
    <w:p>
      <w:r>
        <w:rPr>
          <w:b w:val="0"/>
          <w:i w:val="0"/>
        </w:rPr>
        <w:t xml:space="preserve">• </w:t>
      </w:r>
      <w:r>
        <w:rPr>
          <w:b/>
          <w:i w:val="0"/>
        </w:rPr>
        <w:t>Pivot coverage:</w:t>
      </w:r>
      <w:r>
        <w:rPr>
          <w:b w:val="0"/>
          <w:i w:val="0"/>
        </w:rPr>
        <w:t xml:space="preserve"> the output pivot cache still uses </w:t>
      </w:r>
      <w:r>
        <w:rPr>
          <w:rFonts w:ascii="Courier New" w:hAnsi="Courier New"/>
          <w:b w:val="0"/>
          <w:i w:val="0"/>
          <w:sz w:val="18"/>
        </w:rPr>
        <w:t>BSCR Output!A1:J50</w:t>
      </w:r>
      <w:r>
        <w:rPr>
          <w:b w:val="0"/>
          <w:i w:val="0"/>
        </w:rPr>
        <w:t xml:space="preserve">, excluding rows 51–70 for </w:t>
      </w:r>
      <w:r>
        <w:rPr>
          <w:rFonts w:ascii="Courier New" w:hAnsi="Courier New"/>
          <w:b w:val="0"/>
          <w:i w:val="0"/>
          <w:sz w:val="18"/>
        </w:rPr>
        <w:t>is_jp_eq</w:t>
      </w:r>
      <w:r>
        <w:rPr>
          <w:b w:val="0"/>
          <w:i w:val="0"/>
        </w:rPr>
        <w:t xml:space="preserve"> and </w:t>
      </w:r>
      <w:r>
        <w:rPr>
          <w:rFonts w:ascii="Courier New" w:hAnsi="Courier New"/>
          <w:b w:val="0"/>
          <w:i w:val="0"/>
          <w:sz w:val="18"/>
        </w:rPr>
        <w:t>is_non_us</w:t>
      </w:r>
      <w:r>
        <w:rPr>
          <w:b w:val="0"/>
          <w:i w:val="0"/>
        </w:rPr>
        <w:t xml:space="preserve">. The source pivot uses </w:t>
      </w:r>
      <w:r>
        <w:rPr>
          <w:rFonts w:ascii="Courier New" w:hAnsi="Courier New"/>
          <w:b w:val="0"/>
          <w:i w:val="0"/>
          <w:sz w:val="18"/>
        </w:rPr>
        <w:t>BSCR Source Data!A1:K1048576</w:t>
      </w:r>
      <w:r>
        <w:rPr>
          <w:b w:val="0"/>
          <w:i w:val="0"/>
        </w:rPr>
        <w:t>; neither is a dynamically sized Excel table.</w:t>
      </w:r>
    </w:p>
    <w:p>
      <w:r>
        <w:rPr>
          <w:b w:val="0"/>
          <w:i w:val="0"/>
        </w:rPr>
        <w:t xml:space="preserve">• </w:t>
      </w:r>
      <w:r>
        <w:rPr>
          <w:b/>
          <w:i w:val="0"/>
        </w:rPr>
        <w:t>FX is not fully settings-driven:</w:t>
      </w:r>
      <w:r>
        <w:rPr>
          <w:b w:val="0"/>
          <w:i w:val="0"/>
        </w:rPr>
        <w:t xml:space="preserve"> source H:I rows 3–453 and output G rows 3–50 use shared formulas containing hard-coded </w:t>
      </w:r>
      <w:r>
        <w:rPr>
          <w:rFonts w:ascii="Courier New" w:hAnsi="Courier New"/>
          <w:b w:val="0"/>
          <w:i w:val="0"/>
          <w:sz w:val="18"/>
        </w:rPr>
        <w:t>1.35</w:t>
      </w:r>
      <w:r>
        <w:rPr>
          <w:b w:val="0"/>
          <w:i w:val="0"/>
        </w:rPr>
        <w:t>. Changing B3 alone does not update those conversions. Resolve and reconcile all affected gross/net paths before applying another rate.</w:t>
      </w:r>
    </w:p>
    <w:p>
      <w:r>
        <w:rPr>
          <w:b w:val="0"/>
          <w:i w:val="0"/>
        </w:rPr>
        <w:t xml:space="preserve">• </w:t>
      </w:r>
      <w:r>
        <w:rPr>
          <w:b/>
          <w:i w:val="0"/>
        </w:rPr>
        <w:t>Cached data is not a current SQL run:</w:t>
      </w:r>
      <w:r>
        <w:rPr>
          <w:b w:val="0"/>
          <w:i w:val="0"/>
        </w:rPr>
        <w:t xml:space="preserve"> source rows contain the older six region labels, without </w:t>
      </w:r>
      <w:r>
        <w:rPr>
          <w:rFonts w:ascii="Courier New" w:hAnsi="Courier New"/>
          <w:b w:val="0"/>
          <w:i w:val="0"/>
          <w:sz w:val="18"/>
        </w:rPr>
        <w:t>is_jp_eq</w:t>
      </w:r>
      <w:r>
        <w:rPr>
          <w:b w:val="0"/>
          <w:i w:val="0"/>
        </w:rPr>
        <w:t xml:space="preserve"> or </w:t>
      </w:r>
      <w:r>
        <w:rPr>
          <w:rFonts w:ascii="Courier New" w:hAnsi="Courier New"/>
          <w:b w:val="0"/>
          <w:i w:val="0"/>
          <w:sz w:val="18"/>
        </w:rPr>
        <w:t>is_non_us</w:t>
      </w:r>
      <w:r>
        <w:rPr>
          <w:b w:val="0"/>
          <w:i w:val="0"/>
        </w:rPr>
        <w:t>. Workbook instructions and audit notes also retain older Python/Power Query wording. Forced recalculation on open does not load new data or repair these inconsistencies.</w:t>
      </w:r>
    </w:p>
    <w:p>
      <w:r>
        <w:rPr>
          <w:b w:val="0"/>
          <w:i w:val="0"/>
        </w:rPr>
        <w:t xml:space="preserve">See BSCR-001 and BSCR-007 through BSCR-011 in the </w:t>
      </w:r>
      <w:hyperlink r:id="rId10">
        <w:r>
          <w:rPr>
            <w:color w:val="0563C1"/>
            <w:u w:val="single"/>
          </w:rPr>
          <w:t>discrepancy register</w:t>
        </w:r>
      </w:hyperlink>
      <w:r>
        <w:rPr>
          <w:b w:val="0"/>
          <w:i w:val="0"/>
        </w:rPr>
        <w:t>.</w:t>
      </w:r>
    </w:p>
    <w:p>
      <w:bookmarkStart w:id="8" w:name="bm_bscr_runbook_completion_boundary"/>
      <w:pPr>
        <w:pStyle w:val="Heading2"/>
        <w:keepNext/>
      </w:pPr>
      <w:r>
        <w:rPr>
          <w:b w:val="0"/>
          <w:i w:val="0"/>
        </w:rPr>
        <w:t>Completion boundary</w:t>
      </w:r>
      <w:bookmarkEnd w:id="8"/>
    </w:p>
    <w:p>
      <w:r>
        <w:rPr>
          <w:b w:val="0"/>
          <w:i w:val="0"/>
        </w:rPr>
        <w:t xml:space="preserve">Schedule X(a) and X(b) require independent approved EP-curve and premium sources. X(c) contains combined regional exposure references, not all required premium/limit splits. X(f) needs distinct-contract and modelability sources. Approve the final template and field-by-field mapping before submission; files in </w:t>
      </w:r>
      <w:r>
        <w:rPr>
          <w:rFonts w:ascii="Courier New" w:hAnsi="Courier New"/>
          <w:b w:val="0"/>
          <w:i w:val="0"/>
          <w:sz w:val="18"/>
        </w:rPr>
        <w:t>bscr/old-process/Workings/</w:t>
      </w:r>
      <w:r>
        <w:rPr>
          <w:b w:val="0"/>
          <w:i w:val="0"/>
        </w:rPr>
        <w:t xml:space="preserve"> are historical presentation evidence, not SQL inputs or proof of current template approval.</w:t>
      </w:r>
    </w:p>
    <w:p>
      <w:r>
        <w:rPr>
          <w:rFonts w:ascii="Courier New" w:hAnsi="Courier New"/>
          <w:b w:val="0"/>
          <w:i w:val="0"/>
          <w:sz w:val="18"/>
        </w:rPr>
        <w:t>bscr/BSCR_UKEU.py</w:t>
      </w:r>
      <w:r>
        <w:rPr>
          <w:b w:val="0"/>
          <w:i w:val="0"/>
        </w:rPr>
        <w:t xml:space="preserve"> is retained for historical comparison only. Its strict seven-column source contract rejects the current eight-column extract, and its aggregation does not implement the current dual-peril routing or the new region keys. Do not remove </w:t>
      </w:r>
      <w:r>
        <w:rPr>
          <w:rFonts w:ascii="Courier New" w:hAnsi="Courier New"/>
          <w:b w:val="0"/>
          <w:i w:val="0"/>
          <w:sz w:val="18"/>
        </w:rPr>
        <w:t>peril_id</w:t>
      </w:r>
      <w:r>
        <w:rPr>
          <w:b w:val="0"/>
          <w:i w:val="0"/>
        </w:rPr>
        <w:t xml:space="preserve"> and feed combined-peril rows into it.</w:t>
      </w:r>
    </w:p>
    <w:p>
      <w:r>
        <w:rPr>
          <w:rFonts w:ascii="Courier New" w:hAnsi="Courier New"/>
          <w:b w:val="0"/>
          <w:i w:val="0"/>
          <w:sz w:val="18"/>
        </w:rPr>
        <w:t>bscr/BSCR_UKEU_original.py</w:t>
      </w:r>
      <w:r>
        <w:rPr>
          <w:b w:val="0"/>
          <w:i w:val="0"/>
        </w:rPr>
        <w:t xml:space="preserve"> preserves the original Marimo application, also archived at </w:t>
      </w:r>
      <w:r>
        <w:rPr>
          <w:rFonts w:ascii="Courier New" w:hAnsi="Courier New"/>
          <w:b w:val="0"/>
          <w:i w:val="0"/>
          <w:sz w:val="18"/>
        </w:rPr>
        <w:t>bscr/old-process/BSCR_UKEU.py</w:t>
      </w:r>
      <w:r>
        <w:rPr>
          <w:b w:val="0"/>
          <w:i w:val="0"/>
        </w:rPr>
        <w:t>. It connects directly to SQL Server and runs its embedded earthquake-only query before the Python aggregation. Its original policy/geocoding calculation defects are preserved, so its totals are not a correctness baseline for the corrected SQL output.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ecisions.md#bscr-01" TargetMode="External"/><Relationship Id="rId10"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