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Lloyd's/RDS Supplementary Runbook</w:t>
      </w:r>
    </w:p>
    <w:p>
      <w:pPr>
        <w:pStyle w:val="Subtitle"/>
      </w:pPr>
      <w:r>
        <w:t xml:space="preserve">January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t xml:space="preserve">Current approved instructions, templates, databases, mappings, and rates remain authoritative.</w:t>
      </w:r>
    </w:p>
    <w:bookmarkStart w:id="23" w:name="lloyds-supplementary-information"/>
    <w:p>
      <w:pPr>
        <w:pStyle w:val="Heading1"/>
      </w:pPr>
      <w:r>
        <w:rPr>
          <w:rStyle w:val="SectionNumber"/>
        </w:rPr>
        <w:t xml:space="preserve">1</w:t>
      </w:r>
      <w:r>
        <w:tab/>
      </w:r>
      <w:r>
        <w:t xml:space="preserve">Lloyd's supplementary information</w:t>
      </w:r>
    </w:p>
    <w:bookmarkStart w:id="9" w:name="summary"/>
    <w:p>
      <w:pPr>
        <w:pStyle w:val="Heading2"/>
      </w:pPr>
      <w:r>
        <w:rPr>
          <w:rStyle w:val="SectionNumber"/>
        </w:rPr>
        <w:t xml:space="preserve">1.1</w:t>
      </w:r>
      <w:r>
        <w:tab/>
      </w:r>
      <w:r>
        <w:t xml:space="preserve">Summary</w:t>
      </w:r>
    </w:p>
    <w:p>
      <w:pPr>
        <w:pStyle w:val="Compact"/>
        <w:numPr>
          <w:ilvl w:val="0"/>
          <w:numId w:val="1001"/>
        </w:numPr>
      </w:pPr>
      <w:r>
        <w:rPr>
          <w:b/>
          <w:bCs/>
        </w:rPr>
        <w:t xml:space="preserve">Sources:</w:t>
      </w:r>
      <w:r>
        <w:t xml:space="preserve"> </w:t>
      </w:r>
      <w:r>
        <w:t xml:space="preserve">S33 source workbook/email plus approved California, South Africa, RoW, and EU extracts.</w:t>
      </w:r>
    </w:p>
    <w:p>
      <w:pPr>
        <w:pStyle w:val="Compact"/>
        <w:numPr>
          <w:ilvl w:val="0"/>
          <w:numId w:val="1001"/>
        </w:numPr>
      </w:pPr>
      <w:r>
        <w:rPr>
          <w:b/>
          <w:bCs/>
        </w:rPr>
        <w:t xml:space="preserve">Calculation:</w:t>
      </w:r>
      <w:r>
        <w:t xml:space="preserve"> </w:t>
      </w:r>
      <w:r>
        <w:t xml:space="preserve">four workbooks under</w:t>
      </w:r>
      <w:r>
        <w:t xml:space="preserve"> </w:t>
      </w:r>
      <w:r>
        <w:rPr>
          <w:rStyle w:val="VerbatimChar"/>
        </w:rPr>
        <w:t xml:space="preserve">lloyds/</w:t>
      </w:r>
      <w:r>
        <w:t xml:space="preserve">.</w:t>
      </w:r>
    </w:p>
    <w:p>
      <w:pPr>
        <w:pStyle w:val="Compact"/>
        <w:numPr>
          <w:ilvl w:val="0"/>
          <w:numId w:val="1001"/>
        </w:numPr>
      </w:pPr>
      <w:r>
        <w:rPr>
          <w:b/>
          <w:bCs/>
        </w:rPr>
        <w:t xml:space="preserve">Final workbook/output:</w:t>
      </w:r>
      <w:r>
        <w:t xml:space="preserve"> </w:t>
      </w:r>
      <w:r>
        <w:t xml:space="preserve">RoW, South Africa, California, and EU report sheets; the final RDS template is external.</w:t>
      </w:r>
    </w:p>
    <w:p>
      <w:pPr>
        <w:pStyle w:val="Compact"/>
        <w:numPr>
          <w:ilvl w:val="0"/>
          <w:numId w:val="1001"/>
        </w:numPr>
      </w:pPr>
      <w:r>
        <w:rPr>
          <w:b/>
          <w:bCs/>
        </w:rPr>
        <w:t xml:space="preserve">Time estimate:</w:t>
      </w:r>
      <w:r>
        <w:t xml:space="preserve"> </w:t>
      </w:r>
      <w:r>
        <w:t xml:space="preserve">1 day.</w:t>
      </w:r>
    </w:p>
    <w:bookmarkEnd w:id="9"/>
    <w:bookmarkStart w:id="10" w:name="data-sources"/>
    <w:p>
      <w:pPr>
        <w:pStyle w:val="Heading2"/>
      </w:pPr>
      <w:r>
        <w:rPr>
          <w:rStyle w:val="SectionNumber"/>
        </w:rPr>
        <w:t xml:space="preserve">1.2</w:t>
      </w:r>
      <w:r>
        <w:tab/>
      </w:r>
      <w:r>
        <w:t xml:space="preserve">Data sources</w:t>
      </w:r>
    </w:p>
    <w:p>
      <w:pPr>
        <w:pStyle w:val="Compact"/>
        <w:numPr>
          <w:ilvl w:val="0"/>
          <w:numId w:val="1002"/>
        </w:numPr>
      </w:pPr>
      <w:r>
        <w:t xml:space="preserve">Received source workbook:</w:t>
      </w:r>
      <w:r>
        <w:t xml:space="preserve"> </w:t>
      </w:r>
      <w:r>
        <w:rPr>
          <w:rStyle w:val="VerbatimChar"/>
        </w:rPr>
        <w:t xml:space="preserve">lloyds/source/Supplementary Info UKEU S33.xlsx</w:t>
      </w:r>
      <w:r>
        <w:t xml:space="preserve">, with</w:t>
      </w:r>
      <w:r>
        <w:t xml:space="preserve"> </w:t>
      </w:r>
      <w:r>
        <w:rPr>
          <w:rStyle w:val="VerbatimChar"/>
        </w:rPr>
        <w:t xml:space="preserve">Weather</w:t>
      </w:r>
      <w:r>
        <w:t xml:space="preserve">,</w:t>
      </w:r>
      <w:r>
        <w:t xml:space="preserve"> </w:t>
      </w:r>
      <w:r>
        <w:rPr>
          <w:rStyle w:val="VerbatimChar"/>
        </w:rPr>
        <w:t xml:space="preserve">Quake</w:t>
      </w:r>
      <w:r>
        <w:t xml:space="preserve">, and</w:t>
      </w:r>
      <w:r>
        <w:t xml:space="preserve"> </w:t>
      </w:r>
      <w:r>
        <w:rPr>
          <w:rStyle w:val="VerbatimChar"/>
        </w:rPr>
        <w:t xml:space="preserve">EU exposure - S33</w:t>
      </w:r>
      <w:r>
        <w:t xml:space="preserve"> </w:t>
      </w:r>
      <w:r>
        <w:t xml:space="preserve">tabs.</w:t>
      </w:r>
    </w:p>
    <w:p>
      <w:pPr>
        <w:pStyle w:val="Compact"/>
        <w:numPr>
          <w:ilvl w:val="0"/>
          <w:numId w:val="1002"/>
        </w:numPr>
      </w:pPr>
      <w:r>
        <w:t xml:space="preserve">Companion instruction/provenance email:</w:t>
      </w:r>
      <w:r>
        <w:t xml:space="preserve"> </w:t>
      </w:r>
      <w:r>
        <w:rPr>
          <w:rStyle w:val="VerbatimChar"/>
        </w:rPr>
        <w:t xml:space="preserve">lloyds/source/RE RDS Supplementary Information - UKEU 33.msg</w:t>
      </w:r>
      <w:r>
        <w:t xml:space="preserve">.</w:t>
      </w:r>
    </w:p>
    <w:p>
      <w:pPr>
        <w:pStyle w:val="Compact"/>
        <w:numPr>
          <w:ilvl w:val="0"/>
          <w:numId w:val="1002"/>
        </w:numPr>
      </w:pPr>
      <w:r>
        <w:t xml:space="preserve">Checked-in SQL: the three query files under</w:t>
      </w:r>
      <w:r>
        <w:t xml:space="preserve"> </w:t>
      </w:r>
      <w:r>
        <w:rPr>
          <w:rStyle w:val="VerbatimChar"/>
        </w:rPr>
        <w:t xml:space="preserve">lloyds/sql/</w:t>
      </w:r>
      <w:r>
        <w:t xml:space="preserve">.</w:t>
      </w:r>
    </w:p>
    <w:p>
      <w:pPr>
        <w:pStyle w:val="Compact"/>
        <w:numPr>
          <w:ilvl w:val="0"/>
          <w:numId w:val="1002"/>
        </w:numPr>
      </w:pPr>
      <w:r>
        <w:t xml:space="preserve">Calculation workbooks: the four</w:t>
      </w:r>
      <w:r>
        <w:t xml:space="preserve"> </w:t>
      </w:r>
      <w:r>
        <w:rPr>
          <w:rStyle w:val="VerbatimChar"/>
        </w:rPr>
        <w:t xml:space="preserve">.xlsx</w:t>
      </w:r>
      <w:r>
        <w:t xml:space="preserve"> </w:t>
      </w:r>
      <w:r>
        <w:t xml:space="preserve">files under</w:t>
      </w:r>
      <w:r>
        <w:t xml:space="preserve"> </w:t>
      </w:r>
      <w:r>
        <w:rPr>
          <w:rStyle w:val="VerbatimChar"/>
        </w:rPr>
        <w:t xml:space="preserve">lloyds/workbooks/</w:t>
      </w:r>
      <w:r>
        <w:t xml:space="preserve">.</w:t>
      </w:r>
    </w:p>
    <w:p>
      <w:pPr>
        <w:pStyle w:val="Compact"/>
        <w:numPr>
          <w:ilvl w:val="0"/>
          <w:numId w:val="1002"/>
        </w:numPr>
      </w:pPr>
      <w:r>
        <w:t xml:space="preserve">Lloyd's templates, guidance, and final approved submission: held outside this repository.</w:t>
      </w:r>
    </w:p>
    <w:bookmarkEnd w:id="10"/>
    <w:bookmarkStart w:id="11" w:name="instructions-from-the-2026-email"/>
    <w:p>
      <w:pPr>
        <w:pStyle w:val="Heading2"/>
      </w:pPr>
      <w:r>
        <w:rPr>
          <w:rStyle w:val="SectionNumber"/>
        </w:rPr>
        <w:t xml:space="preserve">1.3</w:t>
      </w:r>
      <w:r>
        <w:tab/>
      </w:r>
      <w:r>
        <w:t xml:space="preserve">Instructions from the 2026 email</w:t>
      </w:r>
    </w:p>
    <w:p>
      <w:pPr>
        <w:pStyle w:val="FirstParagraph"/>
      </w:pPr>
      <w:r>
        <w:t xml:space="preserve">The email dated 22 January 2026 gives the following source instructions: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Return section</w:t>
            </w:r>
          </w:p>
        </w:tc>
        <w:tc>
          <w:tcPr/>
          <w:p>
            <w:pPr>
              <w:pStyle w:val="Compact"/>
            </w:pPr>
            <w:r>
              <w:t xml:space="preserve">Instructed source</w:t>
            </w:r>
          </w:p>
        </w:tc>
      </w:tr>
      <w:tr>
        <w:tc>
          <w:tcPr/>
          <w:p>
            <w:pPr>
              <w:pStyle w:val="Compact"/>
            </w:pPr>
            <w:r>
              <w:t xml:space="preserve">RoW/global country-peril aggregates</w:t>
            </w:r>
          </w:p>
        </w:tc>
        <w:tc>
          <w:tcPr/>
          <w:p>
            <w:pPr>
              <w:pStyle w:val="Compact"/>
            </w:pPr>
            <w:r>
              <w:rPr>
                <w:rStyle w:val="VerbatimChar"/>
              </w:rPr>
              <w:t xml:space="preserve">Weather</w:t>
            </w:r>
            <w:r>
              <w:t xml:space="preserve">; use proxy exposures where required</w:t>
            </w:r>
          </w:p>
        </w:tc>
      </w:tr>
      <w:tr>
        <w:tc>
          <w:tcPr/>
          <w:p>
            <w:pPr>
              <w:pStyle w:val="Compact"/>
            </w:pPr>
            <w:r>
              <w:t xml:space="preserve">South Africa earthquake by CRESTA</w:t>
            </w:r>
          </w:p>
        </w:tc>
        <w:tc>
          <w:tcPr/>
          <w:p>
            <w:pPr>
              <w:pStyle w:val="Compact"/>
            </w:pPr>
            <w:r>
              <w:rPr>
                <w:rStyle w:val="VerbatimChar"/>
              </w:rPr>
              <w:t xml:space="preserve">Quake</w:t>
            </w:r>
          </w:p>
        </w:tc>
      </w:tr>
      <w:tr>
        <w:tc>
          <w:tcPr/>
          <w:p>
            <w:pPr>
              <w:pStyle w:val="Compact"/>
            </w:pPr>
            <w:r>
              <w:t xml:space="preserve">California wildfire by county</w:t>
            </w:r>
          </w:p>
        </w:tc>
        <w:tc>
          <w:tcPr/>
          <w:p>
            <w:pPr>
              <w:pStyle w:val="Compact"/>
            </w:pPr>
            <w:r>
              <w:t xml:space="preserve">Weather exposure, followed by review</w:t>
            </w:r>
          </w:p>
        </w:tc>
      </w:tr>
      <w:tr>
        <w:tc>
          <w:tcPr/>
          <w:p>
            <w:pPr>
              <w:pStyle w:val="Compact"/>
            </w:pPr>
            <w:r>
              <w:t xml:space="preserve">Europe/Brussels earthquake and flood by CRESTA</w:t>
            </w:r>
          </w:p>
        </w:tc>
        <w:tc>
          <w:tcPr/>
          <w:p>
            <w:pPr>
              <w:pStyle w:val="Compact"/>
            </w:pPr>
            <w:r>
              <w:rPr>
                <w:rStyle w:val="VerbatimChar"/>
              </w:rPr>
              <w:t xml:space="preserve">EU exposure - S33</w:t>
            </w:r>
          </w:p>
        </w:tc>
      </w:tr>
      <w:tr>
        <w:tc>
          <w:tcPr/>
          <w:p>
            <w:pPr>
              <w:pStyle w:val="Compact"/>
            </w:pPr>
            <w:r>
              <w:t xml:space="preserve">Canada climate reporting</w:t>
            </w:r>
          </w:p>
        </w:tc>
        <w:tc>
          <w:tcPr/>
          <w:p>
            <w:pPr>
              <w:pStyle w:val="Compact"/>
            </w:pPr>
            <w:r>
              <w:rPr>
                <w:rStyle w:val="VerbatimChar"/>
              </w:rPr>
              <w:t xml:space="preserve">Weather</w:t>
            </w:r>
          </w:p>
        </w:tc>
      </w:tr>
      <w:tr>
        <w:tc>
          <w:tcPr/>
          <w:p>
            <w:pPr>
              <w:pStyle w:val="Compact"/>
            </w:pPr>
            <w:r>
              <w:t xml:space="preserve">OFSI Canada earthquake</w:t>
            </w:r>
          </w:p>
        </w:tc>
        <w:tc>
          <w:tcPr/>
          <w:p>
            <w:pPr>
              <w:pStyle w:val="Compact"/>
            </w:pPr>
            <w:r>
              <w:rPr>
                <w:rStyle w:val="VerbatimChar"/>
              </w:rPr>
              <w:t xml:space="preserve">Quake</w:t>
            </w:r>
          </w:p>
        </w:tc>
      </w:tr>
    </w:tbl>
    <w:p>
      <w:pPr>
        <w:pStyle w:val="BodyText"/>
      </w:pPr>
      <w:r>
        <w:t xml:space="preserve">The same email sets 2026 Lloyd's rates to</w:t>
      </w:r>
      <w:r>
        <w:t xml:space="preserve"> </w:t>
      </w:r>
      <w:r>
        <w:rPr>
          <w:rStyle w:val="VerbatimChar"/>
        </w:rPr>
        <w:t xml:space="preserve">1 GBP = 1.35 USD</w:t>
      </w:r>
      <w:r>
        <w:t xml:space="preserve">,</w:t>
      </w:r>
      <w:r>
        <w:t xml:space="preserve"> </w:t>
      </w:r>
      <w:r>
        <w:rPr>
          <w:rStyle w:val="VerbatimChar"/>
        </w:rPr>
        <w:t xml:space="preserve">1 GBP = 1.15 EUR</w:t>
      </w:r>
      <w:r>
        <w:t xml:space="preserve">, and</w:t>
      </w:r>
      <w:r>
        <w:t xml:space="preserve"> </w:t>
      </w:r>
      <w:r>
        <w:rPr>
          <w:rStyle w:val="VerbatimChar"/>
        </w:rPr>
        <w:t xml:space="preserve">1 GBP = 1.84 CAD</w:t>
      </w:r>
      <w:r>
        <w:t xml:space="preserve">.</w:t>
      </w:r>
    </w:p>
    <w:p>
      <w:pPr>
        <w:pStyle w:val="BodyText"/>
      </w:pPr>
      <w:r>
        <w:t xml:space="preserve">The email also says wildfire is not monitored separately and the proxy/PML requires discussion. Do not silently choose a proxy or reuse another peril without owner approval.</w:t>
      </w:r>
    </w:p>
    <w:bookmarkEnd w:id="11"/>
    <w:bookmarkStart w:id="13" w:name="rest-of-world"/>
    <w:p>
      <w:pPr>
        <w:pStyle w:val="Heading2"/>
      </w:pPr>
      <w:r>
        <w:rPr>
          <w:rStyle w:val="SectionNumber"/>
        </w:rPr>
        <w:t xml:space="preserve">1.4</w:t>
      </w:r>
      <w:r>
        <w:tab/>
      </w:r>
      <w:r>
        <w:t xml:space="preserve">Rest of World</w:t>
      </w:r>
    </w:p>
    <w:p>
      <w:pPr>
        <w:pStyle w:val="FirstParagraph"/>
      </w:pPr>
      <w:r>
        <w:rPr>
          <w:b/>
          <w:bCs/>
        </w:rPr>
        <w:t xml:space="preserve">Workbook:</w:t>
      </w:r>
      <w:r>
        <w:t xml:space="preserve"> </w:t>
      </w:r>
      <w:r>
        <w:rPr>
          <w:rStyle w:val="VerbatimChar"/>
        </w:rPr>
        <w:t xml:space="preserve">lloyds/workbooks/UKEU - Supplementary Info - RDL - Jan26 - Workings - ROW.xlsx</w:t>
      </w:r>
    </w:p>
    <w:p>
      <w:pPr>
        <w:pStyle w:val="BodyText"/>
      </w:pPr>
      <w:r>
        <w:rPr>
          <w:b/>
          <w:bCs/>
        </w:rPr>
        <w:t xml:space="preserve">Purpose:</w:t>
      </w:r>
      <w:r>
        <w:t xml:space="preserve"> </w:t>
      </w:r>
      <w:r>
        <w:t xml:space="preserve">produce country/peril exposure totals on</w:t>
      </w:r>
      <w:r>
        <w:t xml:space="preserve"> </w:t>
      </w:r>
      <w:r>
        <w:rPr>
          <w:rStyle w:val="VerbatimChar"/>
        </w:rPr>
        <w:t xml:space="preserve">3. RoW Exposure Monitoring</w:t>
      </w:r>
      <w:r>
        <w:t xml:space="preserve"> </w:t>
      </w:r>
      <w:r>
        <w:t xml:space="preserve">for reviewed transfer to the Lloyd's template.</w:t>
      </w:r>
    </w:p>
    <w:p>
      <w:pPr>
        <w:pStyle w:val="BodyText"/>
      </w:pPr>
      <w:r>
        <w:t xml:space="preserve">The workbook contains</w:t>
      </w:r>
      <w:r>
        <w:t xml:space="preserve"> </w:t>
      </w:r>
      <w:r>
        <w:rPr>
          <w:rStyle w:val="VerbatimChar"/>
        </w:rPr>
        <w:t xml:space="preserve">UKEU Exposure scale factors</w:t>
      </w:r>
      <w:r>
        <w:t xml:space="preserve">, four peril-specific extract sheets, a checked-in SQL text sheet, and the final report sheet. The four input sheets are:</w:t>
      </w:r>
    </w:p>
    <w:p>
      <w:pPr>
        <w:pStyle w:val="Compact"/>
        <w:numPr>
          <w:ilvl w:val="0"/>
          <w:numId w:val="1003"/>
        </w:numPr>
      </w:pPr>
      <w:r>
        <w:rPr>
          <w:rStyle w:val="VerbatimChar"/>
        </w:rPr>
        <w:t xml:space="preserve">EQ Extract - Open Market</w:t>
      </w:r>
    </w:p>
    <w:p>
      <w:pPr>
        <w:pStyle w:val="Compact"/>
        <w:numPr>
          <w:ilvl w:val="0"/>
          <w:numId w:val="1003"/>
        </w:numPr>
      </w:pPr>
      <w:r>
        <w:rPr>
          <w:rStyle w:val="VerbatimChar"/>
        </w:rPr>
        <w:t xml:space="preserve">FR Extract  - Open Market</w:t>
      </w:r>
      <w:r>
        <w:t xml:space="preserve"> </w:t>
      </w:r>
      <w:r>
        <w:t xml:space="preserve">(the workbook contains two spaces before the hyphen)</w:t>
      </w:r>
    </w:p>
    <w:p>
      <w:pPr>
        <w:pStyle w:val="Compact"/>
        <w:numPr>
          <w:ilvl w:val="0"/>
          <w:numId w:val="1003"/>
        </w:numPr>
      </w:pPr>
      <w:r>
        <w:rPr>
          <w:rStyle w:val="VerbatimChar"/>
        </w:rPr>
        <w:t xml:space="preserve">FL Extract - Open Market</w:t>
      </w:r>
    </w:p>
    <w:p>
      <w:pPr>
        <w:pStyle w:val="Compact"/>
        <w:numPr>
          <w:ilvl w:val="0"/>
          <w:numId w:val="1003"/>
        </w:numPr>
      </w:pPr>
      <w:r>
        <w:rPr>
          <w:rStyle w:val="VerbatimChar"/>
        </w:rPr>
        <w:t xml:space="preserve">WS Extract - Open Market</w:t>
      </w:r>
    </w:p>
    <w:p>
      <w:pPr>
        <w:pStyle w:val="FirstParagraph"/>
      </w:pPr>
      <w:r>
        <w:t xml:space="preserve">Each extract sheet expects the same SQL-shaped columns in A:K: portfolio, reclassification, country code, country, account IDs, currency, and gross/net TSI fields. Column L holds the approved row scale factor. Column M calculates the scaled exposure used by the sheet's pivot and report logic.</w:t>
      </w:r>
    </w:p>
    <w:bookmarkStart w:id="12" w:name="procedure"/>
    <w:p>
      <w:pPr>
        <w:pStyle w:val="Heading3"/>
      </w:pPr>
      <w:r>
        <w:rPr>
          <w:rStyle w:val="SectionNumber"/>
        </w:rPr>
        <w:t xml:space="preserve">1.4.1</w:t>
      </w:r>
      <w:r>
        <w:tab/>
      </w:r>
      <w:r>
        <w:t xml:space="preserve">Procedure</w:t>
      </w:r>
    </w:p>
    <w:p>
      <w:pPr>
        <w:pStyle w:val="Compact"/>
        <w:numPr>
          <w:ilvl w:val="0"/>
          <w:numId w:val="1004"/>
        </w:numPr>
      </w:pPr>
      <w:r>
        <w:t xml:space="preserve">Confirm the reporting date, portfolio scope, currency basis, and approved peril/policy code for each of EQ, FR, FL, and WS.</w:t>
      </w:r>
    </w:p>
    <w:p>
      <w:pPr>
        <w:pStyle w:val="Compact"/>
        <w:numPr>
          <w:ilvl w:val="0"/>
          <w:numId w:val="1004"/>
        </w:numPr>
      </w:pPr>
      <w:r>
        <w:t xml:space="preserve">Run and retain a separate approved extract for every sheet. Record the server, EDM, query file/version, peril code, policy type, row count, and total for each result.</w:t>
      </w:r>
    </w:p>
    <w:p>
      <w:pPr>
        <w:pStyle w:val="Compact"/>
        <w:numPr>
          <w:ilvl w:val="0"/>
          <w:numId w:val="1004"/>
        </w:numPr>
      </w:pPr>
      <w:r>
        <w:t xml:space="preserve">Open the RoW workbook and review</w:t>
      </w:r>
      <w:r>
        <w:t xml:space="preserve"> </w:t>
      </w:r>
      <w:r>
        <w:rPr>
          <w:rStyle w:val="VerbatimChar"/>
        </w:rPr>
        <w:t xml:space="preserve">AUDIT_SUMMARY</w:t>
      </w:r>
      <w:r>
        <w:t xml:space="preserve"> </w:t>
      </w:r>
      <w:r>
        <w:t xml:space="preserve">and</w:t>
      </w:r>
      <w:r>
        <w:t xml:space="preserve"> </w:t>
      </w:r>
      <w:r>
        <w:rPr>
          <w:rStyle w:val="VerbatimChar"/>
        </w:rPr>
        <w:t xml:space="preserve">UKEU Exposure scale factors</w:t>
      </w:r>
      <w:r>
        <w:t xml:space="preserve"> </w:t>
      </w:r>
      <w:r>
        <w:t xml:space="preserve">before replacing data.</w:t>
      </w:r>
    </w:p>
    <w:p>
      <w:pPr>
        <w:pStyle w:val="Compact"/>
        <w:numPr>
          <w:ilvl w:val="0"/>
          <w:numId w:val="1004"/>
        </w:numPr>
      </w:pPr>
      <w:r>
        <w:t xml:space="preserve">On each extract sheet, clear only the old source rows in A:K below row 1. Do not clear the headers, scale factors, formulas, or pivots to the right.</w:t>
      </w:r>
    </w:p>
    <w:p>
      <w:pPr>
        <w:pStyle w:val="Compact"/>
        <w:numPr>
          <w:ilvl w:val="0"/>
          <w:numId w:val="1004"/>
        </w:numPr>
      </w:pPr>
      <w:r>
        <w:t xml:space="preserve">Paste the matching extract into A:K, preserving the column order shown by row 1.</w:t>
      </w:r>
    </w:p>
    <w:p>
      <w:pPr>
        <w:pStyle w:val="Compact"/>
        <w:numPr>
          <w:ilvl w:val="0"/>
          <w:numId w:val="1004"/>
        </w:numPr>
      </w:pPr>
      <w:r>
        <w:t xml:space="preserve">Populate or confirm the approved scale factor in column L for every pasted row, then fill the column M formula through the full source range.</w:t>
      </w:r>
    </w:p>
    <w:p>
      <w:pPr>
        <w:pStyle w:val="Compact"/>
        <w:numPr>
          <w:ilvl w:val="0"/>
          <w:numId w:val="1004"/>
        </w:numPr>
      </w:pPr>
      <w:r>
        <w:t xml:space="preserve">Use</w:t>
      </w:r>
      <w:r>
        <w:t xml:space="preserve"> </w:t>
      </w:r>
      <w:r>
        <w:rPr>
          <w:b/>
          <w:bCs/>
        </w:rPr>
        <w:t xml:space="preserve">Data &gt; Refresh All</w:t>
      </w:r>
      <w:r>
        <w:t xml:space="preserve"> </w:t>
      </w:r>
      <w:r>
        <w:t xml:space="preserve">and wait for the extract pivots to finish refreshing.</w:t>
      </w:r>
    </w:p>
    <w:p>
      <w:pPr>
        <w:pStyle w:val="Compact"/>
        <w:numPr>
          <w:ilvl w:val="0"/>
          <w:numId w:val="1004"/>
        </w:numPr>
      </w:pPr>
      <w:r>
        <w:t xml:space="preserve">Review</w:t>
      </w:r>
      <w:r>
        <w:t xml:space="preserve"> </w:t>
      </w:r>
      <w:r>
        <w:rPr>
          <w:rStyle w:val="VerbatimChar"/>
        </w:rPr>
        <w:t xml:space="preserve">3. RoW Exposure Monitoring</w:t>
      </w:r>
      <w:r>
        <w:t xml:space="preserve"> </w:t>
      </w:r>
      <w:r>
        <w:t xml:space="preserve">by country and peril, then reconcile each report total to its refreshed extract pivot before handoff.</w:t>
      </w:r>
    </w:p>
    <w:p>
      <w:pPr>
        <w:pStyle w:val="FirstParagraph"/>
      </w:pPr>
      <w:r>
        <w:t xml:space="preserve">The checked-in RoW SQL is not a complete four-peril producer. It is fixed to</w:t>
      </w:r>
      <w:r>
        <w:t xml:space="preserve"> </w:t>
      </w:r>
      <w:r>
        <w:rPr>
          <w:rStyle w:val="VerbatimChar"/>
        </w:rPr>
        <w:t xml:space="preserve">PERIL = 3</w:t>
      </w:r>
      <w:r>
        <w:t xml:space="preserve"> </w:t>
      </w:r>
      <w:r>
        <w:t xml:space="preserve">and</w:t>
      </w:r>
      <w:r>
        <w:t xml:space="preserve"> </w:t>
      </w:r>
      <w:r>
        <w:rPr>
          <w:rStyle w:val="VerbatimChar"/>
        </w:rPr>
        <w:t xml:space="preserve">POLICYTYPE = 3</w:t>
      </w:r>
      <w:r>
        <w:t xml:space="preserve">, while the workbook requires distinct EQ, FR, FL, and WS inputs. Do not reuse that one result across all four sheets. Preserve the exact query or parameter changes used for each extract.</w:t>
      </w:r>
    </w:p>
    <w:p>
      <w:pPr>
        <w:pStyle w:val="BodyText"/>
      </w:pPr>
      <w:r>
        <w:t xml:space="preserve">The current column M formula multiplies</w:t>
      </w:r>
      <w:r>
        <w:t xml:space="preserve"> </w:t>
      </w:r>
      <w:r>
        <w:rPr>
          <w:rStyle w:val="VerbatimChar"/>
        </w:rPr>
        <w:t xml:space="preserve">TSI_NET</w:t>
      </w:r>
      <w:r>
        <w:t xml:space="preserve"> </w:t>
      </w:r>
      <w:r>
        <w:t xml:space="preserve">by the row scale factor even though its header says</w:t>
      </w:r>
      <w:r>
        <w:t xml:space="preserve"> </w:t>
      </w:r>
      <w:r>
        <w:rPr>
          <w:rStyle w:val="VerbatimChar"/>
        </w:rPr>
        <w:t xml:space="preserve">TSI_USD_Scaled</w:t>
      </w:r>
      <w:r>
        <w:t xml:space="preserve">. Confirm the input currency and report units rather than relying on the header alone.</w:t>
      </w:r>
    </w:p>
    <w:bookmarkEnd w:id="12"/>
    <w:bookmarkEnd w:id="13"/>
    <w:bookmarkStart w:id="15" w:name="south-africa-earthquake"/>
    <w:p>
      <w:pPr>
        <w:pStyle w:val="Heading2"/>
      </w:pPr>
      <w:r>
        <w:rPr>
          <w:rStyle w:val="SectionNumber"/>
        </w:rPr>
        <w:t xml:space="preserve">1.5</w:t>
      </w:r>
      <w:r>
        <w:tab/>
      </w:r>
      <w:r>
        <w:t xml:space="preserve">South Africa earthquake</w:t>
      </w:r>
    </w:p>
    <w:p>
      <w:pPr>
        <w:pStyle w:val="FirstParagraph"/>
      </w:pPr>
      <w:r>
        <w:rPr>
          <w:b/>
          <w:bCs/>
        </w:rPr>
        <w:t xml:space="preserve">Workbook:</w:t>
      </w:r>
      <w:r>
        <w:t xml:space="preserve"> </w:t>
      </w:r>
      <w:r>
        <w:rPr>
          <w:rStyle w:val="VerbatimChar"/>
        </w:rPr>
        <w:t xml:space="preserve">lloyds/workbooks/UKEU - Supplementary Info - Workings - South Africa EQ - Jan 2026.xlsx</w:t>
      </w:r>
    </w:p>
    <w:p>
      <w:pPr>
        <w:pStyle w:val="BodyText"/>
      </w:pPr>
      <w:r>
        <w:rPr>
          <w:b/>
          <w:bCs/>
        </w:rPr>
        <w:t xml:space="preserve">Purpose:</w:t>
      </w:r>
      <w:r>
        <w:t xml:space="preserve"> </w:t>
      </w:r>
      <w:r>
        <w:t xml:space="preserve">produce South Africa earthquake exposure by two-digit CRESTA zone on</w:t>
      </w:r>
      <w:r>
        <w:t xml:space="preserve"> </w:t>
      </w:r>
      <w:r>
        <w:rPr>
          <w:rStyle w:val="VerbatimChar"/>
        </w:rPr>
        <w:t xml:space="preserve">05 South Africa EQ Aggs</w:t>
      </w:r>
      <w:r>
        <w:t xml:space="preserve">.</w:t>
      </w:r>
    </w:p>
    <w:p>
      <w:pPr>
        <w:pStyle w:val="BodyText"/>
      </w:pPr>
      <w:r>
        <w:rPr>
          <w:rStyle w:val="VerbatimChar"/>
        </w:rPr>
        <w:t xml:space="preserve">SouthAfrica_Aggs.sql</w:t>
      </w:r>
      <w:r>
        <w:t xml:space="preserve"> </w:t>
      </w:r>
      <w:r>
        <w:t xml:space="preserve">returns the 18 source columns expected in</w:t>
      </w:r>
      <w:r>
        <w:t xml:space="preserve"> </w:t>
      </w:r>
      <w:r>
        <w:rPr>
          <w:rStyle w:val="VerbatimChar"/>
        </w:rPr>
        <w:t xml:space="preserve">Core data!A:R</w:t>
      </w:r>
      <w:r>
        <w:t xml:space="preserve">. It filters the named January 2026 EDM to</w:t>
      </w:r>
      <w:r>
        <w:t xml:space="preserve"> </w:t>
      </w:r>
      <w:r>
        <w:rPr>
          <w:rStyle w:val="VerbatimChar"/>
        </w:rPr>
        <w:t xml:space="preserve">PERIL = 1</w:t>
      </w:r>
      <w:r>
        <w:t xml:space="preserve">,</w:t>
      </w:r>
      <w:r>
        <w:t xml:space="preserve"> </w:t>
      </w:r>
      <w:r>
        <w:rPr>
          <w:rStyle w:val="VerbatimChar"/>
        </w:rPr>
        <w:t xml:space="preserve">POLICYTYPE = 1</w:t>
      </w:r>
      <w:r>
        <w:t xml:space="preserve">, South Africa, and portfolios matching S33/3624. In the workbook, column S holds the row scale factor, column T calculates scaled TSI, and column U derives the two-digit zone from</w:t>
      </w:r>
      <w:r>
        <w:t xml:space="preserve"> </w:t>
      </w:r>
      <w:r>
        <w:rPr>
          <w:rStyle w:val="VerbatimChar"/>
        </w:rPr>
        <w:t xml:space="preserve">Zone3Name</w:t>
      </w:r>
      <w:r>
        <w:t xml:space="preserve">. The report aggregates those results with</w:t>
      </w:r>
      <w:r>
        <w:t xml:space="preserve"> </w:t>
      </w:r>
      <w:r>
        <w:rPr>
          <w:rStyle w:val="VerbatimChar"/>
        </w:rPr>
        <w:t xml:space="preserve">SUMIF</w:t>
      </w:r>
      <w:r>
        <w:t xml:space="preserve">.</w:t>
      </w:r>
    </w:p>
    <w:bookmarkStart w:id="14" w:name="procedure-1"/>
    <w:p>
      <w:pPr>
        <w:pStyle w:val="Heading3"/>
      </w:pPr>
      <w:r>
        <w:rPr>
          <w:rStyle w:val="SectionNumber"/>
        </w:rPr>
        <w:t xml:space="preserve">1.5.1</w:t>
      </w:r>
      <w:r>
        <w:tab/>
      </w:r>
      <w:r>
        <w:t xml:space="preserve">Procedure</w:t>
      </w:r>
    </w:p>
    <w:p>
      <w:pPr>
        <w:pStyle w:val="Compact"/>
        <w:numPr>
          <w:ilvl w:val="0"/>
          <w:numId w:val="1005"/>
        </w:numPr>
      </w:pPr>
      <w:r>
        <w:t xml:space="preserve">Confirm whether the approved source is the S33</w:t>
      </w:r>
      <w:r>
        <w:t xml:space="preserve"> </w:t>
      </w:r>
      <w:r>
        <w:rPr>
          <w:rStyle w:val="VerbatimChar"/>
        </w:rPr>
        <w:t xml:space="preserve">Quake</w:t>
      </w:r>
      <w:r>
        <w:t xml:space="preserve"> </w:t>
      </w:r>
      <w:r>
        <w:t xml:space="preserve">tab or a fresh execution of</w:t>
      </w:r>
      <w:r>
        <w:t xml:space="preserve"> </w:t>
      </w:r>
      <w:r>
        <w:rPr>
          <w:rStyle w:val="VerbatimChar"/>
        </w:rPr>
        <w:t xml:space="preserve">SouthAfrica_Aggs.sql</w:t>
      </w:r>
      <w:r>
        <w:t xml:space="preserve">; retain evidence of the selected source.</w:t>
      </w:r>
    </w:p>
    <w:p>
      <w:pPr>
        <w:pStyle w:val="Compact"/>
        <w:numPr>
          <w:ilvl w:val="0"/>
          <w:numId w:val="1005"/>
        </w:numPr>
      </w:pPr>
      <w:r>
        <w:t xml:space="preserve">If SQL is used, verify the database named on line 1, run it in the approved SQL client, and record the server, EDM, codes, row count, and source total.</w:t>
      </w:r>
    </w:p>
    <w:p>
      <w:pPr>
        <w:pStyle w:val="Compact"/>
        <w:numPr>
          <w:ilvl w:val="0"/>
          <w:numId w:val="1005"/>
        </w:numPr>
      </w:pPr>
      <w:r>
        <w:t xml:space="preserve">Open the South Africa workbook and review</w:t>
      </w:r>
      <w:r>
        <w:t xml:space="preserve"> </w:t>
      </w:r>
      <w:r>
        <w:rPr>
          <w:rStyle w:val="VerbatimChar"/>
        </w:rPr>
        <w:t xml:space="preserve">AUDIT_SUMMARY</w:t>
      </w:r>
      <w:r>
        <w:t xml:space="preserve">,</w:t>
      </w:r>
      <w:r>
        <w:t xml:space="preserve"> </w:t>
      </w:r>
      <w:r>
        <w:rPr>
          <w:rStyle w:val="VerbatimChar"/>
        </w:rPr>
        <w:t xml:space="preserve">Cat Class Mapping</w:t>
      </w:r>
      <w:r>
        <w:t xml:space="preserve">,</w:t>
      </w:r>
      <w:r>
        <w:t xml:space="preserve"> </w:t>
      </w:r>
      <w:r>
        <w:rPr>
          <w:rStyle w:val="VerbatimChar"/>
        </w:rPr>
        <w:t xml:space="preserve">Notes</w:t>
      </w:r>
      <w:r>
        <w:t xml:space="preserve">, and</w:t>
      </w:r>
      <w:r>
        <w:t xml:space="preserve"> </w:t>
      </w:r>
      <w:r>
        <w:rPr>
          <w:rStyle w:val="VerbatimChar"/>
        </w:rPr>
        <w:t xml:space="preserve">Fx</w:t>
      </w:r>
      <w:r>
        <w:t xml:space="preserve"> </w:t>
      </w:r>
      <w:r>
        <w:t xml:space="preserve">before loading data.</w:t>
      </w:r>
    </w:p>
    <w:p>
      <w:pPr>
        <w:pStyle w:val="Compact"/>
        <w:numPr>
          <w:ilvl w:val="0"/>
          <w:numId w:val="1005"/>
        </w:numPr>
      </w:pPr>
      <w:r>
        <w:t xml:space="preserve">Clear only the old source rows in</w:t>
      </w:r>
      <w:r>
        <w:t xml:space="preserve"> </w:t>
      </w:r>
      <w:r>
        <w:rPr>
          <w:rStyle w:val="VerbatimChar"/>
        </w:rPr>
        <w:t xml:space="preserve">Core data!A:R</w:t>
      </w:r>
      <w:r>
        <w:t xml:space="preserve"> </w:t>
      </w:r>
      <w:r>
        <w:t xml:space="preserve">below row 1. Preserve columns S:U and all report formulas.</w:t>
      </w:r>
    </w:p>
    <w:p>
      <w:pPr>
        <w:pStyle w:val="Compact"/>
        <w:numPr>
          <w:ilvl w:val="0"/>
          <w:numId w:val="1005"/>
        </w:numPr>
      </w:pPr>
      <w:r>
        <w:t xml:space="preserve">Paste the 18 source columns into</w:t>
      </w:r>
      <w:r>
        <w:t xml:space="preserve"> </w:t>
      </w:r>
      <w:r>
        <w:rPr>
          <w:rStyle w:val="VerbatimChar"/>
        </w:rPr>
        <w:t xml:space="preserve">Core data!A:R</w:t>
      </w:r>
      <w:r>
        <w:t xml:space="preserve"> </w:t>
      </w:r>
      <w:r>
        <w:t xml:space="preserve">in the existing header order.</w:t>
      </w:r>
    </w:p>
    <w:p>
      <w:pPr>
        <w:pStyle w:val="Compact"/>
        <w:numPr>
          <w:ilvl w:val="0"/>
          <w:numId w:val="1005"/>
        </w:numPr>
      </w:pPr>
      <w:r>
        <w:t xml:space="preserve">Populate or confirm the scale factor in column S, then fill formulas in T:U through every pasted row.</w:t>
      </w:r>
    </w:p>
    <w:p>
      <w:pPr>
        <w:pStyle w:val="Compact"/>
        <w:numPr>
          <w:ilvl w:val="0"/>
          <w:numId w:val="1005"/>
        </w:numPr>
      </w:pPr>
      <w:r>
        <w:t xml:space="preserve">Use</w:t>
      </w:r>
      <w:r>
        <w:t xml:space="preserve"> </w:t>
      </w:r>
      <w:r>
        <w:rPr>
          <w:b/>
          <w:bCs/>
        </w:rPr>
        <w:t xml:space="preserve">Ctrl+Alt+F9</w:t>
      </w:r>
      <w:r>
        <w:t xml:space="preserve"> </w:t>
      </w:r>
      <w:r>
        <w:t xml:space="preserve">to force a full recalculation.</w:t>
      </w:r>
    </w:p>
    <w:p>
      <w:pPr>
        <w:pStyle w:val="Compact"/>
        <w:numPr>
          <w:ilvl w:val="0"/>
          <w:numId w:val="1005"/>
        </w:numPr>
      </w:pPr>
      <w:r>
        <w:t xml:space="preserve">Review</w:t>
      </w:r>
      <w:r>
        <w:t xml:space="preserve"> </w:t>
      </w:r>
      <w:r>
        <w:rPr>
          <w:rStyle w:val="VerbatimChar"/>
        </w:rPr>
        <w:t xml:space="preserve">05 South Africa EQ Aggs</w:t>
      </w:r>
      <w:r>
        <w:t xml:space="preserve"> </w:t>
      </w:r>
      <w:r>
        <w:t xml:space="preserve">and reconcile its zone totals to</w:t>
      </w:r>
      <w:r>
        <w:t xml:space="preserve"> </w:t>
      </w:r>
      <w:r>
        <w:rPr>
          <w:rStyle w:val="VerbatimChar"/>
        </w:rPr>
        <w:t xml:space="preserve">Core data</w:t>
      </w:r>
      <w:r>
        <w:t xml:space="preserve"> </w:t>
      </w:r>
      <w:r>
        <w:t xml:space="preserve">before handoff.</w:t>
      </w:r>
    </w:p>
    <w:p>
      <w:pPr>
        <w:pStyle w:val="FirstParagraph"/>
      </w:pPr>
      <w:r>
        <w:t xml:space="preserve">The workbook is labelled January 2026, but its report and FX table contain legacy 2024 labels. The SQL-to-sheet match is structural; the workbook contains no run record proving that its cached rows came from the current SQL. Confirm the date, FX, units, and lineage before use.</w:t>
      </w:r>
    </w:p>
    <w:bookmarkEnd w:id="14"/>
    <w:bookmarkEnd w:id="15"/>
    <w:bookmarkStart w:id="17" w:name="california-wildfire"/>
    <w:p>
      <w:pPr>
        <w:pStyle w:val="Heading2"/>
      </w:pPr>
      <w:r>
        <w:rPr>
          <w:rStyle w:val="SectionNumber"/>
        </w:rPr>
        <w:t xml:space="preserve">1.6</w:t>
      </w:r>
      <w:r>
        <w:tab/>
      </w:r>
      <w:r>
        <w:t xml:space="preserve">California wildfire</w:t>
      </w:r>
    </w:p>
    <w:p>
      <w:pPr>
        <w:pStyle w:val="FirstParagraph"/>
      </w:pPr>
      <w:r>
        <w:rPr>
          <w:b/>
          <w:bCs/>
        </w:rPr>
        <w:t xml:space="preserve">Workbook:</w:t>
      </w:r>
      <w:r>
        <w:t xml:space="preserve"> </w:t>
      </w:r>
      <w:r>
        <w:rPr>
          <w:rStyle w:val="VerbatimChar"/>
        </w:rPr>
        <w:t xml:space="preserve">lloyds/workbooks/UKEU - Supplementary Info - RDL - Jan26 - Workings - California WF.xlsx</w:t>
      </w:r>
    </w:p>
    <w:p>
      <w:pPr>
        <w:pStyle w:val="BodyText"/>
      </w:pPr>
      <w:r>
        <w:rPr>
          <w:b/>
          <w:bCs/>
        </w:rPr>
        <w:t xml:space="preserve">Purpose:</w:t>
      </w:r>
      <w:r>
        <w:t xml:space="preserve"> </w:t>
      </w:r>
      <w:r>
        <w:t xml:space="preserve">produce California wildfire exposure by county on</w:t>
      </w:r>
      <w:r>
        <w:t xml:space="preserve"> </w:t>
      </w:r>
      <w:r>
        <w:rPr>
          <w:rStyle w:val="VerbatimChar"/>
        </w:rPr>
        <w:t xml:space="preserve">06 California Wildfire Aggs</w:t>
      </w:r>
      <w:r>
        <w:t xml:space="preserve">.</w:t>
      </w:r>
    </w:p>
    <w:p>
      <w:pPr>
        <w:pStyle w:val="BodyText"/>
      </w:pPr>
      <w:r>
        <w:rPr>
          <w:rStyle w:val="VerbatimChar"/>
        </w:rPr>
        <w:t xml:space="preserve">FA_California_Aggs.sql</w:t>
      </w:r>
      <w:r>
        <w:t xml:space="preserve"> </w:t>
      </w:r>
      <w:r>
        <w:t xml:space="preserve">returns the 13 columns expected in</w:t>
      </w:r>
      <w:r>
        <w:t xml:space="preserve"> </w:t>
      </w:r>
      <w:r>
        <w:rPr>
          <w:rStyle w:val="VerbatimChar"/>
        </w:rPr>
        <w:t xml:space="preserve">Core data!A:M</w:t>
      </w:r>
      <w:r>
        <w:t xml:space="preserve">, ending in</w:t>
      </w:r>
      <w:r>
        <w:t xml:space="preserve"> </w:t>
      </w:r>
      <w:r>
        <w:rPr>
          <w:rStyle w:val="VerbatimChar"/>
        </w:rPr>
        <w:t xml:space="preserve">TSI_USD_NET</w:t>
      </w:r>
      <w:r>
        <w:t xml:space="preserve">. It filters the named January 2026 EDM to</w:t>
      </w:r>
      <w:r>
        <w:t xml:space="preserve"> </w:t>
      </w:r>
      <w:r>
        <w:rPr>
          <w:rStyle w:val="VerbatimChar"/>
        </w:rPr>
        <w:t xml:space="preserve">PERIL = 4</w:t>
      </w:r>
      <w:r>
        <w:t xml:space="preserve">,</w:t>
      </w:r>
      <w:r>
        <w:t xml:space="preserve"> </w:t>
      </w:r>
      <w:r>
        <w:rPr>
          <w:rStyle w:val="VerbatimChar"/>
        </w:rPr>
        <w:t xml:space="preserve">POLICYTYPE = 4</w:t>
      </w:r>
      <w:r>
        <w:t xml:space="preserve">, California, and portfolios matching S33/3624. Helper column N removes the word</w:t>
      </w:r>
      <w:r>
        <w:t xml:space="preserve"> </w:t>
      </w:r>
      <w:r>
        <w:rPr>
          <w:rStyle w:val="VerbatimChar"/>
        </w:rPr>
        <w:t xml:space="preserve">County</w:t>
      </w:r>
      <w:r>
        <w:t xml:space="preserve"> </w:t>
      </w:r>
      <w:r>
        <w:t xml:space="preserve">from the source name, and the report sums column M by the normalized county.</w:t>
      </w:r>
    </w:p>
    <w:bookmarkStart w:id="16" w:name="procedure-2"/>
    <w:p>
      <w:pPr>
        <w:pStyle w:val="Heading3"/>
      </w:pPr>
      <w:r>
        <w:rPr>
          <w:rStyle w:val="SectionNumber"/>
        </w:rPr>
        <w:t xml:space="preserve">1.6.1</w:t>
      </w:r>
      <w:r>
        <w:tab/>
      </w:r>
      <w:r>
        <w:t xml:space="preserve">Procedure</w:t>
      </w:r>
    </w:p>
    <w:p>
      <w:pPr>
        <w:pStyle w:val="Compact"/>
        <w:numPr>
          <w:ilvl w:val="0"/>
          <w:numId w:val="1006"/>
        </w:numPr>
      </w:pPr>
      <w:r>
        <w:t xml:space="preserve">Obtain owner approval for the wildfire exposure source and proxy/PML decision described in the January email.</w:t>
      </w:r>
    </w:p>
    <w:p>
      <w:pPr>
        <w:pStyle w:val="Compact"/>
        <w:numPr>
          <w:ilvl w:val="0"/>
          <w:numId w:val="1006"/>
        </w:numPr>
      </w:pPr>
      <w:r>
        <w:t xml:space="preserve">If SQL is approved, verify the database named in</w:t>
      </w:r>
      <w:r>
        <w:t xml:space="preserve"> </w:t>
      </w:r>
      <w:r>
        <w:rPr>
          <w:rStyle w:val="VerbatimChar"/>
        </w:rPr>
        <w:t xml:space="preserve">FA_California_Aggs.sql</w:t>
      </w:r>
      <w:r>
        <w:t xml:space="preserve">, run it in the approved SQL client, and record the server, EDM, codes, row count, and source total.</w:t>
      </w:r>
    </w:p>
    <w:p>
      <w:pPr>
        <w:pStyle w:val="Compact"/>
        <w:numPr>
          <w:ilvl w:val="0"/>
          <w:numId w:val="1006"/>
        </w:numPr>
      </w:pPr>
      <w:r>
        <w:t xml:space="preserve">Open the California workbook and review</w:t>
      </w:r>
      <w:r>
        <w:t xml:space="preserve"> </w:t>
      </w:r>
      <w:r>
        <w:rPr>
          <w:rStyle w:val="VerbatimChar"/>
        </w:rPr>
        <w:t xml:space="preserve">AUDIT_SUMMARY</w:t>
      </w:r>
      <w:r>
        <w:t xml:space="preserve"> </w:t>
      </w:r>
      <w:r>
        <w:t xml:space="preserve">before loading data.</w:t>
      </w:r>
    </w:p>
    <w:p>
      <w:pPr>
        <w:pStyle w:val="Compact"/>
        <w:numPr>
          <w:ilvl w:val="0"/>
          <w:numId w:val="1006"/>
        </w:numPr>
      </w:pPr>
      <w:r>
        <w:t xml:space="preserve">Clear only the old source rows in</w:t>
      </w:r>
      <w:r>
        <w:t xml:space="preserve"> </w:t>
      </w:r>
      <w:r>
        <w:rPr>
          <w:rStyle w:val="VerbatimChar"/>
        </w:rPr>
        <w:t xml:space="preserve">Core data!A:M</w:t>
      </w:r>
      <w:r>
        <w:t xml:space="preserve"> </w:t>
      </w:r>
      <w:r>
        <w:t xml:space="preserve">below row 1. Preserve helper column N and all report formulas.</w:t>
      </w:r>
    </w:p>
    <w:p>
      <w:pPr>
        <w:pStyle w:val="Compact"/>
        <w:numPr>
          <w:ilvl w:val="0"/>
          <w:numId w:val="1006"/>
        </w:numPr>
      </w:pPr>
      <w:r>
        <w:t xml:space="preserve">Paste the 13 SQL-shaped columns into</w:t>
      </w:r>
      <w:r>
        <w:t xml:space="preserve"> </w:t>
      </w:r>
      <w:r>
        <w:rPr>
          <w:rStyle w:val="VerbatimChar"/>
        </w:rPr>
        <w:t xml:space="preserve">Core data!A:M</w:t>
      </w:r>
      <w:r>
        <w:t xml:space="preserve"> </w:t>
      </w:r>
      <w:r>
        <w:t xml:space="preserve">in the existing header order.</w:t>
      </w:r>
    </w:p>
    <w:p>
      <w:pPr>
        <w:pStyle w:val="Compact"/>
        <w:numPr>
          <w:ilvl w:val="0"/>
          <w:numId w:val="1006"/>
        </w:numPr>
      </w:pPr>
      <w:r>
        <w:t xml:space="preserve">Fill the county formula in column N through every pasted row and review blanks/errors caused by unexpected county text.</w:t>
      </w:r>
    </w:p>
    <w:p>
      <w:pPr>
        <w:pStyle w:val="Compact"/>
        <w:numPr>
          <w:ilvl w:val="0"/>
          <w:numId w:val="1006"/>
        </w:numPr>
      </w:pPr>
      <w:r>
        <w:t xml:space="preserve">Use</w:t>
      </w:r>
      <w:r>
        <w:t xml:space="preserve"> </w:t>
      </w:r>
      <w:r>
        <w:rPr>
          <w:b/>
          <w:bCs/>
        </w:rPr>
        <w:t xml:space="preserve">Ctrl+Alt+F9</w:t>
      </w:r>
      <w:r>
        <w:t xml:space="preserve"> </w:t>
      </w:r>
      <w:r>
        <w:t xml:space="preserve">to force a full recalculation.</w:t>
      </w:r>
    </w:p>
    <w:p>
      <w:pPr>
        <w:pStyle w:val="Compact"/>
        <w:numPr>
          <w:ilvl w:val="0"/>
          <w:numId w:val="1006"/>
        </w:numPr>
      </w:pPr>
      <w:r>
        <w:t xml:space="preserve">Review</w:t>
      </w:r>
      <w:r>
        <w:t xml:space="preserve"> </w:t>
      </w:r>
      <w:r>
        <w:rPr>
          <w:rStyle w:val="VerbatimChar"/>
        </w:rPr>
        <w:t xml:space="preserve">06 California Wildfire Aggs</w:t>
      </w:r>
      <w:r>
        <w:t xml:space="preserve"> </w:t>
      </w:r>
      <w:r>
        <w:t xml:space="preserve">and reconcile its county total to</w:t>
      </w:r>
      <w:r>
        <w:t xml:space="preserve"> </w:t>
      </w:r>
      <w:r>
        <w:rPr>
          <w:rStyle w:val="VerbatimChar"/>
        </w:rPr>
        <w:t xml:space="preserve">Core data!M:M</w:t>
      </w:r>
      <w:r>
        <w:t xml:space="preserve"> </w:t>
      </w:r>
      <w:r>
        <w:t xml:space="preserve">before handoff.</w:t>
      </w:r>
    </w:p>
    <w:p>
      <w:pPr>
        <w:pStyle w:val="FirstParagraph"/>
      </w:pPr>
      <w:r>
        <w:t xml:space="preserve">The report still says 01/01/2025 even though the SQL names a January 2026 EDM. The schema match does not prove cached-data lineage. Resolve the date and retain the proxy approval before the result is used.</w:t>
      </w:r>
    </w:p>
    <w:bookmarkEnd w:id="16"/>
    <w:bookmarkEnd w:id="17"/>
    <w:bookmarkStart w:id="19" w:name="eu-cresta"/>
    <w:p>
      <w:pPr>
        <w:pStyle w:val="Heading2"/>
      </w:pPr>
      <w:r>
        <w:rPr>
          <w:rStyle w:val="SectionNumber"/>
        </w:rPr>
        <w:t xml:space="preserve">1.7</w:t>
      </w:r>
      <w:r>
        <w:tab/>
      </w:r>
      <w:r>
        <w:t xml:space="preserve">EU CRESTA</w:t>
      </w:r>
    </w:p>
    <w:p>
      <w:pPr>
        <w:pStyle w:val="FirstParagraph"/>
      </w:pPr>
      <w:r>
        <w:rPr>
          <w:b/>
          <w:bCs/>
        </w:rPr>
        <w:t xml:space="preserve">Workbook:</w:t>
      </w:r>
      <w:r>
        <w:t xml:space="preserve"> </w:t>
      </w:r>
      <w:r>
        <w:rPr>
          <w:rStyle w:val="VerbatimChar"/>
        </w:rPr>
        <w:t xml:space="preserve">lloyds/workbooks/UKEU - Supplementary Info - RDL - Jan26 - Workings - EU Cresta.xlsx</w:t>
      </w:r>
    </w:p>
    <w:p>
      <w:pPr>
        <w:pStyle w:val="BodyText"/>
      </w:pPr>
      <w:r>
        <w:rPr>
          <w:b/>
          <w:bCs/>
        </w:rPr>
        <w:t xml:space="preserve">Purpose:</w:t>
      </w:r>
      <w:r>
        <w:t xml:space="preserve"> </w:t>
      </w:r>
      <w:r>
        <w:t xml:space="preserve">produce separate European earthquake and flood exposure totals by CRESTA on</w:t>
      </w:r>
      <w:r>
        <w:t xml:space="preserve"> </w:t>
      </w:r>
      <w:r>
        <w:rPr>
          <w:rStyle w:val="VerbatimChar"/>
        </w:rPr>
        <w:t xml:space="preserve">11 LIC EU CRESTA</w:t>
      </w:r>
      <w:r>
        <w:t xml:space="preserve">.</w:t>
      </w:r>
    </w:p>
    <w:p>
      <w:pPr>
        <w:pStyle w:val="BodyText"/>
      </w:pPr>
      <w:r>
        <w:t xml:space="preserve">The workbook contains</w:t>
      </w:r>
      <w:r>
        <w:t xml:space="preserve"> </w:t>
      </w:r>
      <w:r>
        <w:rPr>
          <w:rStyle w:val="VerbatimChar"/>
        </w:rPr>
        <w:t xml:space="preserve">Core data EQ</w:t>
      </w:r>
      <w:r>
        <w:t xml:space="preserve">,</w:t>
      </w:r>
      <w:r>
        <w:t xml:space="preserve"> </w:t>
      </w:r>
      <w:r>
        <w:rPr>
          <w:rStyle w:val="VerbatimChar"/>
        </w:rPr>
        <w:t xml:space="preserve">Core data FL</w:t>
      </w:r>
      <w:r>
        <w:t xml:space="preserve">,</w:t>
      </w:r>
      <w:r>
        <w:t xml:space="preserve"> </w:t>
      </w:r>
      <w:r>
        <w:rPr>
          <w:rStyle w:val="VerbatimChar"/>
        </w:rPr>
        <w:t xml:space="preserve">Cat Class Mapping</w:t>
      </w:r>
      <w:r>
        <w:t xml:space="preserve">,</w:t>
      </w:r>
      <w:r>
        <w:t xml:space="preserve"> </w:t>
      </w:r>
      <w:r>
        <w:rPr>
          <w:rStyle w:val="VerbatimChar"/>
        </w:rPr>
        <w:t xml:space="preserve">Notes</w:t>
      </w:r>
      <w:r>
        <w:t xml:space="preserve">, and</w:t>
      </w:r>
      <w:r>
        <w:t xml:space="preserve"> </w:t>
      </w:r>
      <w:r>
        <w:rPr>
          <w:rStyle w:val="VerbatimChar"/>
        </w:rPr>
        <w:t xml:space="preserve">Fx</w:t>
      </w:r>
      <w:r>
        <w:t xml:space="preserve">. Both core sheets expect source columns A:R. Column S holds the row scale factor, column T calculates scaled USD exposure, and column U applies</w:t>
      </w:r>
      <w:r>
        <w:t xml:space="preserve"> </w:t>
      </w:r>
      <w:r>
        <w:rPr>
          <w:rStyle w:val="VerbatimChar"/>
        </w:rPr>
        <w:t xml:space="preserve">Fx!C7</w:t>
      </w:r>
      <w:r>
        <w:t xml:space="preserve"> </w:t>
      </w:r>
      <w:r>
        <w:t xml:space="preserve">to produce the EUR amount used by the report's CRESTA aggregation.</w:t>
      </w:r>
    </w:p>
    <w:bookmarkStart w:id="18" w:name="procedure-3"/>
    <w:p>
      <w:pPr>
        <w:pStyle w:val="Heading3"/>
      </w:pPr>
      <w:r>
        <w:rPr>
          <w:rStyle w:val="SectionNumber"/>
        </w:rPr>
        <w:t xml:space="preserve">1.7.1</w:t>
      </w:r>
      <w:r>
        <w:tab/>
      </w:r>
      <w:r>
        <w:t xml:space="preserve">Procedure</w:t>
      </w:r>
    </w:p>
    <w:p>
      <w:pPr>
        <w:pStyle w:val="Compact"/>
        <w:numPr>
          <w:ilvl w:val="0"/>
          <w:numId w:val="1007"/>
        </w:numPr>
      </w:pPr>
      <w:r>
        <w:t xml:space="preserve">Prepare and retain separately approved earthquake and flood extracts from</w:t>
      </w:r>
      <w:r>
        <w:t xml:space="preserve"> </w:t>
      </w:r>
      <w:r>
        <w:rPr>
          <w:rStyle w:val="VerbatimChar"/>
        </w:rPr>
        <w:t xml:space="preserve">EU exposure - S33</w:t>
      </w:r>
      <w:r>
        <w:t xml:space="preserve"> </w:t>
      </w:r>
      <w:r>
        <w:t xml:space="preserve">or another documented source.</w:t>
      </w:r>
    </w:p>
    <w:p>
      <w:pPr>
        <w:pStyle w:val="Compact"/>
        <w:numPr>
          <w:ilvl w:val="0"/>
          <w:numId w:val="1007"/>
        </w:numPr>
      </w:pPr>
      <w:r>
        <w:t xml:space="preserve">Record the producer, reporting date, peril, row count, source total, currency basis, and FX for both extracts. There is no matching SQL or Python producer checked in.</w:t>
      </w:r>
    </w:p>
    <w:p>
      <w:pPr>
        <w:pStyle w:val="Compact"/>
        <w:numPr>
          <w:ilvl w:val="0"/>
          <w:numId w:val="1007"/>
        </w:numPr>
      </w:pPr>
      <w:r>
        <w:t xml:space="preserve">Open the EU workbook and review</w:t>
      </w:r>
      <w:r>
        <w:t xml:space="preserve"> </w:t>
      </w:r>
      <w:r>
        <w:rPr>
          <w:rStyle w:val="VerbatimChar"/>
        </w:rPr>
        <w:t xml:space="preserve">AUDIT_SUMMARY</w:t>
      </w:r>
      <w:r>
        <w:t xml:space="preserve">,</w:t>
      </w:r>
      <w:r>
        <w:t xml:space="preserve"> </w:t>
      </w:r>
      <w:r>
        <w:rPr>
          <w:rStyle w:val="VerbatimChar"/>
        </w:rPr>
        <w:t xml:space="preserve">Cat Class Mapping</w:t>
      </w:r>
      <w:r>
        <w:t xml:space="preserve">,</w:t>
      </w:r>
      <w:r>
        <w:t xml:space="preserve"> </w:t>
      </w:r>
      <w:r>
        <w:rPr>
          <w:rStyle w:val="VerbatimChar"/>
        </w:rPr>
        <w:t xml:space="preserve">Notes</w:t>
      </w:r>
      <w:r>
        <w:t xml:space="preserve">, and</w:t>
      </w:r>
      <w:r>
        <w:t xml:space="preserve"> </w:t>
      </w:r>
      <w:r>
        <w:rPr>
          <w:rStyle w:val="VerbatimChar"/>
        </w:rPr>
        <w:t xml:space="preserve">Fx</w:t>
      </w:r>
      <w:r>
        <w:t xml:space="preserve"> </w:t>
      </w:r>
      <w:r>
        <w:t xml:space="preserve">before loading data.</w:t>
      </w:r>
    </w:p>
    <w:p>
      <w:pPr>
        <w:pStyle w:val="Compact"/>
        <w:numPr>
          <w:ilvl w:val="0"/>
          <w:numId w:val="1007"/>
        </w:numPr>
      </w:pPr>
      <w:r>
        <w:t xml:space="preserve">Clear only the old source rows in A:R below row 1 on</w:t>
      </w:r>
      <w:r>
        <w:t xml:space="preserve"> </w:t>
      </w:r>
      <w:r>
        <w:rPr>
          <w:rStyle w:val="VerbatimChar"/>
        </w:rPr>
        <w:t xml:space="preserve">Core data EQ</w:t>
      </w:r>
      <w:r>
        <w:t xml:space="preserve"> </w:t>
      </w:r>
      <w:r>
        <w:t xml:space="preserve">and</w:t>
      </w:r>
      <w:r>
        <w:t xml:space="preserve"> </w:t>
      </w:r>
      <w:r>
        <w:rPr>
          <w:rStyle w:val="VerbatimChar"/>
        </w:rPr>
        <w:t xml:space="preserve">Core data FL</w:t>
      </w:r>
      <w:r>
        <w:t xml:space="preserve">. Preserve columns S:U and all report formulas.</w:t>
      </w:r>
    </w:p>
    <w:p>
      <w:pPr>
        <w:pStyle w:val="Compact"/>
        <w:numPr>
          <w:ilvl w:val="0"/>
          <w:numId w:val="1007"/>
        </w:numPr>
      </w:pPr>
      <w:r>
        <w:t xml:space="preserve">Paste the matching 18-column extract into each sheet in the existing header order.</w:t>
      </w:r>
    </w:p>
    <w:p>
      <w:pPr>
        <w:pStyle w:val="Compact"/>
        <w:numPr>
          <w:ilvl w:val="0"/>
          <w:numId w:val="1007"/>
        </w:numPr>
      </w:pPr>
      <w:r>
        <w:t xml:space="preserve">Populate or confirm the scale factor in column S, then fill formulas in T:U through every pasted row on both sheets.</w:t>
      </w:r>
    </w:p>
    <w:p>
      <w:pPr>
        <w:pStyle w:val="Compact"/>
        <w:numPr>
          <w:ilvl w:val="0"/>
          <w:numId w:val="1007"/>
        </w:numPr>
      </w:pPr>
      <w:r>
        <w:t xml:space="preserve">Use</w:t>
      </w:r>
      <w:r>
        <w:t xml:space="preserve"> </w:t>
      </w:r>
      <w:r>
        <w:rPr>
          <w:b/>
          <w:bCs/>
        </w:rPr>
        <w:t xml:space="preserve">Ctrl+Alt+F9</w:t>
      </w:r>
      <w:r>
        <w:t xml:space="preserve"> </w:t>
      </w:r>
      <w:r>
        <w:t xml:space="preserve">to force a full recalculation.</w:t>
      </w:r>
    </w:p>
    <w:p>
      <w:pPr>
        <w:pStyle w:val="Compact"/>
        <w:numPr>
          <w:ilvl w:val="0"/>
          <w:numId w:val="1007"/>
        </w:numPr>
      </w:pPr>
      <w:r>
        <w:t xml:space="preserve">Review earthquake and flood results on</w:t>
      </w:r>
      <w:r>
        <w:t xml:space="preserve"> </w:t>
      </w:r>
      <w:r>
        <w:rPr>
          <w:rStyle w:val="VerbatimChar"/>
        </w:rPr>
        <w:t xml:space="preserve">11 LIC EU CRESTA</w:t>
      </w:r>
      <w:r>
        <w:t xml:space="preserve"> </w:t>
      </w:r>
      <w:r>
        <w:t xml:space="preserve">and reconcile each peril total to its core sheet before handoff.</w:t>
      </w:r>
    </w:p>
    <w:p>
      <w:pPr>
        <w:pStyle w:val="FirstParagraph"/>
      </w:pPr>
      <w:r>
        <w:t xml:space="preserve">The report says 01/07/2024.</w:t>
      </w:r>
      <w:r>
        <w:t xml:space="preserve"> </w:t>
      </w:r>
      <w:r>
        <w:rPr>
          <w:rStyle w:val="VerbatimChar"/>
        </w:rPr>
        <w:t xml:space="preserve">Fx!C7</w:t>
      </w:r>
      <w:r>
        <w:t xml:space="preserve"> </w:t>
      </w:r>
      <w:r>
        <w:t xml:space="preserve">is</w:t>
      </w:r>
      <w:r>
        <w:t xml:space="preserve"> </w:t>
      </w:r>
      <w:r>
        <w:rPr>
          <w:rStyle w:val="VerbatimChar"/>
        </w:rPr>
        <w:t xml:space="preserve">1.25 / 1.21 = 1.0330578512</w:t>
      </w:r>
      <w:r>
        <w:t xml:space="preserve">, which is not the email's 2026 EUR rate of</w:t>
      </w:r>
      <w:r>
        <w:t xml:space="preserve"> </w:t>
      </w:r>
      <w:r>
        <w:rPr>
          <w:rStyle w:val="VerbatimChar"/>
        </w:rPr>
        <w:t xml:space="preserve">1.15</w:t>
      </w:r>
      <w:r>
        <w:t xml:space="preserve">. Confirm whether</w:t>
      </w:r>
      <w:r>
        <w:t xml:space="preserve"> </w:t>
      </w:r>
      <w:r>
        <w:rPr>
          <w:rStyle w:val="VerbatimChar"/>
        </w:rPr>
        <w:t xml:space="preserve">Fx!C7</w:t>
      </w:r>
      <w:r>
        <w:t xml:space="preserve"> </w:t>
      </w:r>
      <w:r>
        <w:t xml:space="preserve">is an intentional cross-rate or stale logic before using the output.</w:t>
      </w:r>
    </w:p>
    <w:bookmarkEnd w:id="18"/>
    <w:bookmarkEnd w:id="19"/>
    <w:bookmarkStart w:id="20" w:name="received-s33-workbook"/>
    <w:p>
      <w:pPr>
        <w:pStyle w:val="Heading2"/>
      </w:pPr>
      <w:r>
        <w:rPr>
          <w:rStyle w:val="SectionNumber"/>
        </w:rPr>
        <w:t xml:space="preserve">1.8</w:t>
      </w:r>
      <w:r>
        <w:tab/>
      </w:r>
      <w:r>
        <w:t xml:space="preserve">Received S33 workbook</w:t>
      </w:r>
    </w:p>
    <w:p>
      <w:pPr>
        <w:pStyle w:val="FirstParagraph"/>
      </w:pPr>
      <w:r>
        <w:rPr>
          <w:rStyle w:val="VerbatimChar"/>
        </w:rPr>
        <w:t xml:space="preserve">Supplementary Info UKEU S33.xlsx</w:t>
      </w:r>
      <w:r>
        <w:t xml:space="preserve"> </w:t>
      </w:r>
      <w:r>
        <w:t xml:space="preserve">is source evidence rather than a final return template. It contains event/location exposure on</w:t>
      </w:r>
      <w:r>
        <w:t xml:space="preserve"> </w:t>
      </w:r>
      <w:r>
        <w:rPr>
          <w:rStyle w:val="VerbatimChar"/>
        </w:rPr>
        <w:t xml:space="preserve">Weather</w:t>
      </w:r>
      <w:r>
        <w:t xml:space="preserve"> </w:t>
      </w:r>
      <w:r>
        <w:t xml:space="preserve">and</w:t>
      </w:r>
      <w:r>
        <w:t xml:space="preserve"> </w:t>
      </w:r>
      <w:r>
        <w:rPr>
          <w:rStyle w:val="VerbatimChar"/>
        </w:rPr>
        <w:t xml:space="preserve">Quake</w:t>
      </w:r>
      <w:r>
        <w:t xml:space="preserve"> </w:t>
      </w:r>
      <w:r>
        <w:t xml:space="preserve">plus an isolated EU view. Its shared formula calculates:</w:t>
      </w:r>
    </w:p>
    <w:p>
      <w:pPr>
        <w:pStyle w:val="SourceCode"/>
      </w:pPr>
      <w:r>
        <w:rPr>
          <w:rStyle w:val="VerbatimChar"/>
        </w:rPr>
        <w:t xml:space="preserve">HIS net QS = Share Insured Value USD * (1 - RI Cession PC)</w:t>
      </w:r>
    </w:p>
    <w:p>
      <w:pPr>
        <w:pStyle w:val="FirstParagraph"/>
      </w:pPr>
      <w:r>
        <w:t xml:space="preserve">Keep the workbook and companion message together to preserve source instructions and provenance.</w:t>
      </w:r>
    </w:p>
    <w:bookmarkEnd w:id="20"/>
    <w:bookmarkStart w:id="21" w:name="mandatory-checks"/>
    <w:p>
      <w:pPr>
        <w:pStyle w:val="Heading2"/>
      </w:pPr>
      <w:r>
        <w:rPr>
          <w:rStyle w:val="SectionNumber"/>
        </w:rPr>
        <w:t xml:space="preserve">1.9</w:t>
      </w:r>
      <w:r>
        <w:tab/>
      </w:r>
      <w:r>
        <w:t xml:space="preserve">Mandatory checks</w:t>
      </w:r>
    </w:p>
    <w:p>
      <w:pPr>
        <w:pStyle w:val="Compact"/>
        <w:numPr>
          <w:ilvl w:val="0"/>
          <w:numId w:val="1008"/>
        </w:numPr>
      </w:pPr>
      <w:r>
        <w:t xml:space="preserve">Establish whether each current core/extract tab came from the received S33 workbook, a documented SQL run, or another source; matching columns alone do not prove lineage.</w:t>
      </w:r>
    </w:p>
    <w:p>
      <w:pPr>
        <w:pStyle w:val="Compact"/>
        <w:numPr>
          <w:ilvl w:val="0"/>
          <w:numId w:val="1008"/>
        </w:numPr>
      </w:pPr>
      <w:r>
        <w:t xml:space="preserve">Record the exact peril/policy codes and scale-factor derivation for every RoW extract.</w:t>
      </w:r>
    </w:p>
    <w:p>
      <w:pPr>
        <w:pStyle w:val="Compact"/>
        <w:numPr>
          <w:ilvl w:val="0"/>
          <w:numId w:val="1008"/>
        </w:numPr>
      </w:pPr>
      <w:r>
        <w:t xml:space="preserve">Resolve the California wildfire proxy/PML decision with the owner.</w:t>
      </w:r>
    </w:p>
    <w:p>
      <w:pPr>
        <w:pStyle w:val="Compact"/>
        <w:numPr>
          <w:ilvl w:val="0"/>
          <w:numId w:val="1008"/>
        </w:numPr>
      </w:pPr>
      <w:r>
        <w:t xml:space="preserve">Resolve the legacy 2024/2025 dates in the South Africa, California, and EU workbooks.</w:t>
      </w:r>
    </w:p>
    <w:p>
      <w:pPr>
        <w:pStyle w:val="Compact"/>
        <w:numPr>
          <w:ilvl w:val="0"/>
          <w:numId w:val="1008"/>
        </w:numPr>
      </w:pPr>
      <w:r>
        <w:t xml:space="preserve">Confirm units, gross/net basis, currency, FX, as-of date, and portfolio scope before any template handoff.</w:t>
      </w:r>
    </w:p>
    <w:p>
      <w:pPr>
        <w:pStyle w:val="Compact"/>
        <w:numPr>
          <w:ilvl w:val="0"/>
          <w:numId w:val="1008"/>
        </w:numPr>
      </w:pPr>
      <w:r>
        <w:t xml:space="preserve">Reconcile each final report total to its source/core data after refresh or recalculation.</w:t>
      </w:r>
    </w:p>
    <w:bookmarkEnd w:id="21"/>
    <w:bookmarkStart w:id="22" w:name="controlled-handoff"/>
    <w:p>
      <w:pPr>
        <w:pStyle w:val="Heading2"/>
      </w:pPr>
      <w:r>
        <w:rPr>
          <w:rStyle w:val="SectionNumber"/>
        </w:rPr>
        <w:t xml:space="preserve">1.10</w:t>
      </w:r>
      <w:r>
        <w:tab/>
      </w:r>
      <w:r>
        <w:t xml:space="preserve">Controlled handoff</w:t>
      </w:r>
    </w:p>
    <w:p>
      <w:pPr>
        <w:pStyle w:val="FirstParagraph"/>
      </w:pPr>
      <w:r>
        <w:t xml:space="preserve">For every value transferred to the external Lloyd's template, record:</w:t>
      </w:r>
    </w:p>
    <w:p>
      <w:pPr>
        <w:pStyle w:val="Compact"/>
        <w:numPr>
          <w:ilvl w:val="0"/>
          <w:numId w:val="1009"/>
        </w:numPr>
      </w:pPr>
      <w:r>
        <w:t xml:space="preserve">source workbook/tab or saved SQL result;</w:t>
      </w:r>
    </w:p>
    <w:p>
      <w:pPr>
        <w:pStyle w:val="Compact"/>
        <w:numPr>
          <w:ilvl w:val="0"/>
          <w:numId w:val="1009"/>
        </w:numPr>
      </w:pPr>
      <w:r>
        <w:t xml:space="preserve">calculation workbook and report cell/range;</w:t>
      </w:r>
    </w:p>
    <w:p>
      <w:pPr>
        <w:pStyle w:val="Compact"/>
        <w:numPr>
          <w:ilvl w:val="0"/>
          <w:numId w:val="1009"/>
        </w:numPr>
      </w:pPr>
      <w:r>
        <w:t xml:space="preserve">mapping, scale-factor, and FX versions;</w:t>
      </w:r>
    </w:p>
    <w:p>
      <w:pPr>
        <w:pStyle w:val="Compact"/>
        <w:numPr>
          <w:ilvl w:val="0"/>
          <w:numId w:val="1009"/>
        </w:numPr>
      </w:pPr>
      <w:r>
        <w:t xml:space="preserve">destination template and green cell;</w:t>
      </w:r>
    </w:p>
    <w:p>
      <w:pPr>
        <w:pStyle w:val="Compact"/>
        <w:numPr>
          <w:ilvl w:val="0"/>
          <w:numId w:val="1009"/>
        </w:numPr>
      </w:pPr>
      <w:r>
        <w:t xml:space="preserve">value, unit, currency, and as-of date;</w:t>
      </w:r>
    </w:p>
    <w:p>
      <w:pPr>
        <w:pStyle w:val="Compact"/>
        <w:numPr>
          <w:ilvl w:val="0"/>
          <w:numId w:val="1009"/>
        </w:numPr>
      </w:pPr>
      <w:r>
        <w:t xml:space="preserve">preparer, reviewer, and review date.</w:t>
      </w:r>
    </w:p>
    <w:p>
      <w:pPr>
        <w:pStyle w:val="FirstParagraph"/>
      </w:pPr>
      <w:r>
        <w:t xml:space="preserve">Do not overwrite formulas, validation, template structure, or non-green cells unless a controlled template change is explicitly approved.</w:t>
      </w:r>
    </w:p>
    <w:bookmarkEnd w:id="22"/>
    <w:bookmarkEnd w:id="23"/>
    <w:bookmarkStart w:id="34" w:name="run-checks-and-evidence"/>
    <w:p>
      <w:pPr>
        <w:pStyle w:val="Heading1"/>
      </w:pPr>
      <w:r>
        <w:rPr>
          <w:rStyle w:val="SectionNumber"/>
        </w:rPr>
        <w:t xml:space="preserve">2</w:t>
      </w:r>
      <w:r>
        <w:tab/>
      </w:r>
      <w:r>
        <w:t xml:space="preserve">Run checks and evidence</w:t>
      </w:r>
    </w:p>
    <w:p>
      <w:pPr>
        <w:pStyle w:val="FirstParagraph"/>
      </w:pPr>
      <w:r>
        <w:t xml:space="preserve">Use these controls for every process in this handbook. They do not replace current regulator instructions, approved templates, or the team's control framework.</w:t>
      </w:r>
    </w:p>
    <w:bookmarkStart w:id="24" w:name="run-record"/>
    <w:p>
      <w:pPr>
        <w:pStyle w:val="Heading2"/>
      </w:pPr>
      <w:r>
        <w:rPr>
          <w:rStyle w:val="SectionNumber"/>
        </w:rPr>
        <w:t xml:space="preserve">2.1</w:t>
      </w:r>
      <w:r>
        <w:tab/>
      </w:r>
      <w:r>
        <w:t xml:space="preserve">Run record</w:t>
      </w:r>
    </w:p>
    <w:p>
      <w:pPr>
        <w:pStyle w:val="FirstParagraph"/>
      </w:pPr>
      <w:r>
        <w:t xml:space="preserve">Complete the run record before execution: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Required evidence</w:t>
            </w:r>
          </w:p>
        </w:tc>
      </w:tr>
      <w:tr>
        <w:tc>
          <w:tcPr/>
          <w:p>
            <w:pPr>
              <w:pStyle w:val="Compact"/>
            </w:pPr>
            <w:r>
              <w:t xml:space="preserve">Process and period</w:t>
            </w:r>
          </w:p>
        </w:tc>
        <w:tc>
          <w:tcPr/>
          <w:p>
            <w:pPr>
              <w:pStyle w:val="Compact"/>
            </w:pPr>
            <w:r>
              <w:t xml:space="preserve">Deliverable, reporting date, as-of date, and template/version</w:t>
            </w:r>
          </w:p>
        </w:tc>
      </w:tr>
      <w:tr>
        <w:tc>
          <w:tcPr/>
          <w:p>
            <w:pPr>
              <w:pStyle w:val="Compact"/>
            </w:pPr>
            <w:r>
              <w:t xml:space="preserve">Operator and reviewer</w:t>
            </w:r>
          </w:p>
        </w:tc>
        <w:tc>
          <w:tcPr/>
          <w:p>
            <w:pPr>
              <w:pStyle w:val="Compact"/>
            </w:pPr>
            <w:r>
              <w:t xml:space="preserve">Names and execution/review dates</w:t>
            </w:r>
          </w:p>
        </w:tc>
      </w:tr>
      <w:tr>
        <w:tc>
          <w:tcPr/>
          <w:p>
            <w:pPr>
              <w:pStyle w:val="Compact"/>
            </w:pPr>
            <w:r>
              <w:t xml:space="preserve">Source system</w:t>
            </w:r>
          </w:p>
        </w:tc>
        <w:tc>
          <w:tcPr/>
          <w:p>
            <w:pPr>
              <w:pStyle w:val="Compact"/>
            </w:pPr>
            <w:r>
              <w:t xml:space="preserve">Server, database, roll-up/version identifier, and source date</w:t>
            </w:r>
          </w:p>
        </w:tc>
      </w:tr>
      <w:tr>
        <w:tc>
          <w:tcPr/>
          <w:p>
            <w:pPr>
              <w:pStyle w:val="Compact"/>
            </w:pPr>
            <w:r>
              <w:t xml:space="preserve">Code</w:t>
            </w:r>
          </w:p>
        </w:tc>
        <w:tc>
          <w:tcPr/>
          <w:p>
            <w:pPr>
              <w:pStyle w:val="Compact"/>
            </w:pPr>
            <w:r>
              <w:t xml:space="preserve">Repository commit, exact script/query path, and complete command/parameters</w:t>
            </w:r>
          </w:p>
        </w:tc>
      </w:tr>
      <w:tr>
        <w:tc>
          <w:tcPr/>
          <w:p>
            <w:pPr>
              <w:pStyle w:val="Compact"/>
            </w:pPr>
            <w:r>
              <w:t xml:space="preserve">Scope</w:t>
            </w:r>
          </w:p>
        </w:tc>
        <w:tc>
          <w:tcPr/>
          <w:p>
            <w:pPr>
              <w:pStyle w:val="Compact"/>
            </w:pPr>
            <w:r>
              <w:t xml:space="preserve">Entities, portfolios, peril/policy codes, events, and geography</w:t>
            </w:r>
          </w:p>
        </w:tc>
      </w:tr>
      <w:tr>
        <w:tc>
          <w:tcPr/>
          <w:p>
            <w:pPr>
              <w:pStyle w:val="Compact"/>
            </w:pPr>
            <w:r>
              <w:t xml:space="preserve">Assumptions</w:t>
            </w:r>
          </w:p>
        </w:tc>
        <w:tc>
          <w:tcPr/>
          <w:p>
            <w:pPr>
              <w:pStyle w:val="Compact"/>
            </w:pPr>
            <w:r>
              <w:t xml:space="preserve">FX basis, retention factors, mappings, scale factors, and manual adjustments</w:t>
            </w:r>
          </w:p>
        </w:tc>
      </w:tr>
      <w:tr>
        <w:tc>
          <w:tcPr/>
          <w:p>
            <w:pPr>
              <w:pStyle w:val="Compact"/>
            </w:pPr>
            <w:r>
              <w:t xml:space="preserve">Inputs</w:t>
            </w:r>
          </w:p>
        </w:tc>
        <w:tc>
          <w:tcPr/>
          <w:p>
            <w:pPr>
              <w:pStyle w:val="Compact"/>
            </w:pPr>
            <w:r>
              <w:t xml:space="preserve">Source workbook/query result paths, tabs/ranges, row counts, totals, units, and currency</w:t>
            </w:r>
          </w:p>
        </w:tc>
      </w:tr>
      <w:tr>
        <w:tc>
          <w:tcPr/>
          <w:p>
            <w:pPr>
              <w:pStyle w:val="Compact"/>
            </w:pPr>
            <w:r>
              <w:t xml:space="preserve">Destination</w:t>
            </w:r>
          </w:p>
        </w:tc>
        <w:tc>
          <w:tcPr/>
          <w:p>
            <w:pPr>
              <w:pStyle w:val="Compact"/>
            </w:pPr>
            <w:r>
              <w:t xml:space="preserve">Output folder and controlled calculation/final workbook paths</w:t>
            </w:r>
          </w:p>
        </w:tc>
      </w:tr>
    </w:tbl>
    <w:p>
      <w:pPr>
        <w:pStyle w:val="BodyText"/>
      </w:pPr>
      <w:r>
        <w:t xml:space="preserve">Never put credentials, tokens, or connection secrets in the run record or source control.</w:t>
      </w:r>
    </w:p>
    <w:bookmarkEnd w:id="24"/>
    <w:bookmarkStart w:id="25" w:name="source-approval"/>
    <w:p>
      <w:pPr>
        <w:pStyle w:val="Heading2"/>
      </w:pPr>
      <w:r>
        <w:rPr>
          <w:rStyle w:val="SectionNumber"/>
        </w:rPr>
        <w:t xml:space="preserve">2.2</w:t>
      </w:r>
      <w:r>
        <w:tab/>
      </w:r>
      <w:r>
        <w:t xml:space="preserve">Source approval</w:t>
      </w:r>
    </w:p>
    <w:p>
      <w:pPr>
        <w:pStyle w:val="Compact"/>
        <w:numPr>
          <w:ilvl w:val="0"/>
          <w:numId w:val="1010"/>
        </w:numPr>
      </w:pPr>
      <w:r>
        <w:t xml:space="preserve">Confirm the source is the approved reporting-period version. A successful connection does not prove that the database is the correct annual EDM or roll-up.</w:t>
      </w:r>
    </w:p>
    <w:p>
      <w:pPr>
        <w:pStyle w:val="Compact"/>
        <w:numPr>
          <w:ilvl w:val="0"/>
          <w:numId w:val="1010"/>
        </w:numPr>
      </w:pPr>
      <w:r>
        <w:t xml:space="preserve">Confirm numeric peril and policy codes against the current EDM dictionary or approved controls. Repository defaults are not standing business definitions.</w:t>
      </w:r>
    </w:p>
    <w:p>
      <w:pPr>
        <w:pStyle w:val="Compact"/>
        <w:numPr>
          <w:ilvl w:val="0"/>
          <w:numId w:val="1010"/>
        </w:numPr>
      </w:pPr>
      <w:r>
        <w:t xml:space="preserve">Confirm entity, portfolio, event, and geography scope against the current deliverable.</w:t>
      </w:r>
    </w:p>
    <w:p>
      <w:pPr>
        <w:pStyle w:val="Compact"/>
        <w:numPr>
          <w:ilvl w:val="0"/>
          <w:numId w:val="1010"/>
        </w:numPr>
      </w:pPr>
      <w:r>
        <w:t xml:space="preserve">Confirm source and target currency, FX date/basis, and output unit.</w:t>
      </w:r>
    </w:p>
    <w:p>
      <w:pPr>
        <w:pStyle w:val="Compact"/>
        <w:numPr>
          <w:ilvl w:val="0"/>
          <w:numId w:val="1010"/>
        </w:numPr>
      </w:pPr>
      <w:r>
        <w:t xml:space="preserve">Confirm</w:t>
      </w:r>
      <w:r>
        <w:t xml:space="preserve"> </w:t>
      </w:r>
      <w:r>
        <w:rPr>
          <w:rStyle w:val="VerbatimChar"/>
        </w:rPr>
        <w:t xml:space="preserve">_QS</w:t>
      </w:r>
      <w:r>
        <w:t xml:space="preserve">,</w:t>
      </w:r>
      <w:r>
        <w:t xml:space="preserve"> </w:t>
      </w:r>
      <w:r>
        <w:rPr>
          <w:rStyle w:val="VerbatimChar"/>
        </w:rPr>
        <w:t xml:space="preserve">_SRP</w:t>
      </w:r>
      <w:r>
        <w:t xml:space="preserve">, and other retention or proxy decisions against current approved terms.</w:t>
      </w:r>
    </w:p>
    <w:p>
      <w:pPr>
        <w:pStyle w:val="Compact"/>
        <w:numPr>
          <w:ilvl w:val="0"/>
          <w:numId w:val="1010"/>
        </w:numPr>
      </w:pPr>
      <w:r>
        <w:t xml:space="preserve">Keep source workbooks and instruction emails together so provenance and interpretation are retained.</w:t>
      </w:r>
    </w:p>
    <w:bookmarkEnd w:id="25"/>
    <w:bookmarkStart w:id="26" w:name="pre-run-workbook-review"/>
    <w:p>
      <w:pPr>
        <w:pStyle w:val="Heading2"/>
      </w:pPr>
      <w:r>
        <w:rPr>
          <w:rStyle w:val="SectionNumber"/>
        </w:rPr>
        <w:t xml:space="preserve">2.3</w:t>
      </w:r>
      <w:r>
        <w:tab/>
      </w:r>
      <w:r>
        <w:t xml:space="preserve">Pre-run workbook review</w:t>
      </w:r>
    </w:p>
    <w:p>
      <w:pPr>
        <w:pStyle w:val="FirstParagraph"/>
      </w:pPr>
      <w:r>
        <w:t xml:space="preserve">Before replacing any data:</w:t>
      </w:r>
    </w:p>
    <w:p>
      <w:pPr>
        <w:pStyle w:val="Compact"/>
        <w:numPr>
          <w:ilvl w:val="0"/>
          <w:numId w:val="1011"/>
        </w:numPr>
      </w:pPr>
      <w:r>
        <w:t xml:space="preserve">Make a controlled working copy and preserve the received/check-in source as evidence.</w:t>
      </w:r>
    </w:p>
    <w:p>
      <w:pPr>
        <w:pStyle w:val="Compact"/>
        <w:numPr>
          <w:ilvl w:val="0"/>
          <w:numId w:val="1011"/>
        </w:numPr>
      </w:pPr>
      <w:r>
        <w:t xml:space="preserve">Inventory every input tab and identify its source query, script output, or workbook tab.</w:t>
      </w:r>
    </w:p>
    <w:p>
      <w:pPr>
        <w:pStyle w:val="Compact"/>
        <w:numPr>
          <w:ilvl w:val="0"/>
          <w:numId w:val="1011"/>
        </w:numPr>
      </w:pPr>
      <w:r>
        <w:t xml:space="preserve">Record formulas, tables, named ranges, pivot sources, calculation mode, validation, external links, and designated input/green cells.</w:t>
      </w:r>
    </w:p>
    <w:p>
      <w:pPr>
        <w:pStyle w:val="Compact"/>
        <w:numPr>
          <w:ilvl w:val="0"/>
          <w:numId w:val="1011"/>
        </w:numPr>
      </w:pPr>
      <w:r>
        <w:t xml:space="preserve">Capture pre-refresh row counts and output totals.</w:t>
      </w:r>
    </w:p>
    <w:p>
      <w:pPr>
        <w:pStyle w:val="Compact"/>
        <w:numPr>
          <w:ilvl w:val="0"/>
          <w:numId w:val="1011"/>
        </w:numPr>
      </w:pPr>
      <w:r>
        <w:t xml:space="preserve">Confirm mappings, scale factors, FX, dates, units, and formula columns are the approved versions.</w:t>
      </w:r>
    </w:p>
    <w:p>
      <w:pPr>
        <w:pStyle w:val="Compact"/>
        <w:numPr>
          <w:ilvl w:val="0"/>
          <w:numId w:val="1011"/>
        </w:numPr>
      </w:pPr>
      <w:r>
        <w:t xml:space="preserve">Resolve stale links and source-range uncertainty before refreshing.</w:t>
      </w:r>
    </w:p>
    <w:bookmarkEnd w:id="26"/>
    <w:bookmarkStart w:id="27" w:name="extract-controls"/>
    <w:p>
      <w:pPr>
        <w:pStyle w:val="Heading2"/>
      </w:pPr>
      <w:r>
        <w:rPr>
          <w:rStyle w:val="SectionNumber"/>
        </w:rPr>
        <w:t xml:space="preserve">2.4</w:t>
      </w:r>
      <w:r>
        <w:tab/>
      </w:r>
      <w:r>
        <w:t xml:space="preserve">Extract controls</w:t>
      </w:r>
    </w:p>
    <w:p>
      <w:pPr>
        <w:pStyle w:val="FirstParagraph"/>
      </w:pPr>
      <w:r>
        <w:t xml:space="preserve">Capture checks at multiple grains rather than relying on a grand total:</w:t>
      </w:r>
    </w:p>
    <w:p>
      <w:pPr>
        <w:pStyle w:val="Compact"/>
        <w:numPr>
          <w:ilvl w:val="0"/>
          <w:numId w:val="1012"/>
        </w:numPr>
      </w:pPr>
      <w:r>
        <w:t xml:space="preserve">source coverage rows and distinct locations;</w:t>
      </w:r>
    </w:p>
    <w:p>
      <w:pPr>
        <w:pStyle w:val="Compact"/>
        <w:numPr>
          <w:ilvl w:val="0"/>
          <w:numId w:val="1012"/>
        </w:numPr>
      </w:pPr>
      <w:r>
        <w:t xml:space="preserve">distinct accounts and policies where available;</w:t>
      </w:r>
    </w:p>
    <w:p>
      <w:pPr>
        <w:pStyle w:val="Compact"/>
        <w:numPr>
          <w:ilvl w:val="0"/>
          <w:numId w:val="1012"/>
        </w:numPr>
      </w:pPr>
      <w:r>
        <w:t xml:space="preserve">rows before and after one-to-many joins, especially</w:t>
      </w:r>
      <w:r>
        <w:t xml:space="preserve"> </w:t>
      </w:r>
      <w:r>
        <w:rPr>
          <w:rStyle w:val="VerbatimChar"/>
        </w:rPr>
        <w:t xml:space="preserve">property</w:t>
      </w:r>
      <w:r>
        <w:t xml:space="preserve">,</w:t>
      </w:r>
      <w:r>
        <w:t xml:space="preserve"> </w:t>
      </w:r>
      <w:r>
        <w:rPr>
          <w:rStyle w:val="VerbatimChar"/>
        </w:rPr>
        <w:t xml:space="preserve">policy</w:t>
      </w:r>
      <w:r>
        <w:t xml:space="preserve">,</w:t>
      </w:r>
      <w:r>
        <w:t xml:space="preserve"> </w:t>
      </w:r>
      <w:r>
        <w:rPr>
          <w:rStyle w:val="VerbatimChar"/>
        </w:rPr>
        <w:t xml:space="preserve">portacct</w:t>
      </w:r>
      <w:r>
        <w:t xml:space="preserve">, and</w:t>
      </w:r>
      <w:r>
        <w:t xml:space="preserve"> </w:t>
      </w:r>
      <w:r>
        <w:rPr>
          <w:rStyle w:val="VerbatimChar"/>
        </w:rPr>
        <w:t xml:space="preserve">portinfo</w:t>
      </w:r>
      <w:r>
        <w:t xml:space="preserve">;</w:t>
      </w:r>
    </w:p>
    <w:p>
      <w:pPr>
        <w:pStyle w:val="Compact"/>
        <w:numPr>
          <w:ilvl w:val="0"/>
          <w:numId w:val="1012"/>
        </w:numPr>
      </w:pPr>
      <w:r>
        <w:t xml:space="preserve">gross and net amount by entity or portfolio;</w:t>
      </w:r>
    </w:p>
    <w:p>
      <w:pPr>
        <w:pStyle w:val="Compact"/>
        <w:numPr>
          <w:ilvl w:val="0"/>
          <w:numId w:val="1012"/>
        </w:numPr>
      </w:pPr>
      <w:r>
        <w:t xml:space="preserve">amount by source and converted currency;</w:t>
      </w:r>
    </w:p>
    <w:p>
      <w:pPr>
        <w:pStyle w:val="Compact"/>
        <w:numPr>
          <w:ilvl w:val="0"/>
          <w:numId w:val="1012"/>
        </w:numPr>
      </w:pPr>
      <w:r>
        <w:t xml:space="preserve">amount by report geography, peril, event, or CRESTA as applicable; and</w:t>
      </w:r>
    </w:p>
    <w:p>
      <w:pPr>
        <w:pStyle w:val="Compact"/>
        <w:numPr>
          <w:ilvl w:val="0"/>
          <w:numId w:val="1012"/>
        </w:numPr>
      </w:pPr>
      <w:r>
        <w:t xml:space="preserve">missing or unexpected entity, geography, FX, geocoding, polygon, PML, and mapping values.</w:t>
      </w:r>
    </w:p>
    <w:p>
      <w:pPr>
        <w:pStyle w:val="FirstParagraph"/>
      </w:pPr>
      <w:r>
        <w:t xml:space="preserve">A large increase after an account-level join can multiply exposure. Investigate it; a final</w:t>
      </w:r>
      <w:r>
        <w:t xml:space="preserve"> </w:t>
      </w:r>
      <w:r>
        <w:rPr>
          <w:rStyle w:val="VerbatimChar"/>
        </w:rPr>
        <w:t xml:space="preserve">GROUP BY</w:t>
      </w:r>
      <w:r>
        <w:t xml:space="preserve"> </w:t>
      </w:r>
      <w:r>
        <w:t xml:space="preserve">does not prove that duplication did not occur upstream.</w:t>
      </w:r>
    </w:p>
    <w:bookmarkEnd w:id="27"/>
    <w:bookmarkStart w:id="28" w:name="file-loading-controls"/>
    <w:p>
      <w:pPr>
        <w:pStyle w:val="Heading2"/>
      </w:pPr>
      <w:r>
        <w:rPr>
          <w:rStyle w:val="SectionNumber"/>
        </w:rPr>
        <w:t xml:space="preserve">2.5</w:t>
      </w:r>
      <w:r>
        <w:tab/>
      </w:r>
      <w:r>
        <w:t xml:space="preserve">File-loading controls</w:t>
      </w:r>
    </w:p>
    <w:p>
      <w:pPr>
        <w:pStyle w:val="Compact"/>
        <w:numPr>
          <w:ilvl w:val="0"/>
          <w:numId w:val="1013"/>
        </w:numPr>
      </w:pPr>
      <w:r>
        <w:t xml:space="preserve">Preserve the raw CSV or SQL result and exact command/query used to produce it.</w:t>
      </w:r>
    </w:p>
    <w:p>
      <w:pPr>
        <w:pStyle w:val="Compact"/>
        <w:numPr>
          <w:ilvl w:val="0"/>
          <w:numId w:val="1013"/>
        </w:numPr>
      </w:pPr>
      <w:r>
        <w:t xml:space="preserve">Compare headers, column order, row count, gross/net totals, currency, and unit to the target range before pasting.</w:t>
      </w:r>
    </w:p>
    <w:p>
      <w:pPr>
        <w:pStyle w:val="Compact"/>
        <w:numPr>
          <w:ilvl w:val="0"/>
          <w:numId w:val="1013"/>
        </w:numPr>
      </w:pPr>
      <w:r>
        <w:t xml:space="preserve">Clear only controlled source rows; do not overwrite headers, formulas, scale factors, mappings, pivots, validation, or formatting.</w:t>
      </w:r>
    </w:p>
    <w:p>
      <w:pPr>
        <w:pStyle w:val="Compact"/>
        <w:numPr>
          <w:ilvl w:val="0"/>
          <w:numId w:val="1013"/>
        </w:numPr>
      </w:pPr>
      <w:r>
        <w:t xml:space="preserve">Fill formulas only through the complete new source range and inspect the first, last, blank, and exceptional rows.</w:t>
      </w:r>
    </w:p>
    <w:p>
      <w:pPr>
        <w:pStyle w:val="Compact"/>
        <w:numPr>
          <w:ilvl w:val="0"/>
          <w:numId w:val="1013"/>
        </w:numPr>
      </w:pPr>
      <w:r>
        <w:t xml:space="preserve">Confirm every table and pivot source includes all new rows and excludes stale rows.</w:t>
      </w:r>
    </w:p>
    <w:p>
      <w:pPr>
        <w:pStyle w:val="Compact"/>
        <w:numPr>
          <w:ilvl w:val="0"/>
          <w:numId w:val="1013"/>
        </w:numPr>
      </w:pPr>
      <w:r>
        <w:t xml:space="preserve">Never use a schema match alone as proof that cached workbook data came from a particular query run.</w:t>
      </w:r>
    </w:p>
    <w:bookmarkEnd w:id="28"/>
    <w:bookmarkStart w:id="29" w:name="reconciliation"/>
    <w:p>
      <w:pPr>
        <w:pStyle w:val="Heading2"/>
      </w:pPr>
      <w:r>
        <w:rPr>
          <w:rStyle w:val="SectionNumber"/>
        </w:rPr>
        <w:t xml:space="preserve">2.6</w:t>
      </w:r>
      <w:r>
        <w:tab/>
      </w:r>
      <w:r>
        <w:t xml:space="preserve">Reconciliation</w:t>
      </w:r>
    </w:p>
    <w:p>
      <w:pPr>
        <w:pStyle w:val="FirstParagraph"/>
      </w:pPr>
      <w:r>
        <w:t xml:space="preserve">At minimum, reconcile:</w:t>
      </w:r>
    </w:p>
    <w:p>
      <w:pPr>
        <w:pStyle w:val="Compact"/>
        <w:numPr>
          <w:ilvl w:val="0"/>
          <w:numId w:val="1014"/>
        </w:numPr>
      </w:pPr>
      <w:r>
        <w:t xml:space="preserve">extracted gross totals to an independently produced EDM/RiskLink or approved source control;</w:t>
      </w:r>
    </w:p>
    <w:p>
      <w:pPr>
        <w:pStyle w:val="Compact"/>
        <w:numPr>
          <w:ilvl w:val="0"/>
          <w:numId w:val="1014"/>
        </w:numPr>
      </w:pPr>
      <w:r>
        <w:t xml:space="preserve">gross-to-net movement by retention category;</w:t>
      </w:r>
    </w:p>
    <w:p>
      <w:pPr>
        <w:pStyle w:val="Compact"/>
        <w:numPr>
          <w:ilvl w:val="0"/>
          <w:numId w:val="1014"/>
        </w:numPr>
      </w:pPr>
      <w:r>
        <w:t xml:space="preserve">source-currency totals to converted totals using the approved FX basis;</w:t>
      </w:r>
    </w:p>
    <w:p>
      <w:pPr>
        <w:pStyle w:val="Compact"/>
        <w:numPr>
          <w:ilvl w:val="0"/>
          <w:numId w:val="1014"/>
        </w:numPr>
      </w:pPr>
      <w:r>
        <w:t xml:space="preserve">detail totals to entity, geography, event, peril, and report totals;</w:t>
      </w:r>
    </w:p>
    <w:p>
      <w:pPr>
        <w:pStyle w:val="Compact"/>
        <w:numPr>
          <w:ilvl w:val="0"/>
          <w:numId w:val="1014"/>
        </w:numPr>
      </w:pPr>
      <w:r>
        <w:t xml:space="preserve">raw output to grouped output;</w:t>
      </w:r>
    </w:p>
    <w:p>
      <w:pPr>
        <w:pStyle w:val="Compact"/>
        <w:numPr>
          <w:ilvl w:val="0"/>
          <w:numId w:val="1014"/>
        </w:numPr>
      </w:pPr>
      <w:r>
        <w:t xml:space="preserve">SQL/CSV output to the values loaded into Excel;</w:t>
      </w:r>
    </w:p>
    <w:p>
      <w:pPr>
        <w:pStyle w:val="Compact"/>
        <w:numPr>
          <w:ilvl w:val="0"/>
          <w:numId w:val="1014"/>
        </w:numPr>
      </w:pPr>
      <w:r>
        <w:t xml:space="preserve">workbook input ranges through formulas and pivots to report outputs;</w:t>
      </w:r>
    </w:p>
    <w:p>
      <w:pPr>
        <w:pStyle w:val="Compact"/>
        <w:numPr>
          <w:ilvl w:val="0"/>
          <w:numId w:val="1014"/>
        </w:numPr>
      </w:pPr>
      <w:r>
        <w:t xml:space="preserve">reviewed outputs to every manually populated final cell; and</w:t>
      </w:r>
    </w:p>
    <w:p>
      <w:pPr>
        <w:pStyle w:val="Compact"/>
        <w:numPr>
          <w:ilvl w:val="0"/>
          <w:numId w:val="1014"/>
        </w:numPr>
      </w:pPr>
      <w:r>
        <w:t xml:space="preserve">final submitted values to the reviewed workbook or output pack.</w:t>
      </w:r>
    </w:p>
    <w:p>
      <w:pPr>
        <w:pStyle w:val="FirstParagraph"/>
      </w:pPr>
      <w:r>
        <w:t xml:space="preserve">Historical notes that an earlier result was close to a model output are historical evidence only. This repository defines no current acceptance tolerance. Agree, document, and apply the reporting-cycle tolerance.</w:t>
      </w:r>
    </w:p>
    <w:bookmarkEnd w:id="29"/>
    <w:bookmarkStart w:id="30" w:name="spreadsheet-validation"/>
    <w:p>
      <w:pPr>
        <w:pStyle w:val="Heading2"/>
      </w:pPr>
      <w:r>
        <w:rPr>
          <w:rStyle w:val="SectionNumber"/>
        </w:rPr>
        <w:t xml:space="preserve">2.7</w:t>
      </w:r>
      <w:r>
        <w:tab/>
      </w:r>
      <w:r>
        <w:t xml:space="preserve">Spreadsheet validation</w:t>
      </w:r>
    </w:p>
    <w:p>
      <w:pPr>
        <w:pStyle w:val="Compact"/>
        <w:numPr>
          <w:ilvl w:val="0"/>
          <w:numId w:val="1015"/>
        </w:numPr>
      </w:pPr>
      <w:r>
        <w:t xml:space="preserve">Refresh only approved queries, tables, and pivots; do not blindly update stale external links.</w:t>
      </w:r>
    </w:p>
    <w:p>
      <w:pPr>
        <w:pStyle w:val="Compact"/>
        <w:numPr>
          <w:ilvl w:val="0"/>
          <w:numId w:val="1015"/>
        </w:numPr>
      </w:pPr>
      <w:r>
        <w:t xml:space="preserve">Force recalculation when required and check</w:t>
      </w:r>
      <w:r>
        <w:t xml:space="preserve"> </w:t>
      </w:r>
      <w:r>
        <w:rPr>
          <w:rStyle w:val="VerbatimChar"/>
        </w:rPr>
        <w:t xml:space="preserve">#REF!</w:t>
      </w:r>
      <w:r>
        <w:t xml:space="preserve">,</w:t>
      </w:r>
      <w:r>
        <w:t xml:space="preserve"> </w:t>
      </w:r>
      <w:r>
        <w:rPr>
          <w:rStyle w:val="VerbatimChar"/>
        </w:rPr>
        <w:t xml:space="preserve">#N/A</w:t>
      </w:r>
      <w:r>
        <w:t xml:space="preserve">,</w:t>
      </w:r>
      <w:r>
        <w:t xml:space="preserve"> </w:t>
      </w:r>
      <w:r>
        <w:rPr>
          <w:rStyle w:val="VerbatimChar"/>
        </w:rPr>
        <w:t xml:space="preserve">#VALUE!</w:t>
      </w:r>
      <w:r>
        <w:t xml:space="preserve">, blanks, and stale cached values.</w:t>
      </w:r>
    </w:p>
    <w:p>
      <w:pPr>
        <w:pStyle w:val="Compact"/>
        <w:numPr>
          <w:ilvl w:val="0"/>
          <w:numId w:val="1015"/>
        </w:numPr>
      </w:pPr>
      <w:r>
        <w:t xml:space="preserve">Trace representative records from raw input through formulas to each final report area.</w:t>
      </w:r>
    </w:p>
    <w:p>
      <w:pPr>
        <w:pStyle w:val="Compact"/>
        <w:numPr>
          <w:ilvl w:val="0"/>
          <w:numId w:val="1015"/>
        </w:numPr>
      </w:pPr>
      <w:r>
        <w:t xml:space="preserve">Compare pre/post-refresh outputs and explain every material movement.</w:t>
      </w:r>
    </w:p>
    <w:p>
      <w:pPr>
        <w:pStyle w:val="Compact"/>
        <w:numPr>
          <w:ilvl w:val="0"/>
          <w:numId w:val="1015"/>
        </w:numPr>
      </w:pPr>
      <w:r>
        <w:t xml:space="preserve">Record manual adjustments separately with rationale and approval.</w:t>
      </w:r>
    </w:p>
    <w:p>
      <w:pPr>
        <w:pStyle w:val="Compact"/>
        <w:numPr>
          <w:ilvl w:val="0"/>
          <w:numId w:val="1015"/>
        </w:numPr>
      </w:pPr>
      <w:r>
        <w:t xml:space="preserve">Preserve template formulas, validation, structure, and non-input cells.</w:t>
      </w:r>
    </w:p>
    <w:p>
      <w:pPr>
        <w:pStyle w:val="Compact"/>
        <w:numPr>
          <w:ilvl w:val="0"/>
          <w:numId w:val="1015"/>
        </w:numPr>
      </w:pPr>
      <w:r>
        <w:t xml:space="preserve">Archive the reviewed workbook without overwriting raw input evidence.</w:t>
      </w:r>
    </w:p>
    <w:bookmarkEnd w:id="30"/>
    <w:bookmarkStart w:id="31" w:name="manual-handoff"/>
    <w:p>
      <w:pPr>
        <w:pStyle w:val="Heading2"/>
      </w:pPr>
      <w:r>
        <w:rPr>
          <w:rStyle w:val="SectionNumber"/>
        </w:rPr>
        <w:t xml:space="preserve">2.8</w:t>
      </w:r>
      <w:r>
        <w:tab/>
      </w:r>
      <w:r>
        <w:t xml:space="preserve">Manual handoff</w:t>
      </w:r>
    </w:p>
    <w:p>
      <w:pPr>
        <w:pStyle w:val="FirstParagraph"/>
      </w:pPr>
      <w:r>
        <w:t xml:space="preserve">For every value copied into an external template, record:</w:t>
      </w:r>
    </w:p>
    <w:p>
      <w:pPr>
        <w:pStyle w:val="Compact"/>
        <w:numPr>
          <w:ilvl w:val="0"/>
          <w:numId w:val="1016"/>
        </w:numPr>
      </w:pPr>
      <w:r>
        <w:t xml:space="preserve">source query/script and version;</w:t>
      </w:r>
    </w:p>
    <w:p>
      <w:pPr>
        <w:pStyle w:val="Compact"/>
        <w:numPr>
          <w:ilvl w:val="0"/>
          <w:numId w:val="1016"/>
        </w:numPr>
      </w:pPr>
      <w:r>
        <w:t xml:space="preserve">source workbook, sheet, and exact cell/range;</w:t>
      </w:r>
    </w:p>
    <w:p>
      <w:pPr>
        <w:pStyle w:val="Compact"/>
        <w:numPr>
          <w:ilvl w:val="0"/>
          <w:numId w:val="1016"/>
        </w:numPr>
      </w:pPr>
      <w:r>
        <w:t xml:space="preserve">mapping, scale-factor, retention, and FX versions;</w:t>
      </w:r>
    </w:p>
    <w:p>
      <w:pPr>
        <w:pStyle w:val="Compact"/>
        <w:numPr>
          <w:ilvl w:val="0"/>
          <w:numId w:val="1016"/>
        </w:numPr>
      </w:pPr>
      <w:r>
        <w:t xml:space="preserve">destination workbook, sheet, and cell;</w:t>
      </w:r>
    </w:p>
    <w:p>
      <w:pPr>
        <w:pStyle w:val="Compact"/>
        <w:numPr>
          <w:ilvl w:val="0"/>
          <w:numId w:val="1016"/>
        </w:numPr>
      </w:pPr>
      <w:r>
        <w:t xml:space="preserve">value, gross/net basis, currency, unit, and as-of date; and</w:t>
      </w:r>
    </w:p>
    <w:p>
      <w:pPr>
        <w:pStyle w:val="Compact"/>
        <w:numPr>
          <w:ilvl w:val="0"/>
          <w:numId w:val="1016"/>
        </w:numPr>
      </w:pPr>
      <w:r>
        <w:t xml:space="preserve">preparer, reviewer, and review date.</w:t>
      </w:r>
    </w:p>
    <w:p>
      <w:pPr>
        <w:pStyle w:val="FirstParagraph"/>
      </w:pPr>
      <w:r>
        <w:t xml:space="preserve">A workbook's presence in the repository does not establish approval. Compare it with the controlled reporting-cycle copy before calculation or submission.</w:t>
      </w:r>
    </w:p>
    <w:bookmarkEnd w:id="31"/>
    <w:bookmarkStart w:id="32" w:name="completion-evidence"/>
    <w:p>
      <w:pPr>
        <w:pStyle w:val="Heading2"/>
      </w:pPr>
      <w:r>
        <w:rPr>
          <w:rStyle w:val="SectionNumber"/>
        </w:rPr>
        <w:t xml:space="preserve">2.9</w:t>
      </w:r>
      <w:r>
        <w:tab/>
      </w:r>
      <w:r>
        <w:t xml:space="preserve">Completion evidence</w:t>
      </w:r>
    </w:p>
    <w:p>
      <w:pPr>
        <w:pStyle w:val="FirstParagraph"/>
      </w:pPr>
      <w:r>
        <w:t xml:space="preserve">Archive together:</w:t>
      </w:r>
    </w:p>
    <w:p>
      <w:pPr>
        <w:pStyle w:val="Compact"/>
        <w:numPr>
          <w:ilvl w:val="0"/>
          <w:numId w:val="1017"/>
        </w:numPr>
      </w:pPr>
      <w:r>
        <w:t xml:space="preserve">current instructions and blank/controlled template;</w:t>
      </w:r>
    </w:p>
    <w:p>
      <w:pPr>
        <w:pStyle w:val="Compact"/>
        <w:numPr>
          <w:ilvl w:val="0"/>
          <w:numId w:val="1017"/>
        </w:numPr>
      </w:pPr>
      <w:r>
        <w:t xml:space="preserve">complete run record and repository revision;</w:t>
      </w:r>
    </w:p>
    <w:p>
      <w:pPr>
        <w:pStyle w:val="Compact"/>
        <w:numPr>
          <w:ilvl w:val="0"/>
          <w:numId w:val="1017"/>
        </w:numPr>
      </w:pPr>
      <w:r>
        <w:t xml:space="preserve">exact script/query and command;</w:t>
      </w:r>
    </w:p>
    <w:p>
      <w:pPr>
        <w:pStyle w:val="Compact"/>
        <w:numPr>
          <w:ilvl w:val="0"/>
          <w:numId w:val="1017"/>
        </w:numPr>
      </w:pPr>
      <w:r>
        <w:t xml:space="preserve">raw and grouped outputs;</w:t>
      </w:r>
    </w:p>
    <w:p>
      <w:pPr>
        <w:pStyle w:val="Compact"/>
        <w:numPr>
          <w:ilvl w:val="0"/>
          <w:numId w:val="1017"/>
        </w:numPr>
      </w:pPr>
      <w:r>
        <w:t xml:space="preserve">row-count, gross/net, FX, and report reconciliations;</w:t>
      </w:r>
    </w:p>
    <w:p>
      <w:pPr>
        <w:pStyle w:val="Compact"/>
        <w:numPr>
          <w:ilvl w:val="0"/>
          <w:numId w:val="1017"/>
        </w:numPr>
      </w:pPr>
      <w:r>
        <w:t xml:space="preserve">completed calculation workbook with formula logic preserved;</w:t>
      </w:r>
    </w:p>
    <w:p>
      <w:pPr>
        <w:pStyle w:val="Compact"/>
        <w:numPr>
          <w:ilvl w:val="0"/>
          <w:numId w:val="1017"/>
        </w:numPr>
      </w:pPr>
      <w:r>
        <w:t xml:space="preserve">approved mappings, scale factors, proxy decisions, and manual adjustments;</w:t>
      </w:r>
    </w:p>
    <w:p>
      <w:pPr>
        <w:pStyle w:val="Compact"/>
        <w:numPr>
          <w:ilvl w:val="0"/>
          <w:numId w:val="1017"/>
        </w:numPr>
      </w:pPr>
      <w:r>
        <w:t xml:space="preserve">reviewer sign-off; and</w:t>
      </w:r>
    </w:p>
    <w:p>
      <w:pPr>
        <w:pStyle w:val="Compact"/>
        <w:numPr>
          <w:ilvl w:val="0"/>
          <w:numId w:val="1017"/>
        </w:numPr>
      </w:pPr>
      <w:r>
        <w:t xml:space="preserve">final output/submission evidence, subject to the applicable records policy.</w:t>
      </w:r>
    </w:p>
    <w:bookmarkEnd w:id="32"/>
    <w:bookmarkStart w:id="33" w:name="stop-conditions"/>
    <w:p>
      <w:pPr>
        <w:pStyle w:val="Heading2"/>
      </w:pPr>
      <w:r>
        <w:rPr>
          <w:rStyle w:val="SectionNumber"/>
        </w:rPr>
        <w:t xml:space="preserve">2.10</w:t>
      </w:r>
      <w:r>
        <w:tab/>
      </w:r>
      <w:r>
        <w:t xml:space="preserve">Stop conditions</w:t>
      </w:r>
    </w:p>
    <w:p>
      <w:pPr>
        <w:pStyle w:val="FirstParagraph"/>
      </w:pPr>
      <w:r>
        <w:t xml:space="preserve">Stop and escalate when any of these remain unresolved:</w:t>
      </w:r>
    </w:p>
    <w:p>
      <w:pPr>
        <w:pStyle w:val="Compact"/>
        <w:numPr>
          <w:ilvl w:val="0"/>
          <w:numId w:val="1018"/>
        </w:numPr>
      </w:pPr>
      <w:r>
        <w:t xml:space="preserve">approved instructions, source, or reporting-period template are unavailable;</w:t>
      </w:r>
    </w:p>
    <w:p>
      <w:pPr>
        <w:pStyle w:val="Compact"/>
        <w:numPr>
          <w:ilvl w:val="0"/>
          <w:numId w:val="1018"/>
        </w:numPr>
      </w:pPr>
      <w:r>
        <w:t xml:space="preserve">the server, database period/version, event set, or source workbook lineage is uncertain;</w:t>
      </w:r>
    </w:p>
    <w:p>
      <w:pPr>
        <w:pStyle w:val="Compact"/>
        <w:numPr>
          <w:ilvl w:val="0"/>
          <w:numId w:val="1018"/>
        </w:numPr>
      </w:pPr>
      <w:r>
        <w:t xml:space="preserve">peril, policy, entity, portfolio, proxy, or geography scope is unapproved;</w:t>
      </w:r>
    </w:p>
    <w:p>
      <w:pPr>
        <w:pStyle w:val="Compact"/>
        <w:numPr>
          <w:ilvl w:val="0"/>
          <w:numId w:val="1018"/>
        </w:numPr>
      </w:pPr>
      <w:r>
        <w:t xml:space="preserve">joins produce unexplained row multiplication;</w:t>
      </w:r>
    </w:p>
    <w:p>
      <w:pPr>
        <w:pStyle w:val="Compact"/>
        <w:numPr>
          <w:ilvl w:val="0"/>
          <w:numId w:val="1018"/>
        </w:numPr>
      </w:pPr>
      <w:r>
        <w:t xml:space="preserve">FX, retention, scale factors, mappings, currency, units, or dates cannot be evidenced;</w:t>
      </w:r>
    </w:p>
    <w:p>
      <w:pPr>
        <w:pStyle w:val="Compact"/>
        <w:numPr>
          <w:ilvl w:val="0"/>
          <w:numId w:val="1018"/>
        </w:numPr>
      </w:pPr>
      <w:r>
        <w:t xml:space="preserve">formulas, pivot sources, external links, or final output cells cannot be traced;</w:t>
      </w:r>
    </w:p>
    <w:p>
      <w:pPr>
        <w:pStyle w:val="Compact"/>
        <w:numPr>
          <w:ilvl w:val="0"/>
          <w:numId w:val="1018"/>
        </w:numPr>
      </w:pPr>
      <w:r>
        <w:t xml:space="preserve">expected source and workbook totals do not reconcile; or</w:t>
      </w:r>
    </w:p>
    <w:p>
      <w:pPr>
        <w:pStyle w:val="Compact"/>
        <w:numPr>
          <w:ilvl w:val="0"/>
          <w:numId w:val="1018"/>
        </w:numPr>
      </w:pPr>
      <w:r>
        <w:t xml:space="preserve">differences exceed the agreed tolerance.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Lloyd's/RDS Supplementary Runbook</dc:title>
  <dc:creator/>
  <cp:keywords/>
  <dcterms:created xsi:type="dcterms:W3CDTF">2026-08-24T08:40:49Z</dcterms:created>
  <dcterms:modified xsi:type="dcterms:W3CDTF">2026-08-24T08:40:49Z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January 2026</vt:lpwstr>
  </property>
</Properties>
</file>