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Lloyd’s/RDS Supplementary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21" w:name="X7de4e4fd6e0067b8ab9ba4a7e9bb970de5e0280"/>
    <w:p>
      <w:pPr>
        <w:pStyle w:val="Heading1"/>
      </w:pPr>
      <w:r>
        <w:t xml:space="preserve">Lloyd’s supplementary information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four calculation reports for transfer to a separate Lloyd’s/RDS</w:t>
      </w:r>
      <w:r>
        <w:t xml:space="preserve"> </w:t>
      </w:r>
      <w:r>
        <w:t xml:space="preserve">template. The approved final template and destination-cell map are not supplied.</w:t>
      </w:r>
      <w:r>
        <w:t xml:space="preserve"> </w:t>
      </w:r>
      <w:r>
        <w:t xml:space="preserve">Each branch also has unresolved calculation decisions, listed below.</w:t>
      </w:r>
    </w:p>
    <w:bookmarkStart w:id="11" w:name="lloyds-runbook-1-get-the-source-pack"/>
    <w:p>
      <w:pPr>
        <w:pStyle w:val="Heading2"/>
      </w:pPr>
      <w:r>
        <w:t xml:space="preserve">1. Get the source pack</w:t>
      </w:r>
    </w:p>
    <w:p>
      <w:pPr>
        <w:pStyle w:val="FirstParagraph"/>
      </w:pPr>
      <w:r>
        <w:t xml:space="preserve">Keep these together: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lloyds/source/Supplementary Info UKEU S33.xlsx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lloyds/source/RE RDS Supplementary Information - UKEU 33.msg</w:t>
      </w:r>
    </w:p>
    <w:p>
      <w:pPr>
        <w:pStyle w:val="FirstParagraph"/>
      </w:pPr>
      <w:r>
        <w:t xml:space="preserve">The S33 tabs are</w:t>
      </w:r>
      <w:r>
        <w:t xml:space="preserve"> </w:t>
      </w:r>
      <w:r>
        <w:rPr>
          <w:b/>
          <w:bCs/>
        </w:rPr>
        <w:t xml:space="preserve">source evidence, not ready-to-paste extracts</w:t>
      </w:r>
      <w:r>
        <w:t xml:space="preserve">. Use an</w:t>
      </w:r>
      <w:r>
        <w:t xml:space="preserve"> </w:t>
      </w:r>
      <w:r>
        <w:t xml:space="preserve">approved SQL query or transformation with the fields each workbook needs.</w:t>
      </w:r>
      <w:r>
        <w:t xml:space="preserve"> </w:t>
      </w: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before loading data.</w:t>
      </w:r>
    </w:p>
    <w:bookmarkEnd w:id="11"/>
    <w:bookmarkStart w:id="16" w:name="lloyds-runbook-2-prepare-each-branch"/>
    <w:p>
      <w:pPr>
        <w:pStyle w:val="Heading2"/>
      </w:pPr>
      <w:r>
        <w:t xml:space="preserve">2. Prepare each branch</w:t>
      </w:r>
    </w:p>
    <w:p>
      <w:pPr>
        <w:pStyle w:val="FirstParagraph"/>
      </w:pPr>
      <w:r>
        <w:t xml:space="preserve">All calculation workbooks below are in</w:t>
      </w:r>
      <w:r>
        <w:t xml:space="preserve"> </w:t>
      </w:r>
      <w:r>
        <w:rPr>
          <w:rStyle w:val="VerbatimChar"/>
        </w:rPr>
        <w:t xml:space="preserve">lloyds/workbooks/</w:t>
      </w:r>
      <w:r>
        <w:t xml:space="preserve">. Work on copies.</w:t>
      </w:r>
      <w:r>
        <w:t xml:space="preserve"> </w:t>
      </w:r>
      <w:r>
        <w:t xml:space="preserve">Paste data</w:t>
      </w:r>
      <w:r>
        <w:t xml:space="preserve"> </w:t>
      </w:r>
      <w:r>
        <w:rPr>
          <w:b/>
          <w:bCs/>
        </w:rPr>
        <w:t xml:space="preserve">without headers</w:t>
      </w:r>
      <w:r>
        <w:t xml:space="preserve">, starting at row 2; preserve helper/formula columns.</w:t>
      </w:r>
    </w:p>
    <w:bookmarkStart w:id="12" w:name="X605dcb7b0aadc7189bd892902e11f02c7304799"/>
    <w:p>
      <w:pPr>
        <w:pStyle w:val="Heading3"/>
      </w:pPr>
      <w:r>
        <w:t xml:space="preserve">Rest of World — country/peril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ROW.xlsx</w:t>
      </w:r>
    </w:p>
    <w:p>
      <w:pPr>
        <w:pStyle w:val="Compact"/>
        <w:numPr>
          <w:ilvl w:val="0"/>
          <w:numId w:val="1002"/>
        </w:numPr>
      </w:pPr>
      <w:r>
        <w:t xml:space="preserve">Source: S33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evidence plus four approved peril extracts/transformations.</w:t>
      </w:r>
    </w:p>
    <w:p>
      <w:pPr>
        <w:pStyle w:val="Compact"/>
        <w:numPr>
          <w:ilvl w:val="0"/>
          <w:numId w:val="1002"/>
        </w:numPr>
      </w:pPr>
      <w:r>
        <w:t xml:space="preserve">Load A:K on</w:t>
      </w:r>
      <w:r>
        <w:t xml:space="preserve"> </w:t>
      </w:r>
      <w:r>
        <w:rPr>
          <w:rStyle w:val="VerbatimChar"/>
        </w:rPr>
        <w:t xml:space="preserve">EQ Extract - Open Market</w:t>
      </w:r>
      <w:r>
        <w:t xml:space="preserve">,</w:t>
      </w:r>
      <w:r>
        <w:t xml:space="preserve"> </w:t>
      </w:r>
      <w:r>
        <w:rPr>
          <w:rStyle w:val="VerbatimChar"/>
        </w:rPr>
        <w:t xml:space="preserve">FR Extract  - Open Market</w:t>
      </w:r>
      <w:r>
        <w:t xml:space="preserve"> </w:t>
      </w:r>
      <w:r>
        <w:t xml:space="preserve">(two spaces before the hyphen),</w:t>
      </w:r>
      <w:r>
        <w:t xml:space="preserve"> </w:t>
      </w:r>
      <w:r>
        <w:rPr>
          <w:rStyle w:val="VerbatimChar"/>
        </w:rPr>
        <w:t xml:space="preserve">FL Extract - Open Market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 Extract - Open Market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Preserve scale L and formula M. Report:</w:t>
      </w:r>
      <w:r>
        <w:t xml:space="preserve"> </w:t>
      </w:r>
      <w:r>
        <w:rPr>
          <w:rStyle w:val="VerbatimChar"/>
        </w:rPr>
        <w:t xml:space="preserve">3. RoW Exposure Monitoring</w:t>
      </w:r>
      <w:r>
        <w:t xml:space="preserve">.</w:t>
      </w:r>
      <w:r>
        <w:t xml:space="preserve"> </w:t>
      </w:r>
      <w:r>
        <w:t xml:space="preserve">Review stale helper rows too: the flood sheet has</w:t>
      </w:r>
      <w:r>
        <w:t xml:space="preserve"> </w:t>
      </w:r>
      <w:r>
        <w:rPr>
          <w:rStyle w:val="VerbatimChar"/>
        </w:rPr>
        <w:t xml:space="preserve">#N/A</w:t>
      </w:r>
      <w:r>
        <w:t xml:space="preserve"> </w:t>
      </w:r>
      <w:r>
        <w:t xml:space="preserve">below the current inputs.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source measure/currency, scale factors and pivot ranges.</w:t>
      </w:r>
      <w:r>
        <w:t xml:space="preserve"> </w:t>
      </w:r>
      <w:r>
        <w:t xml:space="preserve">The checked-in SQL is fixed to</w:t>
      </w:r>
      <w:r>
        <w:t xml:space="preserve"> </w:t>
      </w:r>
      <w:r>
        <w:rPr>
          <w:rStyle w:val="VerbatimChar"/>
        </w:rPr>
        <w:t xml:space="preserve">3/3</w:t>
      </w:r>
      <w:r>
        <w:t xml:space="preserve">; do not reuse it unchanged for all perils.</w:t>
      </w:r>
    </w:p>
    <w:bookmarkEnd w:id="12"/>
    <w:bookmarkStart w:id="13" w:name="Xb0884f1a3af61518e594a8cd38f95a2b604cae6"/>
    <w:p>
      <w:pPr>
        <w:pStyle w:val="Heading3"/>
      </w:pPr>
      <w:r>
        <w:t xml:space="preserve">South Africa — earthquake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Workings - South Africa EQ - Jan 2026.xlsx</w:t>
      </w:r>
    </w:p>
    <w:p>
      <w:pPr>
        <w:pStyle w:val="Compact"/>
        <w:numPr>
          <w:ilvl w:val="0"/>
          <w:numId w:val="1003"/>
        </w:numPr>
      </w:pPr>
      <w:r>
        <w:t xml:space="preserve">Source: approved</w:t>
      </w:r>
      <w:r>
        <w:t xml:space="preserve"> </w:t>
      </w:r>
      <w:r>
        <w:rPr>
          <w:rStyle w:val="VerbatimChar"/>
        </w:rPr>
        <w:t xml:space="preserve">lloyds/sql/SouthAfrica_Aggs.sql</w:t>
      </w:r>
      <w:r>
        <w:t xml:space="preserve"> </w:t>
      </w:r>
      <w:r>
        <w:t xml:space="preserve">or transformation; S33</w:t>
      </w:r>
      <w:r>
        <w:t xml:space="preserve"> </w:t>
      </w:r>
      <w:r>
        <w:rPr>
          <w:rStyle w:val="VerbatimChar"/>
        </w:rPr>
        <w:t xml:space="preserve">Quake</w:t>
      </w:r>
      <w:r>
        <w:t xml:space="preserve"> </w:t>
      </w:r>
      <w:r>
        <w:t xml:space="preserve">lacks the required CRESTA fields.</w:t>
      </w:r>
    </w:p>
    <w:p>
      <w:pPr>
        <w:pStyle w:val="Compact"/>
        <w:numPr>
          <w:ilvl w:val="0"/>
          <w:numId w:val="1003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data!A:R</w:t>
      </w:r>
      <w:r>
        <w:t xml:space="preserve">; preserve scale S and formulas T:U.</w:t>
      </w:r>
    </w:p>
    <w:p>
      <w:pPr>
        <w:pStyle w:val="Compact"/>
        <w:numPr>
          <w:ilvl w:val="0"/>
          <w:numId w:val="1003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05 South Africa EQ Aggs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gross/net and currency basis, report date, range maintenance</w:t>
      </w:r>
      <w:r>
        <w:t xml:space="preserve"> </w:t>
      </w:r>
      <w:r>
        <w:t xml:space="preserve">and treatment of blank/unmapped CRESTA zones.</w:t>
      </w:r>
    </w:p>
    <w:bookmarkEnd w:id="13"/>
    <w:bookmarkStart w:id="14" w:name="Xea29828069445c7d8db0899008043c0419f74a2"/>
    <w:p>
      <w:pPr>
        <w:pStyle w:val="Heading3"/>
      </w:pPr>
      <w:r>
        <w:t xml:space="preserve">California — wildfire county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California WF.xlsx</w:t>
      </w:r>
    </w:p>
    <w:p>
      <w:pPr>
        <w:pStyle w:val="Compact"/>
        <w:numPr>
          <w:ilvl w:val="0"/>
          <w:numId w:val="1004"/>
        </w:numPr>
      </w:pPr>
      <w:r>
        <w:t xml:space="preserve">Source: owner-approved wildfire exposure/proxy. If using SQL, approve</w:t>
      </w:r>
      <w:r>
        <w:t xml:space="preserve"> </w:t>
      </w:r>
      <w:r>
        <w:rPr>
          <w:rStyle w:val="VerbatimChar"/>
        </w:rPr>
        <w:t xml:space="preserve">lloyds/sql/FA_California_Aggs.sql</w:t>
      </w:r>
      <w:r>
        <w:t xml:space="preserve">; do not invent county from S33.</w:t>
      </w:r>
    </w:p>
    <w:p>
      <w:pPr>
        <w:pStyle w:val="Compact"/>
        <w:numPr>
          <w:ilvl w:val="0"/>
          <w:numId w:val="1004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data!A:M</w:t>
      </w:r>
      <w:r>
        <w:t xml:space="preserve">; preserve helper N.</w:t>
      </w:r>
    </w:p>
    <w:p>
      <w:pPr>
        <w:pStyle w:val="Compact"/>
        <w:numPr>
          <w:ilvl w:val="0"/>
          <w:numId w:val="1004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06 California Wildfire Aggs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wildfire proxy/PML and resolve the report-date mismatch.</w:t>
      </w:r>
    </w:p>
    <w:bookmarkEnd w:id="14"/>
    <w:bookmarkStart w:id="15" w:name="X4f6e3445066a521f5ff9d330b7e415c8471bd0b"/>
    <w:p>
      <w:pPr>
        <w:pStyle w:val="Heading3"/>
      </w:pPr>
      <w:r>
        <w:t xml:space="preserve">Europe — earthquake/flood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EU Cresta.xlsx</w:t>
      </w:r>
    </w:p>
    <w:p>
      <w:pPr>
        <w:pStyle w:val="Compact"/>
        <w:numPr>
          <w:ilvl w:val="0"/>
          <w:numId w:val="1005"/>
        </w:numPr>
      </w:pPr>
      <w:r>
        <w:t xml:space="preserve">Source: separately approved EQ and FL extracts. S33</w:t>
      </w:r>
      <w:r>
        <w:t xml:space="preserve"> </w:t>
      </w:r>
      <w:r>
        <w:rPr>
          <w:rStyle w:val="VerbatimChar"/>
        </w:rPr>
        <w:t xml:space="preserve">EU exposure - weather &amp; quake</w:t>
      </w:r>
      <w:r>
        <w:t xml:space="preserve"> </w:t>
      </w:r>
      <w:r>
        <w:t xml:space="preserve">needs a transformation; no matching producer is checked in.</w:t>
      </w:r>
    </w:p>
    <w:p>
      <w:pPr>
        <w:pStyle w:val="Compact"/>
        <w:numPr>
          <w:ilvl w:val="0"/>
          <w:numId w:val="1005"/>
        </w:numPr>
      </w:pPr>
      <w:r>
        <w:t xml:space="preserve">Load A:R on</w:t>
      </w:r>
      <w:r>
        <w:t xml:space="preserve"> </w:t>
      </w:r>
      <w:r>
        <w:rPr>
          <w:rStyle w:val="VerbatimChar"/>
        </w:rPr>
        <w:t xml:space="preserve">Core data 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Core data FL</w:t>
      </w:r>
      <w:r>
        <w:t xml:space="preserve">; preserve scale S and formulas T:U.</w:t>
      </w:r>
    </w:p>
    <w:p>
      <w:pPr>
        <w:pStyle w:val="Compact"/>
        <w:numPr>
          <w:ilvl w:val="0"/>
          <w:numId w:val="1005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11 LIC EU CRESTA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uniform formulas, FX direction/date and unmapped-zone treatment.</w:t>
      </w:r>
      <w:r>
        <w:t xml:space="preserve"> </w:t>
      </w:r>
      <w:r>
        <w:rPr>
          <w:b/>
          <w:bCs/>
        </w:rPr>
        <w:t xml:space="preserve">Do not fill down the current flood formulas:</w:t>
      </w:r>
      <w:r>
        <w:t xml:space="preserve"> </w:t>
      </w:r>
      <w:r>
        <w:t xml:space="preserve">they mix source and USD amounts.</w:t>
      </w:r>
    </w:p>
    <w:bookmarkEnd w:id="15"/>
    <w:bookmarkEnd w:id="16"/>
    <w:bookmarkStart w:id="17" w:name="X1fcbc58a4b9dafbf2753c2b6046fb1bfe024ca6"/>
    <w:p>
      <w:pPr>
        <w:pStyle w:val="Heading2"/>
      </w:pPr>
      <w:r>
        <w:t xml:space="preserve">3. Load, recalculate and check</w:t>
      </w:r>
    </w:p>
    <w:p>
      <w:pPr>
        <w:pStyle w:val="FirstParagraph"/>
      </w:pPr>
      <w:r>
        <w:t xml:space="preserve">Once the relevant stops are resolved:</w:t>
      </w:r>
    </w:p>
    <w:p>
      <w:pPr>
        <w:pStyle w:val="Compact"/>
        <w:numPr>
          <w:ilvl w:val="0"/>
          <w:numId w:val="1006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AUDIT_SUMMARY</w:t>
      </w:r>
      <w:r>
        <w:t xml:space="preserve">, mappings, FX, formulas and links in each working copy.</w:t>
      </w:r>
    </w:p>
    <w:p>
      <w:pPr>
        <w:pStyle w:val="Compact"/>
        <w:numPr>
          <w:ilvl w:val="0"/>
          <w:numId w:val="1006"/>
        </w:numPr>
      </w:pPr>
      <w:r>
        <w:t xml:space="preserve">Check extract headers/order. Replace old input rows only; extend approved</w:t>
      </w:r>
      <w:r>
        <w:t xml:space="preserve"> </w:t>
      </w:r>
      <w:r>
        <w:t xml:space="preserve">helpers/formulas and source ranges to all new rows, leaving no stale data.</w:t>
      </w:r>
    </w:p>
    <w:p>
      <w:pPr>
        <w:pStyle w:val="Compact"/>
        <w:numPr>
          <w:ilvl w:val="0"/>
          <w:numId w:val="1006"/>
        </w:numPr>
      </w:pPr>
      <w:r>
        <w:t xml:space="preserve">Refresh approved pivots only and recalculate in Excel. Do not blindly update external links.</w:t>
      </w:r>
    </w:p>
    <w:p>
      <w:pPr>
        <w:pStyle w:val="Compact"/>
        <w:numPr>
          <w:ilvl w:val="0"/>
          <w:numId w:val="1006"/>
        </w:numPr>
      </w:pPr>
      <w:r>
        <w:t xml:space="preserve">Reconcile each report plus approved exclusions to its source total.</w:t>
      </w:r>
      <w:r>
        <w:t xml:space="preserve"> </w:t>
      </w:r>
      <w:r>
        <w:t xml:space="preserve">Investigate missing geography, formula errors and unexplained differences.</w:t>
      </w:r>
    </w:p>
    <w:bookmarkEnd w:id="17"/>
    <w:bookmarkStart w:id="20" w:name="lloyds-runbook-4-transfer-and-review"/>
    <w:p>
      <w:pPr>
        <w:pStyle w:val="Heading2"/>
      </w:pPr>
      <w:r>
        <w:t xml:space="preserve">4. Transfer and review</w:t>
      </w:r>
    </w:p>
    <w:p>
      <w:pPr>
        <w:pStyle w:val="FirstParagraph"/>
      </w:pPr>
      <w:r>
        <w:t xml:space="preserve">Use an approved report-range-to-final-cell map—not cell colour or label matching.</w:t>
      </w:r>
      <w:r>
        <w:t xml:space="preserve"> </w:t>
      </w:r>
      <w:r>
        <w:t xml:space="preserve">Log transfers and obtain reviewer sign-off using the run checklist.</w:t>
      </w:r>
    </w:p>
    <w:p>
      <w:pPr>
        <w:pStyle w:val="BodyText"/>
      </w:pPr>
      <w:r>
        <w:t xml:space="preserve">For formulas and detailed checks, use 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.</w:t>
      </w:r>
      <w:r>
        <w:t xml:space="preserve"> </w:t>
      </w:r>
      <w:r>
        <w:t xml:space="preserve">For decisions and missing final mappings, see</w:t>
      </w:r>
      <w:r>
        <w:t xml:space="preserve"> </w:t>
      </w:r>
      <w:hyperlink r:id="rId18">
        <w:r>
          <w:rPr>
            <w:rStyle w:val="Hyperlink"/>
          </w:rPr>
          <w:t xml:space="preserve">LLOYDS-01–03</w:t>
        </w:r>
      </w:hyperlink>
      <w:r>
        <w:t xml:space="preserve"> </w:t>
      </w:r>
      <w:r>
        <w:t xml:space="preserve">and the</w:t>
      </w:r>
      <w:r>
        <w:t xml:space="preserve"> </w:t>
      </w:r>
      <w:hyperlink r:id="rId19">
        <w:r>
          <w:rPr>
            <w:rStyle w:val="Hyperlink"/>
          </w:rPr>
          <w:t xml:space="preserve">handoff trace</w:t>
        </w:r>
      </w:hyperlink>
      <w:r>
        <w:t xml:space="preserve">.</w:t>
      </w:r>
    </w:p>
    <w:bookmarkEnd w:id="20"/>
    <w:bookmarkEnd w:id="21"/>
    <w:bookmarkStart w:id="27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23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7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8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9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10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11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12"/>
        </w:numPr>
      </w:pPr>
      <w:r>
        <w:t xml:space="preserve">Resolve the blockers listed in your guide before doing the affected step.</w:t>
      </w:r>
    </w:p>
    <w:bookmarkEnd w:id="23"/>
    <w:bookmarkStart w:id="24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13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14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15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6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7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8"/>
        </w:numPr>
      </w:pPr>
      <w:r>
        <w:t xml:space="preserve">Recalculate in Excel and reconcile report totals. Investigate errors, stale values and unexplained movements.</w:t>
      </w:r>
    </w:p>
    <w:bookmarkEnd w:id="24"/>
    <w:bookmarkStart w:id="25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9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20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21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5"/>
    <w:bookmarkStart w:id="26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22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e24520a521577b73e2f98d6ddc64525d320b12b0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22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865d85a521d3e2696c1a42dfd93528077803da83719ca46d3141a0066f77919f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c8a9c52daa6eefdcafe3911ba0d5b4531ce1e799724d82d617ecd3a69838c776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docs/lloyds/runbook.md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07db8a7ffac6347f0ed1e8317d5fd7740e9296a251cdef238dd06f5d862953fe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Lloyd’s/RDS Supplementary Runbook</dc:title>
  <dc:creator/>
  <cp:keywords/>
  <dcterms:created xsi:type="dcterms:W3CDTF">2026-09-14T22:03:53Z</dcterms:created>
  <dcterms:modified xsi:type="dcterms:W3CDTF">2026-09-14T22:03:53Z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