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BSCR Schedule X Runbook</w:t>
      </w:r>
    </w:p>
    <w:p>
      <w:pPr>
        <w:pStyle w:val="Subtitle"/>
      </w:pPr>
      <w:r>
        <w:rPr>
          <w:b w:val="0"/>
          <w:i w:val="0"/>
        </w:rPr>
        <w:t>January 2026</w:t>
      </w:r>
    </w:p>
    <w:p>
      <w:r>
        <w:br w:type="page"/>
      </w:r>
    </w:p>
    <w:p>
      <w:bookmarkStart w:id="1" w:name="bm_bscr_runbook_bscr_reporting_and_reconciliation"/>
      <w:pPr>
        <w:pStyle w:val="Heading1"/>
        <w:keepNext/>
      </w:pPr>
      <w:r>
        <w:rPr>
          <w:b w:val="0"/>
          <w:i w:val="0"/>
        </w:rPr>
        <w:t>BSCR reporting and reconciliation</w:t>
      </w:r>
      <w:bookmarkEnd w:id="1"/>
    </w:p>
    <w:p>
      <w:hyperlink r:id="rId9">
        <w:r>
          <w:rPr>
            <w:color w:val="0563C1"/>
            <w:u w:val="single"/>
          </w:rPr>
          <w:t>Back to reporting index</w:t>
        </w:r>
      </w:hyperlink>
    </w:p>
    <w:p>
      <w:bookmarkStart w:id="2" w:name="bm_bscr_runbook_two_sql_scripts"/>
      <w:pPr>
        <w:pStyle w:val="Heading2"/>
        <w:keepNext/>
      </w:pPr>
      <w:r>
        <w:rPr>
          <w:b w:val="0"/>
          <w:i w:val="0"/>
        </w:rPr>
        <w:t>Two SQL scripts</w:t>
      </w:r>
      <w:bookmarkEnd w:id="2"/>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Script</w:t>
            </w:r>
          </w:p>
        </w:tc>
        <w:tc>
          <w:tcPr>
            <w:tcW w:type="dxa" w:w="5040"/>
            <w:shd w:fill="D9EAF7"/>
          </w:tcPr>
          <w:p>
            <w:r>
              <w:rPr>
                <w:b/>
              </w:rPr>
            </w:r>
            <w:r>
              <w:rPr>
                <w:b/>
                <w:i w:val="0"/>
              </w:rPr>
              <w:t>Purpose</w:t>
            </w:r>
          </w:p>
        </w:tc>
      </w:tr>
      <w:tr>
        <w:tc>
          <w:tcPr>
            <w:tcW w:type="dxa" w:w="5040"/>
          </w:tcPr>
          <w:p>
            <w:r/>
            <w:r>
              <w:rPr>
                <w:rFonts w:ascii="Courier New" w:hAnsi="Courier New"/>
                <w:b w:val="0"/>
                <w:i w:val="0"/>
                <w:sz w:val="18"/>
              </w:rPr>
              <w:t>bscr/sql/bscr-extract-legacy.sql</w:t>
            </w:r>
          </w:p>
        </w:tc>
        <w:tc>
          <w:tcPr>
            <w:tcW w:type="dxa" w:w="5040"/>
          </w:tcPr>
          <w:p>
            <w:r/>
            <w:r>
              <w:rPr>
                <w:b w:val="0"/>
                <w:i w:val="0"/>
              </w:rPr>
              <w:t>Full historical aggregate output, despite the extract name. Earthquake/policy type 1 throughout; preserves the old geocode duplication and cap grouping, plus Python-style case-sensitive geographic matching. Diagnostic only.</w:t>
            </w:r>
          </w:p>
        </w:tc>
      </w:tr>
      <w:tr>
        <w:tc>
          <w:tcPr>
            <w:tcW w:type="dxa" w:w="5040"/>
          </w:tcPr>
          <w:p>
            <w:r/>
            <w:r>
              <w:rPr>
                <w:rFonts w:ascii="Courier New" w:hAnsi="Courier New"/>
                <w:b w:val="0"/>
                <w:i w:val="0"/>
                <w:sz w:val="18"/>
              </w:rPr>
              <w:t>bscr/sql/bscr-output.sql</w:t>
            </w:r>
          </w:p>
        </w:tc>
        <w:tc>
          <w:tcPr>
            <w:tcW w:type="dxa" w:w="5040"/>
          </w:tcPr>
          <w:p>
            <w:r/>
            <w:r>
              <w:rPr>
                <w:b w:val="0"/>
                <w:i w:val="0"/>
              </w:rPr>
              <w:t>Current aggregate with corrected geocode joins, policy-ID grouping and earthquake/wind routing.</w:t>
            </w:r>
          </w:p>
        </w:tc>
      </w:tr>
    </w:tbl>
    <w:p/>
    <w:p>
      <w:r>
        <w:rPr>
          <w:b w:val="0"/>
          <w:i w:val="0"/>
        </w:rPr>
        <w:t>Both return:</w:t>
      </w:r>
    </w:p>
    <w:p>
      <w:r>
        <w:rPr>
          <w:rFonts w:ascii="Courier New" w:hAnsi="Courier New"/>
          <w:b w:val="0"/>
          <w:i w:val="0"/>
          <w:sz w:val="18"/>
        </w:rPr>
        <w:t>cntrycode, bscr_entity, region, sum_pml, sum_net, count_policies, is_geocoded, peril_id</w:t>
      </w:r>
    </w:p>
    <w:p>
      <w:r>
        <w:rPr>
          <w:b w:val="0"/>
          <w:i w:val="0"/>
        </w:rPr>
        <w:t xml:space="preserve">Both default to full USD using source GBP multiplied by </w:t>
      </w:r>
      <w:r>
        <w:rPr>
          <w:rFonts w:ascii="Courier New" w:hAnsi="Courier New"/>
          <w:b w:val="0"/>
          <w:i w:val="0"/>
          <w:sz w:val="18"/>
        </w:rPr>
        <w:t>@gbp_to_usd = 1.35</w:t>
      </w:r>
      <w:r>
        <w:rPr>
          <w:b w:val="0"/>
          <w:i w:val="0"/>
        </w:rPr>
        <w:t>. Neither divides by 1,000,000. The legacy script can be run with FX 1 when comparing directly to the historical source-currency CSV. Keep FX, retention and entity parameters identical when comparing the two scripts.</w:t>
      </w:r>
    </w:p>
    <w:p>
      <w:r>
        <w:rPr>
          <w:b w:val="0"/>
          <w:i w:val="0"/>
        </w:rPr>
        <w:t>The scripts are not otherwise equivalent: the legacy query reconstructs the whole old workflow, including earthquake-only regions and case-sensitive geographic classification. The current query intentionally retains its current peril routing and additional regional output views. Do not attribute every regional difference to the geocode correction.</w:t>
      </w:r>
    </w:p>
    <w:p>
      <w:bookmarkStart w:id="3" w:name="bm_bscr_runbook_automatic_multi_entity_population_workbook"/>
      <w:pPr>
        <w:pStyle w:val="Heading2"/>
        <w:keepNext/>
      </w:pPr>
      <w:r>
        <w:rPr>
          <w:b w:val="0"/>
          <w:i w:val="0"/>
        </w:rPr>
        <w:t>Automatic multi-entity population workbook</w:t>
      </w:r>
      <w:bookmarkEnd w:id="3"/>
    </w:p>
    <w:p>
      <w:r>
        <w:rPr>
          <w:b w:val="0"/>
          <w:i w:val="0"/>
        </w:rPr>
        <w:t xml:space="preserve">Use </w:t>
      </w:r>
      <w:r>
        <w:rPr>
          <w:rFonts w:ascii="Courier New" w:hAnsi="Courier New"/>
          <w:b w:val="0"/>
          <w:i w:val="0"/>
          <w:sz w:val="18"/>
        </w:rPr>
        <w:t>bscr/workbooks/BSCR_Auto_Population.xlsx</w:t>
      </w:r>
      <w:r>
        <w:rPr>
          <w:b w:val="0"/>
          <w:i w:val="0"/>
        </w:rPr>
        <w:t xml:space="preserve">. It is separate from both the reconciliation report and the older </w:t>
      </w:r>
      <w:r>
        <w:rPr>
          <w:rFonts w:ascii="Courier New" w:hAnsi="Courier New"/>
          <w:b w:val="0"/>
          <w:i w:val="0"/>
          <w:sz w:val="18"/>
        </w:rPr>
        <w:t>BSCR_Workings.xlsx</w:t>
      </w:r>
      <w:r>
        <w:rPr>
          <w:b w:val="0"/>
          <w:i w:val="0"/>
        </w:rPr>
        <w:t>; those files are unchanged. The delivered workbook needs Excel only: no Python, macros, external workbook links or database connection.</w:t>
      </w:r>
    </w:p>
    <w:p>
      <w:r>
        <w:rPr>
          <w:b w:val="0"/>
          <w:i w:val="0"/>
        </w:rPr>
        <w:t xml:space="preserve">Tabs: </w:t>
      </w:r>
      <w:r>
        <w:rPr>
          <w:b/>
          <w:i w:val="0"/>
        </w:rPr>
        <w:t>Instructions</w:t>
      </w:r>
      <w:r>
        <w:rPr>
          <w:b w:val="0"/>
          <w:i w:val="0"/>
        </w:rPr>
        <w:t xml:space="preserve">, </w:t>
      </w:r>
      <w:r>
        <w:rPr>
          <w:b/>
          <w:i w:val="0"/>
        </w:rPr>
        <w:t>SQL input</w:t>
      </w:r>
      <w:r>
        <w:rPr>
          <w:b w:val="0"/>
          <w:i w:val="0"/>
        </w:rPr>
        <w:t xml:space="preserve">, </w:t>
      </w:r>
      <w:r>
        <w:rPr>
          <w:b/>
          <w:i w:val="0"/>
        </w:rPr>
        <w:t>33</w:t>
      </w:r>
      <w:r>
        <w:rPr>
          <w:b w:val="0"/>
          <w:i w:val="0"/>
        </w:rPr>
        <w:t xml:space="preserve">, </w:t>
      </w:r>
      <w:r>
        <w:rPr>
          <w:b/>
          <w:i w:val="0"/>
        </w:rPr>
        <w:t>3624</w:t>
      </w:r>
      <w:r>
        <w:rPr>
          <w:b w:val="0"/>
          <w:i w:val="0"/>
        </w:rPr>
        <w:t xml:space="preserve">, </w:t>
      </w:r>
      <w:r>
        <w:rPr>
          <w:b/>
          <w:i w:val="0"/>
        </w:rPr>
        <w:t>HIC</w:t>
      </w:r>
      <w:r>
        <w:rPr>
          <w:b w:val="0"/>
          <w:i w:val="0"/>
        </w:rPr>
        <w:t xml:space="preserve">, </w:t>
      </w:r>
      <w:r>
        <w:rPr>
          <w:b/>
          <w:i w:val="0"/>
        </w:rPr>
        <w:t>HIG</w:t>
      </w:r>
      <w:r>
        <w:rPr>
          <w:b w:val="0"/>
          <w:i w:val="0"/>
        </w:rPr>
        <w:t xml:space="preserve">, </w:t>
      </w:r>
      <w:r>
        <w:rPr>
          <w:b/>
          <w:i w:val="0"/>
        </w:rPr>
        <w:t>HSA</w:t>
      </w:r>
      <w:r>
        <w:rPr>
          <w:b w:val="0"/>
          <w:i w:val="0"/>
        </w:rPr>
        <w:t xml:space="preserve">, </w:t>
      </w:r>
      <w:r>
        <w:rPr>
          <w:b/>
          <w:i w:val="0"/>
        </w:rPr>
        <w:t>Historical checks</w:t>
      </w:r>
      <w:r>
        <w:rPr>
          <w:b w:val="0"/>
          <w:i w:val="0"/>
        </w:rPr>
        <w:t>. Each entity tab stacks the visible sections of Schedules X(a), X(b), X(c) and X(f), with navigation links and print breaks.</w:t>
      </w:r>
    </w:p>
    <w:p>
      <w:r>
        <w:rPr>
          <w:b w:val="0"/>
          <w:i w:val="0"/>
        </w:rPr>
        <w:t xml:space="preserve">1. Run </w:t>
      </w:r>
      <w:r>
        <w:rPr>
          <w:rFonts w:ascii="Courier New" w:hAnsi="Courier New"/>
          <w:b w:val="0"/>
          <w:i w:val="0"/>
          <w:sz w:val="18"/>
        </w:rPr>
        <w:t>bscr-output.sql</w:t>
      </w:r>
      <w:r>
        <w:rPr>
          <w:b w:val="0"/>
          <w:i w:val="0"/>
        </w:rPr>
        <w:t xml:space="preserve"> with all entities selected. The workbook is initially populated with the supplied </w:t>
      </w:r>
      <w:r>
        <w:rPr>
          <w:rFonts w:ascii="Courier New" w:hAnsi="Courier New"/>
          <w:b w:val="0"/>
          <w:i w:val="0"/>
          <w:sz w:val="18"/>
        </w:rPr>
        <w:t>bscr_output_wseq.csv</w:t>
      </w:r>
      <w:r>
        <w:rPr>
          <w:b w:val="0"/>
          <w:i w:val="0"/>
        </w:rPr>
        <w:t>.</w:t>
      </w:r>
    </w:p>
    <w:p>
      <w:r>
        <w:rPr>
          <w:b w:val="0"/>
          <w:i w:val="0"/>
        </w:rPr>
        <w:t xml:space="preserve">2. Clear all previous data rows in the </w:t>
      </w:r>
      <w:r>
        <w:rPr>
          <w:b/>
          <w:i w:val="0"/>
        </w:rPr>
        <w:t>SQL input</w:t>
      </w:r>
      <w:r>
        <w:rPr>
          <w:b w:val="0"/>
          <w:i w:val="0"/>
        </w:rPr>
        <w:t xml:space="preserve"> Excel table. Paste the eight output columns as values below the existing headers. Keep the table; it expands for additional rows. Do not leave stale rows below a shorter replacement. Recalculate in Excel.</w:t>
      </w:r>
    </w:p>
    <w:p>
      <w:r>
        <w:rPr>
          <w:b w:val="0"/>
          <w:i w:val="0"/>
        </w:rPr>
        <w:t xml:space="preserve">3. Leave </w:t>
      </w:r>
      <w:r>
        <w:rPr>
          <w:b/>
          <w:i w:val="0"/>
        </w:rPr>
        <w:t>Input basis</w:t>
      </w:r>
      <w:r>
        <w:rPr>
          <w:b w:val="0"/>
          <w:i w:val="0"/>
        </w:rPr>
        <w:t xml:space="preserve"> as </w:t>
      </w:r>
      <w:r>
        <w:rPr>
          <w:b/>
          <w:i w:val="0"/>
        </w:rPr>
        <w:t>Current SQL</w:t>
      </w:r>
      <w:r>
        <w:rPr>
          <w:b w:val="0"/>
          <w:i w:val="0"/>
        </w:rPr>
        <w:t xml:space="preserve">. </w:t>
      </w:r>
      <w:r>
        <w:rPr>
          <w:b/>
          <w:i w:val="0"/>
        </w:rPr>
        <w:t>Legacy check</w:t>
      </w:r>
      <w:r>
        <w:rPr>
          <w:b w:val="0"/>
          <w:i w:val="0"/>
        </w:rPr>
        <w:t xml:space="preserve"> is only for the retained legacy query's eight-column, USD-converted output.</w:t>
      </w:r>
    </w:p>
    <w:p>
      <w:r>
        <w:rPr>
          <w:b w:val="0"/>
          <w:i w:val="0"/>
        </w:rPr>
        <w:t>4. Review input controls. Unknown/blank entities, missing entity populations, invalid flags and nonnumeric measures require attention. The supplied current output contains two blank-entity wind rows; they are exposed by the controls, not silently allocated to an entity.</w:t>
      </w:r>
    </w:p>
    <w:p>
      <w:r>
        <w:rPr>
          <w:b w:val="0"/>
          <w:i w:val="0"/>
        </w:rPr>
        <w:t>5. Green cells are automatic and locked. Blue fields are manual and start blank: premiums, models/EP losses, questionnaires and narratives. Old template values are not silently carried into a new return.</w:t>
      </w:r>
    </w:p>
    <w:p>
      <w:r>
        <w:rPr>
          <w:b w:val="0"/>
          <w:i w:val="0"/>
        </w:rPr>
        <w:t xml:space="preserve">The agreed X(f) proxy is applied consistently: geocoded rows are modellable/modelled/detailed; ungeocoded rows are not modellable/not modelled/data deficient. US uses earthquake </w:t>
      </w:r>
      <w:r>
        <w:rPr>
          <w:rFonts w:ascii="Courier New" w:hAnsi="Courier New"/>
          <w:b w:val="0"/>
          <w:i w:val="0"/>
          <w:sz w:val="18"/>
        </w:rPr>
        <w:t>ALL</w:t>
      </w:r>
      <w:r>
        <w:rPr>
          <w:b w:val="0"/>
          <w:i w:val="0"/>
        </w:rPr>
        <w:t xml:space="preserve"> rows with country US; all-other contracts are </w:t>
      </w:r>
      <w:r>
        <w:rPr>
          <w:rFonts w:ascii="Courier New" w:hAnsi="Courier New"/>
          <w:b w:val="0"/>
          <w:i w:val="0"/>
          <w:sz w:val="18"/>
        </w:rPr>
        <w:t>ALL</w:t>
      </w:r>
      <w:r>
        <w:rPr>
          <w:b w:val="0"/>
          <w:i w:val="0"/>
        </w:rPr>
        <w:t xml:space="preserve"> minus US with the same geocode selection. Historical repeated schedule presentations are retained. Other modelability categories are zero under this proxy, not copied from April reallocations. Exposure is mapped to the historical all-other-lines fields; statutory property-catastrophe fields require separate manual input.</w:t>
      </w:r>
    </w:p>
    <w:p>
      <w:r>
        <w:rPr>
          <w:b w:val="0"/>
          <w:i w:val="0"/>
        </w:rPr>
        <w:t>SQL money is already USD: automatic formulas divide by 1,000,000 once and never apply FX again. Counts remain the SQL grouped-row count.</w:t>
      </w:r>
    </w:p>
    <w:p>
      <w:r>
        <w:rPr>
          <w:b/>
          <w:i w:val="0"/>
        </w:rPr>
        <w:t>Historical checks</w:t>
      </w:r>
      <w:r>
        <w:rPr>
          <w:b w:val="0"/>
          <w:i w:val="0"/>
        </w:rPr>
        <w:t xml:space="preserve"> shows April saved values, the old-output baseline and live generated values separately. With legacy input, formulas reproduce the historical baseline. All five April overall counts and all 46 populated regional gross/net limits match that baseline; April's rounded totals and manual classification splits can differ. Current-input differences remain visible and are not treated as proof the corrected calculation is wrong.</w:t>
      </w:r>
    </w:p>
    <w:p>
      <w:r>
        <w:rPr>
          <w:b w:val="0"/>
          <w:i w:val="0"/>
        </w:rPr>
        <w:t xml:space="preserve">The builder </w:t>
      </w:r>
      <w:r>
        <w:rPr>
          <w:rFonts w:ascii="Courier New" w:hAnsi="Courier New"/>
          <w:b w:val="0"/>
          <w:i w:val="0"/>
          <w:sz w:val="18"/>
        </w:rPr>
        <w:t>bscr/tools/build_population_workbook.py</w:t>
      </w:r>
      <w:r>
        <w:rPr>
          <w:b w:val="0"/>
          <w:i w:val="0"/>
        </w:rPr>
        <w:t xml:space="preserve"> is for local maintenance only. It verifies 630 automatic mappings with an independent Excel-function engine using both current and legacy data, and stores cached results so the delivered workbook opens populated. Excel remains responsible for refreshing formulas after subsequent pastes. Native Excel rendering/recalculation was not available during local verification.</w:t>
      </w:r>
    </w:p>
    <w:p>
      <w:bookmarkStart w:id="4" w:name="bm_bscr_runbook_concise_reconciliation_workbook"/>
      <w:pPr>
        <w:pStyle w:val="Heading2"/>
        <w:keepNext/>
      </w:pPr>
      <w:r>
        <w:rPr>
          <w:b w:val="0"/>
          <w:i w:val="0"/>
        </w:rPr>
        <w:t>Concise reconciliation workbook</w:t>
      </w:r>
      <w:bookmarkEnd w:id="4"/>
    </w:p>
    <w:p>
      <w:r>
        <w:rPr>
          <w:b w:val="0"/>
          <w:i w:val="0"/>
        </w:rPr>
        <w:t xml:space="preserve">Use </w:t>
      </w:r>
      <w:r>
        <w:rPr>
          <w:rFonts w:ascii="Courier New" w:hAnsi="Courier New"/>
          <w:b w:val="0"/>
          <w:i w:val="0"/>
          <w:sz w:val="18"/>
        </w:rPr>
        <w:t>bscr/reconcile/results/BSCR_Reconciliation.xlsx</w:t>
      </w:r>
      <w:r>
        <w:rPr>
          <w:b w:val="0"/>
          <w:i w:val="0"/>
        </w:rPr>
        <w:t>.</w:t>
      </w:r>
    </w:p>
    <w:p>
      <w:r>
        <w:rPr>
          <w:b w:val="0"/>
          <w:i w:val="0"/>
        </w:rPr>
        <w:t xml:space="preserve">• </w:t>
      </w:r>
      <w:r>
        <w:rPr>
          <w:b/>
          <w:i w:val="0"/>
        </w:rPr>
        <w:t>What this tests:</w:t>
      </w:r>
      <w:r>
        <w:rPr>
          <w:b w:val="0"/>
          <w:i w:val="0"/>
        </w:rPr>
        <w:t xml:space="preserve"> the evidence chain, pass criteria, units and limits.</w:t>
      </w:r>
    </w:p>
    <w:p>
      <w:r>
        <w:rPr>
          <w:b w:val="0"/>
          <w:i w:val="0"/>
        </w:rPr>
        <w:t xml:space="preserve">• </w:t>
      </w:r>
      <w:r>
        <w:rPr>
          <w:b/>
          <w:i w:val="0"/>
        </w:rPr>
        <w:t>Schedule X(f):</w:t>
      </w:r>
      <w:r>
        <w:rPr>
          <w:b w:val="0"/>
          <w:i w:val="0"/>
        </w:rPr>
        <w:t xml:space="preserve"> the 33 original and 3624/HIC/HIG/HSA v2 templates reconciled to the old saved output and legacy query. Fifteen summary count/gross/net values are shown first; expand the supporting rows for all 528 populated count/exposure cells tested, including source-cell references.</w:t>
      </w:r>
    </w:p>
    <w:p>
      <w:r>
        <w:rPr>
          <w:b w:val="0"/>
          <w:i w:val="0"/>
        </w:rPr>
        <w:t xml:space="preserve">• </w:t>
      </w:r>
      <w:r>
        <w:rPr>
          <w:b/>
          <w:i w:val="0"/>
        </w:rPr>
        <w:t>Counts:</w:t>
      </w:r>
      <w:r>
        <w:rPr>
          <w:b w:val="0"/>
          <w:i w:val="0"/>
        </w:rPr>
        <w:t xml:space="preserve"> old saved output, legacy query, corrected query and new saved output side by side; the change is corrected minus legacy.</w:t>
      </w:r>
    </w:p>
    <w:p>
      <w:r>
        <w:rPr>
          <w:b w:val="0"/>
          <w:i w:val="0"/>
        </w:rPr>
        <w:t xml:space="preserve">• </w:t>
      </w:r>
      <w:r>
        <w:rPr>
          <w:b/>
          <w:i w:val="0"/>
        </w:rPr>
        <w:t>Gross exposure / Net exposure:</w:t>
      </w:r>
      <w:r>
        <w:rPr>
          <w:b w:val="0"/>
          <w:i w:val="0"/>
        </w:rPr>
        <w:t xml:space="preserve"> the same comparison in USD millions.</w:t>
      </w:r>
    </w:p>
    <w:p>
      <w:r>
        <w:rPr>
          <w:b w:val="0"/>
          <w:i w:val="0"/>
        </w:rPr>
        <w:t xml:space="preserve">The February templates' cached amounts match the old </w:t>
      </w:r>
      <w:r>
        <w:rPr>
          <w:b/>
          <w:i w:val="0"/>
        </w:rPr>
        <w:t>pre-FX</w:t>
      </w:r>
      <w:r>
        <w:rPr>
          <w:b w:val="0"/>
          <w:i w:val="0"/>
        </w:rPr>
        <w:t xml:space="preserve"> output divided by 1,000. Their USD headings are not supported by those saved monetary values: the later USD workings' 1.35 conversion is missing. This currency mismatch is separate from the thousand/million scaling issue and the geocoding correction. The Schedule X(f) summary shows the actual saved template value, matching pre-FX output/query values, the USD value after multiplying by 1.35 without changing scale, and finally USD millions after dividing by 1,000. Counts are unscaled. The expandable checks use normalized USDm to establish lineage; a numeric match after normalization does not validate the template as saved. Premiums, EP curves, narratives, percentage fields, unpopulated/zero-placeholder categories and later April reclassifications are outside this Schedule X(f) test.</w:t>
      </w:r>
    </w:p>
    <w:p>
      <w:r>
        <w:rPr>
          <w:b w:val="0"/>
          <w:i w:val="0"/>
        </w:rPr>
        <w:t>Verified on the supplied source snapshot:</w:t>
      </w:r>
    </w:p>
    <w:p>
      <w:r>
        <w:rPr>
          <w:b w:val="0"/>
          <w:i w:val="0"/>
        </w:rPr>
        <w:t xml:space="preserve">1. Original embedded SQL plus original Python aggregation reproduces all 452 rows of </w:t>
      </w:r>
      <w:r>
        <w:rPr>
          <w:rFonts w:ascii="Courier New" w:hAnsi="Courier New"/>
          <w:b w:val="0"/>
          <w:i w:val="0"/>
          <w:sz w:val="18"/>
        </w:rPr>
        <w:t>bscr/output/bscr-output.csv</w:t>
      </w:r>
      <w:r>
        <w:rPr>
          <w:b w:val="0"/>
          <w:i w:val="0"/>
        </w:rPr>
        <w:t>, with exact counts and monetary differences below one cent in source currency.</w:t>
      </w:r>
    </w:p>
    <w:p>
      <w:r>
        <w:rPr>
          <w:b w:val="0"/>
          <w:i w:val="0"/>
        </w:rPr>
        <w:t>2. The retained legacy SQL reproduces those 452 rows after the documented FX conversion and matches all 49 groups in the later March USD workings.</w:t>
      </w:r>
    </w:p>
    <w:p>
      <w:r>
        <w:rPr>
          <w:b w:val="0"/>
          <w:i w:val="0"/>
        </w:rPr>
        <w:t xml:space="preserve">3. Current SQL reproduces all 737 rows of </w:t>
      </w:r>
      <w:r>
        <w:rPr>
          <w:rFonts w:ascii="Courier New" w:hAnsi="Courier New"/>
          <w:b w:val="0"/>
          <w:i w:val="0"/>
          <w:sz w:val="18"/>
        </w:rPr>
        <w:t>bscr/reconcile/bscr_output_wseq.csv</w:t>
      </w:r>
      <w:r>
        <w:rPr>
          <w:b w:val="0"/>
          <w:i w:val="0"/>
        </w:rPr>
        <w:t>, with exact counts and monetary differences below one cent.</w:t>
      </w:r>
    </w:p>
    <w:p>
      <w:r>
        <w:rPr>
          <w:b w:val="0"/>
          <w:i w:val="0"/>
        </w:rPr>
        <w:t xml:space="preserve">4. Changing only the geocode join explains the whole </w:t>
      </w:r>
      <w:r>
        <w:rPr>
          <w:rFonts w:ascii="Courier New" w:hAnsi="Courier New"/>
          <w:b w:val="0"/>
          <w:i w:val="0"/>
          <w:sz w:val="18"/>
        </w:rPr>
        <w:t>ALL</w:t>
      </w:r>
      <w:r>
        <w:rPr>
          <w:b w:val="0"/>
          <w:i w:val="0"/>
        </w:rPr>
        <w:t xml:space="preserve"> reduction: USD 4.813bn gross, USD 3.051bn net and 285 grouped output rows. All 184 affected accounts have both geocoded and ungeocoded earthquake locations.</w:t>
      </w:r>
    </w:p>
    <w:p>
      <w:r>
        <w:rPr>
          <w:b w:val="0"/>
          <w:i w:val="0"/>
        </w:rPr>
        <w:t>5. Policy-ID cap grouping has no material effect on this snapshot: no account has multiple type-1 policies. This does not establish that policy identity is unnecessary on other populations.</w:t>
      </w:r>
    </w:p>
    <w:p>
      <w:r>
        <w:rPr>
          <w:b w:val="0"/>
          <w:i w:val="0"/>
        </w:rPr>
        <w:t xml:space="preserve">These are local DuckDB replays checked against the saved outputs, not live SQL Server executions. SQL Server's case-insensitive comparisons were reproduced locally; the legacy query's geographic comparisons deliberately remain case-sensitive to reproduce Python. </w:t>
      </w:r>
      <w:r>
        <w:rPr>
          <w:rFonts w:ascii="Courier New" w:hAnsi="Courier New"/>
          <w:b w:val="0"/>
          <w:i w:val="0"/>
          <w:sz w:val="18"/>
        </w:rPr>
        <w:t>count_policies</w:t>
      </w:r>
      <w:r>
        <w:rPr>
          <w:b w:val="0"/>
          <w:i w:val="0"/>
        </w:rPr>
        <w:t xml:space="preserve"> counts grouped source rows, not verified distinct contracts. This is numerical reconciliation, not approval of all policy terms, modelability classifications or regulatory filing figures.</w:t>
      </w:r>
    </w:p>
    <w:p>
      <w:bookmarkStart w:id="5" w:name="bm_bscr_runbook_preserve_the_source_evidence"/>
      <w:pPr>
        <w:pStyle w:val="Heading2"/>
        <w:keepNext/>
      </w:pPr>
      <w:r>
        <w:rPr>
          <w:b w:val="0"/>
          <w:i w:val="0"/>
        </w:rPr>
        <w:t>Preserve the source evidence</w:t>
      </w:r>
      <w:bookmarkEnd w:id="5"/>
    </w:p>
    <w:p>
      <w:r>
        <w:rPr>
          <w:b w:val="0"/>
          <w:i w:val="0"/>
        </w:rPr>
        <w:t xml:space="preserve">The six uploaded CSVs remain under </w:t>
      </w:r>
      <w:r>
        <w:rPr>
          <w:rFonts w:ascii="Courier New" w:hAnsi="Courier New"/>
          <w:b w:val="0"/>
          <w:i w:val="0"/>
          <w:sz w:val="18"/>
        </w:rPr>
        <w:t>bscr/sql/edm-parquet/</w:t>
      </w:r>
      <w:r>
        <w:rPr>
          <w:b w:val="0"/>
          <w:i w:val="0"/>
        </w:rPr>
        <w:t>; the folder name is historical and the files are CSV, not Parquet: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File</w:t>
            </w:r>
          </w:p>
        </w:tc>
        <w:tc>
          <w:tcPr>
            <w:tcW w:type="dxa" w:w="5040"/>
            <w:shd w:fill="D9EAF7"/>
          </w:tcPr>
          <w:p>
            <w:r>
              <w:rPr>
                <w:b/>
              </w:rPr>
            </w:r>
            <w:r>
              <w:rPr>
                <w:b/>
                <w:i w:val="0"/>
              </w:rPr>
              <w:t>Verified rows</w:t>
            </w:r>
          </w:p>
        </w:tc>
      </w:tr>
      <w:tr>
        <w:tc>
          <w:tcPr>
            <w:tcW w:type="dxa" w:w="5040"/>
          </w:tcPr>
          <w:p>
            <w:r/>
            <w:r>
              <w:rPr>
                <w:rFonts w:ascii="Courier New" w:hAnsi="Courier New"/>
                <w:b w:val="0"/>
                <w:i w:val="0"/>
                <w:sz w:val="18"/>
              </w:rPr>
              <w:t>01_accgrp.csv</w:t>
            </w:r>
          </w:p>
        </w:tc>
        <w:tc>
          <w:tcPr>
            <w:tcW w:type="dxa" w:w="5040"/>
          </w:tcPr>
          <w:p>
            <w:r/>
            <w:r>
              <w:rPr>
                <w:b w:val="0"/>
                <w:i w:val="0"/>
              </w:rPr>
              <w:t>354,830</w:t>
            </w:r>
          </w:p>
        </w:tc>
      </w:tr>
      <w:tr>
        <w:tc>
          <w:tcPr>
            <w:tcW w:type="dxa" w:w="5040"/>
          </w:tcPr>
          <w:p>
            <w:r/>
            <w:r>
              <w:rPr>
                <w:rFonts w:ascii="Courier New" w:hAnsi="Courier New"/>
                <w:b w:val="0"/>
                <w:i w:val="0"/>
                <w:sz w:val="18"/>
              </w:rPr>
              <w:t>02_policy.csv</w:t>
            </w:r>
          </w:p>
        </w:tc>
        <w:tc>
          <w:tcPr>
            <w:tcW w:type="dxa" w:w="5040"/>
          </w:tcPr>
          <w:p>
            <w:r/>
            <w:r>
              <w:rPr>
                <w:b w:val="0"/>
                <w:i w:val="0"/>
              </w:rPr>
              <w:t>662,306</w:t>
            </w:r>
          </w:p>
        </w:tc>
      </w:tr>
      <w:tr>
        <w:tc>
          <w:tcPr>
            <w:tcW w:type="dxa" w:w="5040"/>
          </w:tcPr>
          <w:p>
            <w:r/>
            <w:r>
              <w:rPr>
                <w:rFonts w:ascii="Courier New" w:hAnsi="Courier New"/>
                <w:b w:val="0"/>
                <w:i w:val="0"/>
                <w:sz w:val="18"/>
              </w:rPr>
              <w:t>03_loc.csv</w:t>
            </w:r>
          </w:p>
        </w:tc>
        <w:tc>
          <w:tcPr>
            <w:tcW w:type="dxa" w:w="5040"/>
          </w:tcPr>
          <w:p>
            <w:r/>
            <w:r>
              <w:rPr>
                <w:b w:val="0"/>
                <w:i w:val="0"/>
              </w:rPr>
              <w:t>1,008,151</w:t>
            </w:r>
          </w:p>
        </w:tc>
      </w:tr>
      <w:tr>
        <w:tc>
          <w:tcPr>
            <w:tcW w:type="dxa" w:w="5040"/>
          </w:tcPr>
          <w:p>
            <w:r/>
            <w:r>
              <w:rPr>
                <w:rFonts w:ascii="Courier New" w:hAnsi="Courier New"/>
                <w:b w:val="0"/>
                <w:i w:val="0"/>
                <w:sz w:val="18"/>
              </w:rPr>
              <w:t>04_loccvg.csv</w:t>
            </w:r>
          </w:p>
        </w:tc>
        <w:tc>
          <w:tcPr>
            <w:tcW w:type="dxa" w:w="5040"/>
          </w:tcPr>
          <w:p>
            <w:r/>
            <w:r>
              <w:rPr>
                <w:b w:val="0"/>
                <w:i w:val="0"/>
              </w:rPr>
              <w:t>1,053,391</w:t>
            </w:r>
          </w:p>
        </w:tc>
      </w:tr>
      <w:tr>
        <w:tc>
          <w:tcPr>
            <w:tcW w:type="dxa" w:w="5040"/>
          </w:tcPr>
          <w:p>
            <w:r/>
            <w:r>
              <w:rPr>
                <w:rFonts w:ascii="Courier New" w:hAnsi="Courier New"/>
                <w:b w:val="0"/>
                <w:i w:val="0"/>
                <w:sz w:val="18"/>
              </w:rPr>
              <w:t>source_metadata.csv</w:t>
            </w:r>
          </w:p>
        </w:tc>
        <w:tc>
          <w:tcPr>
            <w:tcW w:type="dxa" w:w="5040"/>
          </w:tcPr>
          <w:p>
            <w:r/>
            <w:r>
              <w:rPr>
                <w:b w:val="0"/>
                <w:i w:val="0"/>
              </w:rPr>
              <w:t>1 metadata record</w:t>
            </w:r>
          </w:p>
        </w:tc>
      </w:tr>
      <w:tr>
        <w:tc>
          <w:tcPr>
            <w:tcW w:type="dxa" w:w="5040"/>
          </w:tcPr>
          <w:p>
            <w:r/>
            <w:r>
              <w:rPr>
                <w:rFonts w:ascii="Courier New" w:hAnsi="Courier New"/>
                <w:b w:val="0"/>
                <w:i w:val="0"/>
                <w:sz w:val="18"/>
              </w:rPr>
              <w:t>06_schema.csv</w:t>
            </w:r>
          </w:p>
        </w:tc>
        <w:tc>
          <w:tcPr>
            <w:tcW w:type="dxa" w:w="5040"/>
          </w:tcPr>
          <w:p>
            <w:r/>
            <w:r>
              <w:rPr>
                <w:b w:val="0"/>
                <w:i w:val="0"/>
              </w:rPr>
              <w:t>Source column definitions</w:t>
            </w:r>
          </w:p>
        </w:tc>
      </w:tr>
    </w:tbl>
    <w:p/>
    <w:p>
      <w:r>
        <w:rPr>
          <w:b w:val="0"/>
          <w:i w:val="0"/>
        </w:rPr>
        <w:t xml:space="preserve">Do not deduplicate, apply FX, edit or resave the raw files in Excel. Preserve empty strings separately from SQL NULL representations. The supplied state field has 30 literal </w:t>
      </w:r>
      <w:r>
        <w:rPr>
          <w:rFonts w:ascii="Courier New" w:hAnsi="Courier New"/>
          <w:b w:val="0"/>
          <w:i w:val="0"/>
          <w:sz w:val="18"/>
        </w:rPr>
        <w:t>NULL</w:t>
      </w:r>
      <w:r>
        <w:rPr>
          <w:b w:val="0"/>
          <w:i w:val="0"/>
        </w:rPr>
        <w:t xml:space="preserve"> markers in French/German locations; raw lexical values were preserved for inspection. Source metadata identifies </w:t>
      </w:r>
      <w:r>
        <w:rPr>
          <w:rFonts w:ascii="Courier New" w:hAnsi="Courier New"/>
          <w:b w:val="0"/>
          <w:i w:val="0"/>
          <w:sz w:val="18"/>
        </w:rPr>
        <w:t>HISCO_UKEU_01JAN26_010126_ROLLUP_ByLOB_GC_EDM</w:t>
      </w:r>
      <w:r>
        <w:rPr>
          <w:b w:val="0"/>
          <w:i w:val="0"/>
        </w:rPr>
        <w:t xml:space="preserve"> and its case-insensitive collation. All four source counts match the metadata.</w:t>
      </w:r>
    </w:p>
    <w:p>
      <w:r>
        <w:rPr>
          <w:b w:val="0"/>
          <w:i w:val="0"/>
        </w:rPr>
        <w:t xml:space="preserve">Historical input workbooks and saved output CSVs are retained unchanged. </w:t>
      </w:r>
      <w:r>
        <w:rPr>
          <w:rFonts w:ascii="Courier New" w:hAnsi="Courier New"/>
          <w:b w:val="0"/>
          <w:i w:val="0"/>
          <w:sz w:val="18"/>
        </w:rPr>
        <w:t>workings_old_report.xlsx</w:t>
      </w:r>
      <w:r>
        <w:rPr>
          <w:b w:val="0"/>
          <w:i w:val="0"/>
        </w:rPr>
        <w:t xml:space="preserve"> is identical to </w:t>
      </w:r>
      <w:r>
        <w:rPr>
          <w:rFonts w:ascii="Courier New" w:hAnsi="Courier New"/>
          <w:b w:val="0"/>
          <w:i w:val="0"/>
          <w:sz w:val="18"/>
        </w:rPr>
        <w:t>Workings_with_geocodingFW.xlsx</w:t>
      </w:r>
      <w:r>
        <w:rPr>
          <w:b w:val="0"/>
          <w:i w:val="0"/>
        </w:rPr>
        <w:t xml:space="preserve">. The earlier workings divide by 1,000; FW divides by 1,000,000. The later </w:t>
      </w:r>
      <w:r>
        <w:rPr>
          <w:rFonts w:ascii="Courier New" w:hAnsi="Courier New"/>
          <w:b w:val="0"/>
          <w:i w:val="0"/>
          <w:sz w:val="18"/>
        </w:rPr>
        <w:t>Workings_with_geocodingFW - Including blanks USD.xlsx</w:t>
      </w:r>
      <w:r>
        <w:rPr>
          <w:b w:val="0"/>
          <w:i w:val="0"/>
        </w:rPr>
        <w:t xml:space="preserve"> applies 1.35 FX and restores US exposure to NA hurricane. Its 49 raw groups match the historical CSV without excluding US. Do not reproduce the earlier workbook's omission as a production rule.</w:t>
      </w:r>
    </w:p>
    <w:p>
      <w:r>
        <w:rPr>
          <w:b w:val="0"/>
          <w:i w:val="0"/>
        </w:rPr>
        <w:t>The five April templates retain the historical total counts. All 46 populated regional gross/net exposure limits match the later USD workings within USD 1. Their modelability allocations, premiums, EP placeholders, cached errors and external links remain separate controls; dates do not prove submission.</w:t>
      </w:r>
    </w:p>
    <w:p>
      <w:r>
        <w:rPr>
          <w:b w:val="0"/>
          <w:i w:val="0"/>
        </w:rPr>
        <w:t xml:space="preserve">The original Marimo application remains at </w:t>
      </w:r>
      <w:r>
        <w:rPr>
          <w:rFonts w:ascii="Courier New" w:hAnsi="Courier New"/>
          <w:b w:val="0"/>
          <w:i w:val="0"/>
          <w:sz w:val="18"/>
        </w:rPr>
        <w:t>bscr/BSCR_UKEU_original.py</w:t>
      </w:r>
      <w:r>
        <w:rPr>
          <w:b w:val="0"/>
          <w:i w:val="0"/>
        </w:rPr>
        <w:t xml:space="preserve"> and </w:t>
      </w:r>
      <w:r>
        <w:rPr>
          <w:rFonts w:ascii="Courier New" w:hAnsi="Courier New"/>
          <w:b w:val="0"/>
          <w:i w:val="0"/>
          <w:sz w:val="18"/>
        </w:rPr>
        <w:t>bscr/old-process/BSCR_UKEU.py</w:t>
      </w:r>
      <w:r>
        <w:rPr>
          <w:b w:val="0"/>
          <w:i w:val="0"/>
        </w:rPr>
        <w:t xml:space="preserve">. The separate </w:t>
      </w:r>
      <w:r>
        <w:rPr>
          <w:rFonts w:ascii="Courier New" w:hAnsi="Courier New"/>
          <w:b w:val="0"/>
          <w:i w:val="0"/>
          <w:sz w:val="18"/>
        </w:rPr>
        <w:t>bscr/BSCR_UKEU.py</w:t>
      </w:r>
      <w:r>
        <w:rPr>
          <w:b w:val="0"/>
          <w:i w:val="0"/>
        </w:rPr>
        <w:t xml:space="preserve"> is an older seven-column CSV workflow, not a consumer of these eight-column query outputs.</w:t>
      </w:r>
    </w:p>
    <w:p>
      <w:bookmarkStart w:id="6" w:name="bm_bscr_runbook_running_the_retained_queries"/>
      <w:pPr>
        <w:pStyle w:val="Heading2"/>
        <w:keepNext/>
      </w:pPr>
      <w:r>
        <w:rPr>
          <w:b w:val="0"/>
          <w:i w:val="0"/>
        </w:rPr>
        <w:t>Running the retained queries</w:t>
      </w:r>
      <w:bookmarkEnd w:id="6"/>
    </w:p>
    <w:p>
      <w:r>
        <w:rPr>
          <w:b w:val="0"/>
          <w:i w:val="0"/>
        </w:rPr>
        <w:t>1. Select the approved EDM database/snapshot in your SQL client.</w:t>
      </w:r>
    </w:p>
    <w:p>
      <w:r>
        <w:rPr>
          <w:b w:val="0"/>
          <w:i w:val="0"/>
        </w:rPr>
        <w:t xml:space="preserve">2. Run </w:t>
      </w:r>
      <w:r>
        <w:rPr>
          <w:rFonts w:ascii="Courier New" w:hAnsi="Courier New"/>
          <w:b w:val="0"/>
          <w:i w:val="0"/>
          <w:sz w:val="18"/>
        </w:rPr>
        <w:t>bscr-extract-legacy.sql</w:t>
      </w:r>
      <w:r>
        <w:rPr>
          <w:b w:val="0"/>
          <w:i w:val="0"/>
        </w:rPr>
        <w:t xml:space="preserve"> for the historical comparison and </w:t>
      </w:r>
      <w:r>
        <w:rPr>
          <w:rFonts w:ascii="Courier New" w:hAnsi="Courier New"/>
          <w:b w:val="0"/>
          <w:i w:val="0"/>
          <w:sz w:val="18"/>
        </w:rPr>
        <w:t>bscr-output.sql</w:t>
      </w:r>
      <w:r>
        <w:rPr>
          <w:b w:val="0"/>
          <w:i w:val="0"/>
        </w:rPr>
        <w:t xml:space="preserve"> for the corrected result. Both are read-only.</w:t>
      </w:r>
    </w:p>
    <w:p>
      <w:r>
        <w:rPr>
          <w:b w:val="0"/>
          <w:i w:val="0"/>
        </w:rPr>
        <w:t>3. Use the same frozen source and the same FX, retention and entity settings.</w:t>
      </w:r>
    </w:p>
    <w:p>
      <w:r>
        <w:rPr>
          <w:b w:val="0"/>
          <w:i w:val="0"/>
        </w:rPr>
        <w:t>4. Save results separately; retain all eight headers and preserve NULLs.</w:t>
      </w:r>
    </w:p>
    <w:p>
      <w:r>
        <w:rPr>
          <w:b w:val="0"/>
          <w:i w:val="0"/>
        </w:rPr>
        <w:t xml:space="preserve">5. Compare </w:t>
      </w:r>
      <w:r>
        <w:rPr>
          <w:rFonts w:ascii="Courier New" w:hAnsi="Courier New"/>
          <w:b w:val="0"/>
          <w:i w:val="0"/>
          <w:sz w:val="18"/>
        </w:rPr>
        <w:t>ALL</w:t>
      </w:r>
      <w:r>
        <w:rPr>
          <w:b w:val="0"/>
          <w:i w:val="0"/>
        </w:rPr>
        <w:t xml:space="preserve"> for earthquake totals and compare regional populations separately. Never sum across overlapping regional rows.</w:t>
      </w:r>
    </w:p>
    <w:p>
      <w:r>
        <w:rPr>
          <w:b w:val="0"/>
          <w:i w:val="0"/>
        </w:rPr>
        <w:t xml:space="preserve">Current routing: wind (2) feeds </w:t>
      </w:r>
      <w:r>
        <w:rPr>
          <w:rFonts w:ascii="Courier New" w:hAnsi="Courier New"/>
          <w:b w:val="0"/>
          <w:i w:val="0"/>
          <w:sz w:val="18"/>
        </w:rPr>
        <w:t>is_nahu</w:t>
      </w:r>
      <w:r>
        <w:rPr>
          <w:b w:val="0"/>
          <w:i w:val="0"/>
        </w:rPr>
        <w:t xml:space="preserve">, </w:t>
      </w:r>
      <w:r>
        <w:rPr>
          <w:rFonts w:ascii="Courier New" w:hAnsi="Courier New"/>
          <w:b w:val="0"/>
          <w:i w:val="0"/>
          <w:sz w:val="18"/>
        </w:rPr>
        <w:t>is_eu</w:t>
      </w:r>
      <w:r>
        <w:rPr>
          <w:b w:val="0"/>
          <w:i w:val="0"/>
        </w:rPr>
        <w:t xml:space="preserve">, </w:t>
      </w:r>
      <w:r>
        <w:rPr>
          <w:rFonts w:ascii="Courier New" w:hAnsi="Courier New"/>
          <w:b w:val="0"/>
          <w:i w:val="0"/>
          <w:sz w:val="18"/>
        </w:rPr>
        <w:t>is_jp</w:t>
      </w:r>
      <w:r>
        <w:rPr>
          <w:b w:val="0"/>
          <w:i w:val="0"/>
        </w:rPr>
        <w:t xml:space="preserve">; earthquake (1) feeds </w:t>
      </w:r>
      <w:r>
        <w:rPr>
          <w:rFonts w:ascii="Courier New" w:hAnsi="Courier New"/>
          <w:b w:val="0"/>
          <w:i w:val="0"/>
          <w:sz w:val="18"/>
        </w:rPr>
        <w:t>ALL</w:t>
      </w:r>
      <w:r>
        <w:rPr>
          <w:b w:val="0"/>
          <w:i w:val="0"/>
        </w:rPr>
        <w:t xml:space="preserve">, </w:t>
      </w:r>
      <w:r>
        <w:rPr>
          <w:rFonts w:ascii="Courier New" w:hAnsi="Courier New"/>
          <w:b w:val="0"/>
          <w:i w:val="0"/>
          <w:sz w:val="18"/>
        </w:rPr>
        <w:t>is_na_eq</w:t>
      </w:r>
      <w:r>
        <w:rPr>
          <w:b w:val="0"/>
          <w:i w:val="0"/>
        </w:rPr>
        <w:t xml:space="preserve">, </w:t>
      </w:r>
      <w:r>
        <w:rPr>
          <w:rFonts w:ascii="Courier New" w:hAnsi="Courier New"/>
          <w:b w:val="0"/>
          <w:i w:val="0"/>
          <w:sz w:val="18"/>
        </w:rPr>
        <w:t>is_jp_eq</w:t>
      </w:r>
      <w:r>
        <w:rPr>
          <w:b w:val="0"/>
          <w:i w:val="0"/>
        </w:rPr>
        <w:t xml:space="preserve">, </w:t>
      </w:r>
      <w:r>
        <w:rPr>
          <w:rFonts w:ascii="Courier New" w:hAnsi="Courier New"/>
          <w:b w:val="0"/>
          <w:i w:val="0"/>
          <w:sz w:val="18"/>
        </w:rPr>
        <w:t>is_us_all</w:t>
      </w:r>
      <w:r>
        <w:rPr>
          <w:b w:val="0"/>
          <w:i w:val="0"/>
        </w:rPr>
        <w:t xml:space="preserve">, </w:t>
      </w:r>
      <w:r>
        <w:rPr>
          <w:rFonts w:ascii="Courier New" w:hAnsi="Courier New"/>
          <w:b w:val="0"/>
          <w:i w:val="0"/>
          <w:sz w:val="18"/>
        </w:rPr>
        <w:t>is_non_us</w:t>
      </w:r>
      <w:r>
        <w:rPr>
          <w:b w:val="0"/>
          <w:i w:val="0"/>
        </w:rPr>
        <w:t xml:space="preserve">. The legacy script uses earthquake for every retained regional label and does not add </w:t>
      </w:r>
      <w:r>
        <w:rPr>
          <w:rFonts w:ascii="Courier New" w:hAnsi="Courier New"/>
          <w:b w:val="0"/>
          <w:i w:val="0"/>
          <w:sz w:val="18"/>
        </w:rPr>
        <w:t>is_jp_eq</w:t>
      </w:r>
      <w:r>
        <w:rPr>
          <w:b w:val="0"/>
          <w:i w:val="0"/>
        </w:rPr>
        <w:t xml:space="preserve"> or </w:t>
      </w:r>
      <w:r>
        <w:rPr>
          <w:rFonts w:ascii="Courier New" w:hAnsi="Courier New"/>
          <w:b w:val="0"/>
          <w:i w:val="0"/>
          <w:sz w:val="18"/>
        </w:rPr>
        <w:t>is_non_us</w:t>
      </w:r>
      <w:r>
        <w:rPr>
          <w:b w:val="0"/>
          <w:i w:val="0"/>
        </w:rPr>
        <w:t>. Uppercase US states do not match the legacy Python lookup's title-case names; current SQL includes the selected US states through case-insensitive matching. Canada is included in both.</w:t>
      </w:r>
    </w:p>
    <w:p>
      <w:bookmarkStart w:id="7" w:name="bm_bscr_runbook_loading_the_current_reporting_workbook"/>
      <w:pPr>
        <w:pStyle w:val="Heading2"/>
        <w:keepNext/>
      </w:pPr>
      <w:r>
        <w:rPr>
          <w:b w:val="0"/>
          <w:i w:val="0"/>
        </w:rPr>
        <w:t>Loading the current reporting workbook</w:t>
      </w:r>
      <w:bookmarkEnd w:id="7"/>
    </w:p>
    <w:p>
      <w:r>
        <w:rPr>
          <w:rFonts w:ascii="Courier New" w:hAnsi="Courier New"/>
          <w:b w:val="0"/>
          <w:i w:val="0"/>
          <w:sz w:val="18"/>
        </w:rPr>
        <w:t>bscr/workbooks/BSCR_Workings.xlsx</w:t>
      </w:r>
      <w:r>
        <w:rPr>
          <w:b w:val="0"/>
          <w:i w:val="0"/>
        </w:rPr>
        <w:t xml:space="preserve"> is the operational workbook, not the concise reconciliation report. Preserve its approved formulas and controls:</w:t>
      </w:r>
    </w:p>
    <w:p>
      <w:r>
        <w:rPr>
          <w:b w:val="0"/>
          <w:i w:val="0"/>
        </w:rPr>
        <w:t xml:space="preserve">1. Back it up before loading. Load only the first seven aggregate columns into </w:t>
      </w:r>
      <w:r>
        <w:rPr>
          <w:rFonts w:ascii="Courier New" w:hAnsi="Courier New"/>
          <w:b w:val="0"/>
          <w:i w:val="0"/>
          <w:sz w:val="18"/>
        </w:rPr>
        <w:t>BSCR Source Data!A:G</w:t>
      </w:r>
      <w:r>
        <w:rPr>
          <w:b w:val="0"/>
          <w:i w:val="0"/>
        </w:rPr>
        <w:t xml:space="preserve">; retain </w:t>
      </w:r>
      <w:r>
        <w:rPr>
          <w:rFonts w:ascii="Courier New" w:hAnsi="Courier New"/>
          <w:b w:val="0"/>
          <w:i w:val="0"/>
          <w:sz w:val="18"/>
        </w:rPr>
        <w:t>peril_id</w:t>
      </w:r>
      <w:r>
        <w:rPr>
          <w:b w:val="0"/>
          <w:i w:val="0"/>
        </w:rPr>
        <w:t xml:space="preserve"> in the CSV, not worksheet H.</w:t>
      </w:r>
    </w:p>
    <w:p>
      <w:r>
        <w:rPr>
          <w:b w:val="0"/>
          <w:i w:val="0"/>
        </w:rPr>
        <w:t xml:space="preserve">2. Clear stale input rows and verify complete entity/region/geocode coverage. </w:t>
      </w:r>
      <w:r>
        <w:rPr>
          <w:rFonts w:ascii="Courier New" w:hAnsi="Courier New"/>
          <w:b w:val="0"/>
          <w:i w:val="0"/>
          <w:sz w:val="18"/>
        </w:rPr>
        <w:t>BSCR Output!A2:F70</w:t>
      </w:r>
      <w:r>
        <w:rPr>
          <w:b w:val="0"/>
          <w:i w:val="0"/>
        </w:rPr>
        <w:t xml:space="preserve"> has a fixed list of keys; new keys are not added by recalculation.</w:t>
      </w:r>
    </w:p>
    <w:p>
      <w:r>
        <w:rPr>
          <w:b w:val="0"/>
          <w:i w:val="0"/>
        </w:rPr>
        <w:t xml:space="preserve">3. Bypass workbook FX on every gross/net path before loading USD query output. Some formulas hard-code 1.35, so changing </w:t>
      </w:r>
      <w:r>
        <w:rPr>
          <w:rFonts w:ascii="Courier New" w:hAnsi="Courier New"/>
          <w:b w:val="0"/>
          <w:i w:val="0"/>
          <w:sz w:val="18"/>
        </w:rPr>
        <w:t>Settings!B3</w:t>
      </w:r>
      <w:r>
        <w:rPr>
          <w:b w:val="0"/>
          <w:i w:val="0"/>
        </w:rPr>
        <w:t xml:space="preserve"> alone is insufficient. Retain division by 1,000,000 only where USD millions are required.</w:t>
      </w:r>
    </w:p>
    <w:p>
      <w:r>
        <w:rPr>
          <w:b w:val="0"/>
          <w:i w:val="0"/>
        </w:rPr>
        <w:t>4. Reconcile cached/formula outputs after Excel refresh. Do not infer modelled, modellable, detailed or data-deficient classifications solely from geocoding.</w:t>
      </w:r>
    </w:p>
    <w:p>
      <w:r>
        <w:rPr>
          <w:b w:val="0"/>
          <w:i w:val="0"/>
        </w:rPr>
        <w:t>5. Review the controlled final template, external links, premium source, modelability decisions and EP results before transfer or sign-off.</w:t>
      </w:r>
    </w:p>
    <w:p>
      <w:r>
        <w:rPr>
          <w:b w:val="0"/>
          <w:i w:val="0"/>
        </w:rPr>
        <w:t xml:space="preserve">See the </w:t>
      </w:r>
      <w:hyperlink r:id="rId10">
        <w:r>
          <w:rPr>
            <w:color w:val="0563C1"/>
            <w:u w:val="single"/>
          </w:rPr>
          <w:t>discrepancy register</w:t>
        </w:r>
      </w:hyperlink>
      <w:r>
        <w:rPr>
          <w:b w:val="0"/>
          <w:i w:val="0"/>
        </w:rPr>
        <w:t xml:space="preserve"> for remaining controls, especially policy-cap allocation grain and distinct contract counting.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index.md" TargetMode="External"/><Relationship Id="rId10" Type="http://schemas.openxmlformats.org/officeDocument/2006/relationships/hyperlink" Target="../calculation-discrepancies.md#bscr-schedu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