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 Runbook</w:t>
      </w:r>
    </w:p>
    <w:p>
      <w:pPr>
        <w:pStyle w:val="Subtitle"/>
      </w:pPr>
      <w:r>
        <w:t xml:space="preserve">January 2026</w:t>
      </w:r>
    </w:p>
    <w:bookmarkStart w:id="11" w:name="pra-runbook-pra-sql-and-excel"/>
    <w:p>
      <w:pPr>
        <w:pStyle w:val="Heading1"/>
      </w:pPr>
      <w:r>
        <w:t xml:space="preserve">PRA — SQL and Excel</w:t>
      </w:r>
    </w:p>
    <w:bookmarkStart w:id="9" w:name="pra-runbook-earthquake"/>
    <w:p>
      <w:pPr>
        <w:pStyle w:val="Heading2"/>
      </w:pPr>
      <w:r>
        <w:t xml:space="preserve">Earthquake</w:t>
      </w:r>
    </w:p>
    <w:p>
      <w:pPr>
        <w:pStyle w:val="Compact"/>
        <w:numPr>
          <w:ilvl w:val="0"/>
          <w:numId w:val="1001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pra/sql/pra-earthquake.sql</w:t>
      </w:r>
      <w:r>
        <w:t xml:space="preserve"> </w:t>
      </w:r>
      <w:r>
        <w:t xml:space="preserve">against the correct EDM database with</w:t>
      </w:r>
      <w:r>
        <w:t xml:space="preserve"> </w:t>
      </w:r>
      <w:r>
        <w:rPr>
          <w:rStyle w:val="VerbatimChar"/>
        </w:rPr>
        <w:t xml:space="preserve">@peril = 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@policy_type = 2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Export the results as a CSV with these headers:</w:t>
      </w:r>
      <w:r>
        <w:t xml:space="preserve"> </w:t>
      </w:r>
      <w:r>
        <w:rPr>
          <w:rStyle w:val="VerbatimChar"/>
        </w:rPr>
        <w:t xml:space="preserve">pml, state, userid1, cntrycode, uwritrname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Open a working copy of</w:t>
      </w:r>
      <w:r>
        <w:t xml:space="preserve"> </w:t>
      </w:r>
      <w:r>
        <w:rPr>
          <w:rStyle w:val="VerbatimChar"/>
        </w:rPr>
        <w:t xml:space="preserve">pra/workbooks/PRA_Aggs.xlsx</w:t>
      </w:r>
      <w:r>
        <w:t xml:space="preserve"> </w:t>
      </w:r>
      <w:r>
        <w:t xml:space="preserve">and select</w:t>
      </w:r>
      <w:r>
        <w:t xml:space="preserve"> </w:t>
      </w:r>
      <w:r>
        <w:rPr>
          <w:rStyle w:val="VerbatimChar"/>
        </w:rPr>
        <w:t xml:space="preserve">pivot_eq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Clear the old data in A:E below row 1, leaving formulas F:M and the report areas untouched.</w:t>
      </w:r>
    </w:p>
    <w:p>
      <w:pPr>
        <w:pStyle w:val="Compact"/>
        <w:numPr>
          <w:ilvl w:val="0"/>
          <w:numId w:val="1001"/>
        </w:numPr>
      </w:pPr>
      <w:r>
        <w:t xml:space="preserve">Paste the CSV contents</w:t>
      </w:r>
      <w:r>
        <w:t xml:space="preserve"> </w:t>
      </w:r>
      <w:r>
        <w:rPr>
          <w:b/>
          <w:bCs/>
        </w:rPr>
        <w:t xml:space="preserve">with headers into A1</w:t>
      </w:r>
      <w:r>
        <w:t xml:space="preserve">, filling A:E only.</w:t>
      </w:r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Table Design → Resize Table</w:t>
      </w:r>
      <w:r>
        <w:t xml:space="preserve"> </w:t>
      </w:r>
      <w:r>
        <w:t xml:space="preserve">to extend</w:t>
      </w:r>
      <w:r>
        <w:t xml:space="preserve"> </w:t>
      </w:r>
      <w:r>
        <w:rPr>
          <w:rStyle w:val="VerbatimChar"/>
        </w:rPr>
        <w:t xml:space="preserve">Table32</w:t>
      </w:r>
      <w:r>
        <w:t xml:space="preserve"> </w:t>
      </w:r>
      <w:r>
        <w:t xml:space="preserve">from A1 through column M to the last pasted row.</w:t>
      </w:r>
    </w:p>
    <w:p>
      <w:pPr>
        <w:pStyle w:val="Compact"/>
        <w:numPr>
          <w:ilvl w:val="0"/>
          <w:numId w:val="1001"/>
        </w:numPr>
      </w:pPr>
      <w:r>
        <w:t xml:space="preserve">Select F2:M through the last pasted row and press</w:t>
      </w:r>
      <w:r>
        <w:t xml:space="preserve"> </w:t>
      </w:r>
      <w:r>
        <w:rPr>
          <w:b/>
          <w:bCs/>
        </w:rPr>
        <w:t xml:space="preserve">Ctrl+D</w:t>
      </w:r>
      <w:r>
        <w:t xml:space="preserve"> </w:t>
      </w:r>
      <w:r>
        <w:t xml:space="preserve">to fill the correct first-row formulas down.</w:t>
      </w:r>
    </w:p>
    <w:p>
      <w:pPr>
        <w:pStyle w:val="Compact"/>
        <w:numPr>
          <w:ilvl w:val="0"/>
          <w:numId w:val="1001"/>
        </w:numPr>
      </w:pPr>
      <w:r>
        <w:t xml:space="preserve">Check that the input row count and column A total match the SQL results, and resolve any formula errors.</w:t>
      </w:r>
    </w:p>
    <w:p>
      <w:pPr>
        <w:pStyle w:val="Compact"/>
        <w:numPr>
          <w:ilvl w:val="0"/>
          <w:numId w:val="1001"/>
        </w:numPr>
      </w:pPr>
      <w:r>
        <w:t xml:space="preserve">Click each earthquake PivotTable, choose</w:t>
      </w:r>
      <w:r>
        <w:t xml:space="preserve"> </w:t>
      </w:r>
      <w:r>
        <w:rPr>
          <w:b/>
          <w:bCs/>
        </w:rPr>
        <w:t xml:space="preserve">PivotTable Analyze → Change Data Source</w:t>
      </w:r>
      <w:r>
        <w:t xml:space="preserve">, and set it to</w:t>
      </w:r>
      <w:r>
        <w:t xml:space="preserve"> </w:t>
      </w:r>
      <w:r>
        <w:rPr>
          <w:rStyle w:val="VerbatimChar"/>
          <w:b/>
          <w:bCs/>
        </w:rPr>
        <w:t xml:space="preserve">Table32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Table3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Confirm the pivot value field and currency, then right-click each earthquake PivotTable and select</w:t>
      </w:r>
      <w:r>
        <w:t xml:space="preserve"> </w:t>
      </w:r>
      <w:r>
        <w:rPr>
          <w:b/>
          <w:bCs/>
        </w:rPr>
        <w:t xml:space="preserve">Refresh</w:t>
      </w:r>
      <w:r>
        <w:t xml:space="preserve">—not Refresh All.</w:t>
      </w:r>
    </w:p>
    <w:p>
      <w:pPr>
        <w:pStyle w:val="Compact"/>
        <w:numPr>
          <w:ilvl w:val="0"/>
          <w:numId w:val="1001"/>
        </w:numPr>
      </w:pPr>
      <w:r>
        <w:t xml:space="preserve">Check the pivot totals against the corresponding input totals and save the workbook with the CSV.</w:t>
      </w:r>
    </w:p>
    <w:bookmarkEnd w:id="9"/>
    <w:bookmarkStart w:id="10" w:name="pra-runbook-all-peril"/>
    <w:p>
      <w:pPr>
        <w:pStyle w:val="Heading2"/>
      </w:pPr>
      <w:r>
        <w:t xml:space="preserve">All-peril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pivot_allperil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Table3</w:t>
      </w:r>
      <w:r>
        <w:t xml:space="preserve"> </w:t>
      </w:r>
      <w:r>
        <w:t xml:space="preserve">only with a separately confirmed all-peril export; follow the same paste, formula-fill and total checks.</w:t>
      </w:r>
      <w:r>
        <w:t xml:space="preserve"> </w:t>
      </w:r>
      <w:r>
        <w:t xml:space="preserve">Do not copy the earthquake results into this sheet or guess the all-peril query codes.</w:t>
      </w:r>
    </w:p>
    <w:p>
      <w:pPr>
        <w:pStyle w:val="BodyText"/>
      </w:pPr>
      <w:r>
        <w:rPr>
          <w:b/>
          <w:bCs/>
        </w:rPr>
        <w:t xml:space="preserve">To return to later:</w:t>
      </w:r>
      <w:r>
        <w:t xml:space="preserve"> </w:t>
      </w:r>
      <w:r>
        <w:t xml:space="preserve">find the final PRA submission template; this workbook contains the calculated aggregates, not the submission form.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 Runbook</dc:title>
  <dc:creator/>
  <cp:keywords/>
  <dcterms:created xsi:type="dcterms:W3CDTF">2026-09-14T22:27:42Z</dcterms:created>
  <dcterms:modified xsi:type="dcterms:W3CDTF">2026-09-14T22:27:42Z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January 2026</vt:lpwstr>
  </property>
</Properties>
</file>