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BSCR Schedule X Runbook</w:t>
      </w:r>
    </w:p>
    <w:p>
      <w:pPr>
        <w:pStyle w:val="Subtitle"/>
      </w:pPr>
      <w:r>
        <w:t xml:space="preserve">January 2026</w:t>
      </w:r>
    </w:p>
    <w:bookmarkStart w:id="9" w:name="section"/>
    <w:p>
      <w:pPr>
        <w:pStyle w:val="Heading2"/>
      </w:pPr>
    </w:p>
    <w:p>
      <w:pPr>
        <w:pStyle w:val="FirstParagraph"/>
      </w:pPr>
      <w:r>
        <w:t xml:space="preserve">Report: BSCR</w:t>
      </w:r>
      <w:r>
        <w:t xml:space="preserve"> </w:t>
      </w:r>
      <w:r>
        <w:t xml:space="preserve">Time: 1d</w:t>
      </w:r>
      <w:r>
        <w:t xml:space="preserve"> </w:t>
      </w:r>
      <w:r>
        <w:t xml:space="preserve">—</w:t>
      </w:r>
    </w:p>
    <w:bookmarkEnd w:id="9"/>
    <w:bookmarkStart w:id="13" w:name="bscr-runbook-bscr-sql-only-outputs"/>
    <w:p>
      <w:pPr>
        <w:pStyle w:val="Heading1"/>
      </w:pPr>
      <w:r>
        <w:t xml:space="preserve">BSCR — SQL-only outputs</w:t>
      </w:r>
    </w:p>
    <w:bookmarkStart w:id="10" w:name="bscr-runbook-output-scripts"/>
    <w:p>
      <w:pPr>
        <w:pStyle w:val="Heading2"/>
      </w:pPr>
      <w:r>
        <w:t xml:space="preserve">Output scripts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bscr/sql/bscr-extract.sql</w:t>
      </w:r>
      <w:r>
        <w:t xml:space="preserve"> </w:t>
      </w:r>
      <w:r>
        <w:t xml:space="preserve">against the approved EDM database, checking</w:t>
      </w:r>
      <w:r>
        <w:t xml:space="preserve"> </w:t>
      </w:r>
      <w:r>
        <w:rPr>
          <w:rStyle w:val="VerbatimChar"/>
        </w:rPr>
        <w:t xml:space="preserve">@policy_type</w:t>
      </w:r>
      <w:r>
        <w:t xml:space="preserve"> </w:t>
      </w:r>
      <w:r>
        <w:t xml:space="preserve">for the run. Its header table selects peril 1 (earthquake)</w:t>
      </w:r>
      <w:r>
        <w:t xml:space="preserve"> </w:t>
      </w:r>
      <w:r>
        <w:t xml:space="preserve">and peril 2 (wind) together.</w:t>
      </w:r>
    </w:p>
    <w:p>
      <w:pPr>
        <w:pStyle w:val="Compact"/>
        <w:numPr>
          <w:ilvl w:val="0"/>
          <w:numId w:val="1001"/>
        </w:numPr>
      </w:pPr>
      <w:r>
        <w:t xml:space="preserve">Export that source-level result as the raw CSV with headers:</w:t>
      </w:r>
      <w:r>
        <w:t xml:space="preserve"> </w:t>
      </w:r>
      <w:r>
        <w:rPr>
          <w:rStyle w:val="VerbatimChar"/>
        </w:rPr>
        <w:t xml:space="preserve">pml, accgrpid, uwritrname, state, userid1, cntrycode, is_geocoded, peril_id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bscr/sql/bscr-output.sql</w:t>
      </w:r>
      <w:r>
        <w:t xml:space="preserve"> </w:t>
      </w:r>
      <w:r>
        <w:t xml:space="preserve">against the same database snapshot and</w:t>
      </w:r>
      <w:r>
        <w:t xml:space="preserve"> </w:t>
      </w:r>
      <w:r>
        <w:t xml:space="preserve">parameters. Leave</w:t>
      </w:r>
      <w:r>
        <w:t xml:space="preserve"> </w:t>
      </w:r>
      <w:r>
        <w:rPr>
          <w:rStyle w:val="VerbatimChar"/>
        </w:rPr>
        <w:t xml:space="preserve">@bscr_entity = NULL</w:t>
      </w:r>
      <w:r>
        <w:t xml:space="preserve"> </w:t>
      </w:r>
      <w:r>
        <w:t xml:space="preserve">for all entities, or set it to</w:t>
      </w:r>
      <w:r>
        <w:t xml:space="preserve"> </w:t>
      </w:r>
      <w:r>
        <w:rPr>
          <w:rStyle w:val="VerbatimChar"/>
        </w:rPr>
        <w:t xml:space="preserve">33</w:t>
      </w:r>
      <w:r>
        <w:t xml:space="preserve">,</w:t>
      </w:r>
      <w:r>
        <w:t xml:space="preserve"> </w:t>
      </w:r>
      <w:r>
        <w:rPr>
          <w:rStyle w:val="VerbatimChar"/>
        </w:rPr>
        <w:t xml:space="preserve">HIC</w:t>
      </w:r>
      <w:r>
        <w:t xml:space="preserve">,</w:t>
      </w:r>
      <w:r>
        <w:t xml:space="preserve"> </w:t>
      </w:r>
      <w:r>
        <w:rPr>
          <w:rStyle w:val="VerbatimChar"/>
        </w:rPr>
        <w:t xml:space="preserve">HIG</w:t>
      </w:r>
      <w:r>
        <w:t xml:space="preserve">,</w:t>
      </w:r>
      <w:r>
        <w:t xml:space="preserve"> </w:t>
      </w:r>
      <w:r>
        <w:rPr>
          <w:rStyle w:val="VerbatimChar"/>
        </w:rPr>
        <w:t xml:space="preserve">HSA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3624</w:t>
      </w:r>
      <w:r>
        <w:t xml:space="preserve"> </w:t>
      </w:r>
      <w:r>
        <w:t xml:space="preserve">for one entity.</w:t>
      </w:r>
    </w:p>
    <w:p>
      <w:pPr>
        <w:pStyle w:val="Compact"/>
        <w:numPr>
          <w:ilvl w:val="0"/>
          <w:numId w:val="1001"/>
        </w:numPr>
      </w:pPr>
      <w:r>
        <w:t xml:space="preserve">Export the aggregate result with headers:</w:t>
      </w:r>
      <w:r>
        <w:t xml:space="preserve"> </w:t>
      </w:r>
      <w:r>
        <w:rPr>
          <w:rStyle w:val="VerbatimChar"/>
        </w:rPr>
        <w:t xml:space="preserve">cntrycode, bscr_entity, region, sum_pml, sum_net, count_policies, is_geocoded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SQL routes</w:t>
      </w:r>
      <w:r>
        <w:t xml:space="preserve"> </w:t>
      </w:r>
      <w:r>
        <w:rPr>
          <w:rStyle w:val="VerbatimChar"/>
        </w:rPr>
        <w:t xml:space="preserve">is_nahu</w:t>
      </w:r>
      <w:r>
        <w:t xml:space="preserve">,</w:t>
      </w:r>
      <w:r>
        <w:t xml:space="preserve"> </w:t>
      </w:r>
      <w:r>
        <w:rPr>
          <w:rStyle w:val="VerbatimChar"/>
        </w:rPr>
        <w:t xml:space="preserve">is_eu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is_jp</w:t>
      </w:r>
      <w:r>
        <w:t xml:space="preserve"> </w:t>
      </w:r>
      <w:r>
        <w:t xml:space="preserve">to peril 2, and</w:t>
      </w:r>
      <w:r>
        <w:t xml:space="preserve"> </w:t>
      </w:r>
      <w:r>
        <w:rPr>
          <w:rStyle w:val="VerbatimChar"/>
        </w:rPr>
        <w:t xml:space="preserve">is_na_eq</w:t>
      </w:r>
      <w:r>
        <w:t xml:space="preserve">,</w:t>
      </w:r>
      <w:r>
        <w:t xml:space="preserve"> </w:t>
      </w:r>
      <w:r>
        <w:rPr>
          <w:rStyle w:val="VerbatimChar"/>
        </w:rPr>
        <w:t xml:space="preserve">is_jp_eq</w:t>
      </w:r>
      <w:r>
        <w:t xml:space="preserve">,</w:t>
      </w:r>
      <w:r>
        <w:t xml:space="preserve"> </w:t>
      </w:r>
      <w:r>
        <w:rPr>
          <w:rStyle w:val="VerbatimChar"/>
        </w:rPr>
        <w:t xml:space="preserve">is_us_all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is_non_us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to peril 1.</w:t>
      </w:r>
    </w:p>
    <w:p>
      <w:pPr>
        <w:pStyle w:val="Compact"/>
        <w:numPr>
          <w:ilvl w:val="0"/>
          <w:numId w:val="1001"/>
        </w:numPr>
      </w:pPr>
      <w:r>
        <w:t xml:space="preserve">Reconcile the aggregate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rows to the earthquake raw/source totals,</w:t>
      </w:r>
      <w:r>
        <w:t xml:space="preserve"> </w:t>
      </w:r>
      <w:r>
        <w:t xml:space="preserve">then check entity, geography, geocode, retention and regional splits.</w:t>
      </w:r>
    </w:p>
    <w:p>
      <w:pPr>
        <w:pStyle w:val="Compact"/>
        <w:numPr>
          <w:ilvl w:val="0"/>
          <w:numId w:val="1001"/>
        </w:numPr>
      </w:pPr>
      <w:r>
        <w:t xml:space="preserve">Save both SQL files, parameters, raw output, aggregate output and database</w:t>
      </w:r>
      <w:r>
        <w:t xml:space="preserve"> </w:t>
      </w:r>
      <w:r>
        <w:t xml:space="preserve">snapshot together.</w:t>
      </w:r>
    </w:p>
    <w:p>
      <w:pPr>
        <w:pStyle w:val="FirstParagraph"/>
      </w:pPr>
      <w:r>
        <w:t xml:space="preserve">Both active calculation steps are SQL-only.</w:t>
      </w:r>
      <w:r>
        <w:t xml:space="preserve"> </w:t>
      </w:r>
      <w:r>
        <w:rPr>
          <w:rStyle w:val="VerbatimChar"/>
        </w:rPr>
        <w:t xml:space="preserve">BSCR_UKEU.py</w:t>
      </w:r>
      <w:r>
        <w:t xml:space="preserve"> </w:t>
      </w:r>
      <w:r>
        <w:t xml:space="preserve">is retained only</w:t>
      </w:r>
      <w:r>
        <w:t xml:space="preserve"> </w:t>
      </w:r>
      <w:r>
        <w:t xml:space="preserve">as historical comparison material and is not part of the production process.</w:t>
      </w:r>
    </w:p>
    <w:bookmarkEnd w:id="10"/>
    <w:bookmarkStart w:id="11" w:name="X1885e2b4c248d68e60ed84d732231af9aeca53a"/>
    <w:p>
      <w:pPr>
        <w:pStyle w:val="Heading2"/>
      </w:pPr>
      <w:r>
        <w:t xml:space="preserve">Entity workbooks through Power Query</w:t>
      </w:r>
    </w:p>
    <w:p>
      <w:pPr>
        <w:pStyle w:val="FirstParagraph"/>
      </w:pPr>
      <w:r>
        <w:t xml:space="preserve">Use one controlled</w:t>
      </w:r>
      <w:r>
        <w:t xml:space="preserve"> </w:t>
      </w:r>
      <w:r>
        <w:rPr>
          <w:rStyle w:val="VerbatimChar"/>
        </w:rPr>
        <w:t xml:space="preserve">BSCR_Workings.xlsx</w:t>
      </w:r>
      <w:r>
        <w:t xml:space="preserve"> </w:t>
      </w:r>
      <w:r>
        <w:t xml:space="preserve">workbook as the calculation and</w:t>
      </w:r>
      <w:r>
        <w:t xml:space="preserve"> </w:t>
      </w:r>
      <w:r>
        <w:t xml:space="preserve">schedule bridge. Select the entity in one settings cell rather than maintaining</w:t>
      </w:r>
      <w:r>
        <w:t xml:space="preserve"> </w:t>
      </w:r>
      <w:r>
        <w:t xml:space="preserve">separate calculation logic for</w:t>
      </w:r>
      <w:r>
        <w:t xml:space="preserve"> </w:t>
      </w:r>
      <w:r>
        <w:rPr>
          <w:rStyle w:val="VerbatimChar"/>
        </w:rPr>
        <w:t xml:space="preserve">33</w:t>
      </w:r>
      <w:r>
        <w:t xml:space="preserve">,</w:t>
      </w:r>
      <w:r>
        <w:t xml:space="preserve"> </w:t>
      </w:r>
      <w:r>
        <w:rPr>
          <w:rStyle w:val="VerbatimChar"/>
        </w:rPr>
        <w:t xml:space="preserve">HIC</w:t>
      </w:r>
      <w:r>
        <w:t xml:space="preserve">,</w:t>
      </w:r>
      <w:r>
        <w:t xml:space="preserve"> </w:t>
      </w:r>
      <w:r>
        <w:rPr>
          <w:rStyle w:val="VerbatimChar"/>
        </w:rPr>
        <w:t xml:space="preserve">HIG</w:t>
      </w:r>
      <w:r>
        <w:t xml:space="preserve">,</w:t>
      </w:r>
      <w:r>
        <w:t xml:space="preserve"> </w:t>
      </w:r>
      <w:r>
        <w:rPr>
          <w:rStyle w:val="VerbatimChar"/>
        </w:rPr>
        <w:t xml:space="preserve">HSA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3624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Set the existing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 </w:t>
      </w:r>
      <w:r>
        <w:t xml:space="preserve">setting in</w:t>
      </w:r>
      <w:r>
        <w:t xml:space="preserve"> </w:t>
      </w:r>
      <w:r>
        <w:rPr>
          <w:rStyle w:val="VerbatimChar"/>
        </w:rPr>
        <w:t xml:space="preserve">Settings!B7</w:t>
      </w:r>
      <w:r>
        <w:t xml:space="preserve">; its validation list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33</w:t>
      </w:r>
      <w:r>
        <w:t xml:space="preserve">,</w:t>
      </w:r>
      <w:r>
        <w:t xml:space="preserve"> </w:t>
      </w:r>
      <w:r>
        <w:rPr>
          <w:rStyle w:val="VerbatimChar"/>
        </w:rPr>
        <w:t xml:space="preserve">HIC</w:t>
      </w:r>
      <w:r>
        <w:t xml:space="preserve">,</w:t>
      </w:r>
      <w:r>
        <w:t xml:space="preserve"> </w:t>
      </w:r>
      <w:r>
        <w:rPr>
          <w:rStyle w:val="VerbatimChar"/>
        </w:rPr>
        <w:t xml:space="preserve">HIG</w:t>
      </w:r>
      <w:r>
        <w:t xml:space="preserve">,</w:t>
      </w:r>
      <w:r>
        <w:t xml:space="preserve"> </w:t>
      </w:r>
      <w:r>
        <w:rPr>
          <w:rStyle w:val="VerbatimChar"/>
        </w:rPr>
        <w:t xml:space="preserve">HSA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3624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Set that cell to the entity being prepared.</w:t>
      </w:r>
    </w:p>
    <w:p>
      <w:pPr>
        <w:pStyle w:val="Compact"/>
        <w:numPr>
          <w:ilvl w:val="0"/>
          <w:numId w:val="1002"/>
        </w:numPr>
      </w:pPr>
      <w:r>
        <w:t xml:space="preserve">Pass the same value to</w:t>
      </w:r>
      <w:r>
        <w:t xml:space="preserve"> </w:t>
      </w:r>
      <w:r>
        <w:rPr>
          <w:rStyle w:val="VerbatimChar"/>
        </w:rPr>
        <w:t xml:space="preserve">@bscr_entity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bscr-output.sql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Load the result into the controlled BSCR input table and refresh formulas</w:t>
      </w:r>
      <w:r>
        <w:t xml:space="preserve"> </w:t>
      </w:r>
      <w:r>
        <w:t xml:space="preserve">and pivots.</w:t>
      </w:r>
    </w:p>
    <w:p>
      <w:pPr>
        <w:pStyle w:val="Compact"/>
        <w:numPr>
          <w:ilvl w:val="0"/>
          <w:numId w:val="1002"/>
        </w:numPr>
      </w:pPr>
      <w:r>
        <w:t xml:space="preserve">Review the linked Schedule X(a), X(b), X(c) and X(f) areas; save a separate</w:t>
      </w:r>
      <w:r>
        <w:t xml:space="preserve"> </w:t>
      </w:r>
      <w:r>
        <w:t xml:space="preserve">copy only when a submission package is required.</w:t>
      </w:r>
    </w:p>
    <w:p>
      <w:pPr>
        <w:pStyle w:val="FirstParagraph"/>
      </w:pPr>
      <w:r>
        <w:t xml:space="preserve">The workbook now uses</w:t>
      </w:r>
      <w:r>
        <w:t xml:space="preserve"> </w:t>
      </w:r>
      <w:r>
        <w:rPr>
          <w:rStyle w:val="VerbatimChar"/>
        </w:rPr>
        <w:t xml:space="preserve">Settings!$B$7</w:t>
      </w:r>
      <w:r>
        <w:t xml:space="preserve"> </w:t>
      </w:r>
      <w:r>
        <w:t xml:space="preserve">for the schedule entity criteria and</w:t>
      </w:r>
      <w:r>
        <w:t xml:space="preserve"> </w:t>
      </w:r>
      <w:r>
        <w:t xml:space="preserve">recalculates formulas on open. The Power Query source connection still needs</w:t>
      </w:r>
      <w:r>
        <w:t xml:space="preserve"> </w:t>
      </w:r>
      <w:r>
        <w:t xml:space="preserve">to be configured in Excel to load the SQL result into the controlled input</w:t>
      </w:r>
      <w:r>
        <w:t xml:space="preserve"> </w:t>
      </w:r>
      <w:r>
        <w:t xml:space="preserve">table. The files in</w:t>
      </w:r>
      <w:r>
        <w:t xml:space="preserve"> </w:t>
      </w:r>
      <w:r>
        <w:rPr>
          <w:rStyle w:val="VerbatimChar"/>
        </w:rPr>
        <w:t xml:space="preserve">bscr/old-process/Workings/</w:t>
      </w:r>
      <w:r>
        <w:t xml:space="preserve"> </w:t>
      </w:r>
      <w:r>
        <w:t xml:space="preserve">are presentation targets, not</w:t>
      </w:r>
      <w:r>
        <w:t xml:space="preserve"> </w:t>
      </w:r>
      <w:r>
        <w:t xml:space="preserve">SQL sources. Replace unresolved external-link inputs before production</w:t>
      </w:r>
      <w:r>
        <w:t xml:space="preserve"> </w:t>
      </w:r>
      <w:r>
        <w:t xml:space="preserve">refreshes.</w:t>
      </w:r>
    </w:p>
    <w:p>
      <w:pPr>
        <w:pStyle w:val="BodyText"/>
      </w:pPr>
      <w:r>
        <w:t xml:space="preserve">Schedule X(a) and X(b) still require approved EP-curve/premium sources.</w:t>
      </w:r>
      <w:r>
        <w:t xml:space="preserve"> </w:t>
      </w:r>
      <w:r>
        <w:t xml:space="preserve">Schedule X(f) requires an approved distinct-contract identifier and count</w:t>
      </w:r>
      <w:r>
        <w:t xml:space="preserve"> </w:t>
      </w:r>
      <w:r>
        <w:t xml:space="preserve">rule;</w:t>
      </w:r>
      <w:r>
        <w:t xml:space="preserve"> </w:t>
      </w:r>
      <w:r>
        <w:rPr>
          <w:rStyle w:val="VerbatimChar"/>
        </w:rPr>
        <w:t xml:space="preserve">count_policies</w:t>
      </w:r>
      <w:r>
        <w:t xml:space="preserve"> </w:t>
      </w:r>
      <w:r>
        <w:t xml:space="preserve">is only a contributing-row count.</w:t>
      </w:r>
    </w:p>
    <w:bookmarkEnd w:id="11"/>
    <w:bookmarkStart w:id="12" w:name="bscr-runbook-run-controls"/>
    <w:p>
      <w:pPr>
        <w:pStyle w:val="Heading2"/>
      </w:pPr>
      <w:r>
        <w:t xml:space="preserve">Run controls</w:t>
      </w:r>
    </w:p>
    <w:p>
      <w:pPr>
        <w:pStyle w:val="Compact"/>
        <w:numPr>
          <w:ilvl w:val="0"/>
          <w:numId w:val="1003"/>
        </w:numPr>
      </w:pPr>
      <w:r>
        <w:t xml:space="preserve">Keep SQL</w:t>
      </w:r>
      <w:r>
        <w:t xml:space="preserve"> </w:t>
      </w:r>
      <w:r>
        <w:rPr>
          <w:rStyle w:val="VerbatimChar"/>
        </w:rPr>
        <w:t xml:space="preserve">pml</w:t>
      </w:r>
      <w:r>
        <w:t xml:space="preserve">/</w:t>
      </w:r>
      <w:r>
        <w:rPr>
          <w:rStyle w:val="VerbatimChar"/>
        </w:rPr>
        <w:t xml:space="preserve">net</w:t>
      </w:r>
      <w:r>
        <w:t xml:space="preserve"> </w:t>
      </w:r>
      <w:r>
        <w:t xml:space="preserve">in the database source currency and source units; SQL</w:t>
      </w:r>
      <w:r>
        <w:t xml:space="preserve"> </w:t>
      </w:r>
      <w:r>
        <w:t xml:space="preserve">does not apply FX or divide by 1,000,000.</w:t>
      </w:r>
    </w:p>
    <w:p>
      <w:pPr>
        <w:pStyle w:val="Compact"/>
        <w:numPr>
          <w:ilvl w:val="0"/>
          <w:numId w:val="1003"/>
        </w:numPr>
      </w:pPr>
      <w:r>
        <w:t xml:space="preserve">The current workbook assumes source GBP, output USD, and</w:t>
      </w:r>
      <w:r>
        <w:t xml:space="preserve"> </w:t>
      </w:r>
      <w:r>
        <w:rPr>
          <w:rStyle w:val="VerbatimChar"/>
        </w:rPr>
        <w:t xml:space="preserve">Settings!B3 = 1.35</w:t>
      </w:r>
      <w:r>
        <w:t xml:space="preserve"> </w:t>
      </w:r>
      <w:r>
        <w:t xml:space="preserve">GBP-to-USD. It applies that rate once, then divides by</w:t>
      </w:r>
      <w:r>
        <w:t xml:space="preserve"> </w:t>
      </w:r>
      <w:r>
        <w:t xml:space="preserve">1,000,000 for USD millions. Do not paste workbook USD columns back into the</w:t>
      </w:r>
      <w:r>
        <w:t xml:space="preserve"> </w:t>
      </w:r>
      <w:r>
        <w:t xml:space="preserve">SQL source columns.</w:t>
      </w:r>
    </w:p>
    <w:p>
      <w:pPr>
        <w:pStyle w:val="Compact"/>
        <w:numPr>
          <w:ilvl w:val="0"/>
          <w:numId w:val="1003"/>
        </w:numPr>
      </w:pPr>
      <w:r>
        <w:t xml:space="preserve">Do not add overlapping regional rows together.</w:t>
      </w:r>
    </w:p>
    <w:p>
      <w:pPr>
        <w:pStyle w:val="Compact"/>
        <w:numPr>
          <w:ilvl w:val="0"/>
          <w:numId w:val="1003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@qs_pct_retention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@srp_pct_retention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bscr-output.sql</w:t>
      </w:r>
      <w:r>
        <w:t xml:space="preserve">; they are fractions (</w:t>
      </w:r>
      <w:r>
        <w:rPr>
          <w:rStyle w:val="VerbatimChar"/>
        </w:rPr>
        <w:t xml:space="preserve">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0.3333</w:t>
      </w:r>
      <w:r>
        <w:t xml:space="preserve"> </w:t>
      </w:r>
      <w:r>
        <w:t xml:space="preserve">by default).</w:t>
      </w:r>
    </w:p>
    <w:p>
      <w:pPr>
        <w:pStyle w:val="Compact"/>
        <w:numPr>
          <w:ilvl w:val="0"/>
          <w:numId w:val="1003"/>
        </w:numPr>
      </w:pPr>
      <w:r>
        <w:t xml:space="preserve">Confirm QS-first retention and the approved geography mappings.</w:t>
      </w:r>
    </w:p>
    <w:p>
      <w:pPr>
        <w:pStyle w:val="Compact"/>
        <w:numPr>
          <w:ilvl w:val="0"/>
          <w:numId w:val="1003"/>
        </w:numPr>
      </w:pPr>
      <w:r>
        <w:t xml:space="preserve">Investigate failed or partial exports, unexplained totals and policy-join</w:t>
      </w:r>
      <w:r>
        <w:t xml:space="preserve"> </w:t>
      </w:r>
      <w:r>
        <w:t xml:space="preserve">multiplication before using the outputs.</w:t>
      </w:r>
    </w:p>
    <w:p>
      <w:pPr>
        <w:pStyle w:val="Compact"/>
        <w:numPr>
          <w:ilvl w:val="0"/>
          <w:numId w:val="1003"/>
        </w:numPr>
      </w:pPr>
      <w:r>
        <w:t xml:space="preserve">Preserve raw and aggregate exports separately for reconciliation.</w:t>
      </w:r>
    </w:p>
    <w:p>
      <w:pPr>
        <w:pStyle w:val="FirstParagraph"/>
      </w:pPr>
      <w:r>
        <w:rPr>
          <w:b/>
          <w:bCs/>
        </w:rPr>
        <w:t xml:space="preserve">To return to later:</w:t>
      </w:r>
      <w:r>
        <w:t xml:space="preserve"> </w:t>
      </w:r>
      <w:r>
        <w:t xml:space="preserve">map the approved Schedule X(a), X(b) and X(f) fields</w:t>
      </w:r>
      <w:r>
        <w:t xml:space="preserve"> </w:t>
      </w:r>
      <w:r>
        <w:t xml:space="preserve">to SQL output metrics and identify the controlled sources for EP curves,</w:t>
      </w:r>
      <w:r>
        <w:t xml:space="preserve"> </w:t>
      </w:r>
      <w:r>
        <w:t xml:space="preserve">premiums and distinct contract counts.</w:t>
      </w:r>
    </w:p>
    <w:p>
      <w:pPr>
        <w:pStyle w:val="BodyText"/>
      </w:pPr>
      <w:r>
        <w:rPr>
          <w:rStyle w:val="VerbatimChar"/>
        </w:rPr>
        <w:t xml:space="preserve">bscr/BSCR_UKEU_original.py</w:t>
      </w:r>
      <w:r>
        <w:t xml:space="preserve"> </w:t>
      </w:r>
      <w:r>
        <w:t xml:space="preserve">preserves the original Marimo application,</w:t>
      </w:r>
      <w:r>
        <w:t xml:space="preserve"> </w:t>
      </w:r>
      <w:r>
        <w:t xml:space="preserve">also archived at</w:t>
      </w:r>
      <w:r>
        <w:t xml:space="preserve"> </w:t>
      </w:r>
      <w:r>
        <w:rPr>
          <w:rStyle w:val="VerbatimChar"/>
        </w:rPr>
        <w:t xml:space="preserve">bscr/old-process/BSCR_UKEU.py</w:t>
      </w:r>
      <w:r>
        <w:t xml:space="preserve">. It connects directly to</w:t>
      </w:r>
      <w:r>
        <w:t xml:space="preserve"> </w:t>
      </w:r>
      <w:r>
        <w:t xml:space="preserve">SQL Server and runs its embedded earthquake-only query before the Python</w:t>
      </w:r>
      <w:r>
        <w:t xml:space="preserve"> </w:t>
      </w:r>
      <w:r>
        <w:t xml:space="preserve">aggregation. Its original policy/geocoding calculation defects are preserved,</w:t>
      </w:r>
      <w:r>
        <w:t xml:space="preserve"> </w:t>
      </w:r>
      <w:r>
        <w:t xml:space="preserve">so its totals are not a correctness baseline for the corrected SQL output.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BSCR Schedule X Runbook</dc:title>
  <dc:creator/>
  <cp:keywords/>
  <dcterms:created xsi:type="dcterms:W3CDTF">2026-09-24T13:50:35Z</dcterms:created>
  <dcterms:modified xsi:type="dcterms:W3CDTF">2026-09-24T13:50:35Z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