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 and BSCR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18" w:name="pra-runbook-pra-aggregates"/>
    <w:p>
      <w:pPr>
        <w:pStyle w:val="Heading1"/>
      </w:pPr>
      <w:r>
        <w:t xml:space="preserve">PRA aggregates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reviewed earthquake and all-peril aggregates in</w:t>
      </w:r>
      <w:r>
        <w:t xml:space="preserve"> </w:t>
      </w:r>
      <w:r>
        <w:rPr>
          <w:rStyle w:val="VerbatimChar"/>
        </w:rPr>
        <w:t xml:space="preserve">pra/workbooks/PRA_BSCR_Aggs.xlsx</w:t>
      </w:r>
      <w:r>
        <w:t xml:space="preserve">. The final PRA return is a separate template.</w:t>
      </w:r>
    </w:p>
    <w:p>
      <w:pPr>
        <w:pStyle w:val="BodyText"/>
      </w:pPr>
      <w:r>
        <w:rPr>
          <w:b/>
          <w:bCs/>
        </w:rPr>
        <w:t xml:space="preserve">Before production:</w:t>
      </w:r>
      <w:r>
        <w:t xml:space="preserve"> </w:t>
      </w:r>
      <w:r>
        <w:t xml:space="preserve">the owner must confirm the all-peril source, pivot value</w:t>
      </w:r>
      <w:r>
        <w:t xml:space="preserve"> </w:t>
      </w:r>
      <w:r>
        <w:t xml:space="preserve">fields, currency and mapping rules, and final-template cell map.</w:t>
      </w:r>
      <w:r>
        <w:t xml:space="preserve"> </w:t>
      </w: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PRA-01–03</w:t>
        </w:r>
      </w:hyperlink>
      <w:r>
        <w:t xml:space="preserve">. Do not use cached January values as a new return.</w:t>
      </w:r>
    </w:p>
    <w:bookmarkStart w:id="12" w:name="pra-runbook-1-get-ready"/>
    <w:p>
      <w:pPr>
        <w:pStyle w:val="Heading2"/>
      </w:pPr>
      <w:r>
        <w:t xml:space="preserve">1. Get ready</w:t>
      </w:r>
    </w:p>
    <w:p>
      <w:pPr>
        <w:pStyle w:val="FirstParagraph"/>
      </w:pPr>
      <w:r>
        <w:t xml:space="preserve">Use an approved EDM snapshot, current mappings and a working copy of the</w:t>
      </w:r>
      <w:r>
        <w:t xml:space="preserve"> </w:t>
      </w:r>
      <w:r>
        <w:t xml:space="preserve">workbook. 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, including</w:t>
      </w:r>
      <w:r>
        <w:t xml:space="preserve"> </w:t>
      </w:r>
      <w:r>
        <w:t xml:space="preserve">ODBC Driver 18 and SQL Server access. Confirm earthquake codes</w:t>
      </w:r>
      <w:r>
        <w:t xml:space="preserve"> </w:t>
      </w:r>
      <w:r>
        <w:rPr>
          <w:rStyle w:val="VerbatimChar"/>
        </w:rPr>
        <w:t xml:space="preserve">2/2</w:t>
      </w:r>
      <w:r>
        <w:t xml:space="preserve"> </w:t>
      </w:r>
      <w:r>
        <w:t xml:space="preserve">for this cycle.</w:t>
      </w:r>
    </w:p>
    <w:bookmarkEnd w:id="12"/>
    <w:bookmarkStart w:id="13" w:name="pra-runbook-2-extract-earthquake-data"/>
    <w:p>
      <w:pPr>
        <w:pStyle w:val="Heading2"/>
      </w:pPr>
      <w:r>
        <w:t xml:space="preserve">2. Extract earthquake data</w:t>
      </w:r>
    </w:p>
    <w:p>
      <w:pPr>
        <w:pStyle w:val="FirstParagraph"/>
      </w:pPr>
      <w:r>
        <w:t xml:space="preserve">Run from the repository root. Replace the placeholders; use a new run folder.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--locked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bscr/BSCR_UKEU.py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'&lt;approved-server&gt;'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--database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'&lt;approved-edm&gt;'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--peril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--policy-type</w:t>
      </w:r>
      <w:r>
        <w:rPr>
          <w:rStyle w:val="NormalTok"/>
        </w:rPr>
        <w:t xml:space="preserve"> 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'&lt;run-dir&gt;/bscr-2-2-control.csv'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'&lt;run-dir&gt;/bscr-2-2-source.csv'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--pra-raw-output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'&lt;run-dir&gt;/pra-eq-raw.csv'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--pra-aggregate-output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'&lt;run-dir&gt;/pra-eq-aggregate.csv'</w:t>
      </w:r>
    </w:p>
    <w:p>
      <w:pPr>
        <w:pStyle w:val="FirstParagraph"/>
      </w:pPr>
      <w:r>
        <w:t xml:space="preserve">Keep all four files and the run log. If the command fails or a file is missing,</w:t>
      </w:r>
      <w:r>
        <w:t xml:space="preserve"> </w:t>
      </w:r>
      <w:r>
        <w:t xml:space="preserve">do not load partial results. The two BSCR files are supporting controls, not</w:t>
      </w:r>
      <w:r>
        <w:t xml:space="preserve"> </w:t>
      </w:r>
      <w:r>
        <w:t xml:space="preserve">substitutes for the PRA amounts.</w:t>
      </w:r>
    </w:p>
    <w:bookmarkEnd w:id="13"/>
    <w:bookmarkStart w:id="14" w:name="pra-runbook-3-load-the-workbook"/>
    <w:p>
      <w:pPr>
        <w:pStyle w:val="Heading2"/>
      </w:pPr>
      <w:r>
        <w:t xml:space="preserve">3. Load the workbook</w:t>
      </w:r>
    </w:p>
    <w:p>
      <w:pPr>
        <w:pStyle w:val="FirstParagraph"/>
      </w:pPr>
      <w:r>
        <w:t xml:space="preserve">Check CSV headers against the existing columns. Clear old input rows only;</w:t>
      </w:r>
      <w:r>
        <w:t xml:space="preserve"> </w:t>
      </w:r>
      <w:r>
        <w:t xml:space="preserve">paste</w:t>
      </w:r>
      <w:r>
        <w:t xml:space="preserve"> </w:t>
      </w:r>
      <w:r>
        <w:rPr>
          <w:b/>
          <w:bCs/>
        </w:rPr>
        <w:t xml:space="preserve">data without headers</w:t>
      </w:r>
      <w:r>
        <w:t xml:space="preserve"> </w:t>
      </w:r>
      <w:r>
        <w:t xml:space="preserve">from row 2. Preserve formulas and report areas.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Paste into</w:t>
            </w:r>
          </w:p>
        </w:tc>
        <w:tc>
          <w:tcPr/>
          <w:p>
            <w:pPr>
              <w:pStyle w:val="Compact"/>
            </w:pPr>
            <w:r>
              <w:t xml:space="preserve">Extend formulas /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pra-eq-raw.csv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raw_data_for_bscr_splits_eq!A:G</w:t>
            </w:r>
          </w:p>
        </w:tc>
        <w:tc>
          <w:tcPr/>
          <w:p>
            <w:pPr>
              <w:pStyle w:val="Compact"/>
            </w:pPr>
            <w:r>
              <w:t xml:space="preserve">H:P;</w:t>
            </w:r>
            <w:r>
              <w:t xml:space="preserve"> </w:t>
            </w:r>
            <w:r>
              <w:rPr>
                <w:rStyle w:val="VerbatimChar"/>
              </w:rPr>
              <w:t xml:space="preserve">Table2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pra-eq-aggregate.csv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pivot_eq!A:E</w:t>
            </w:r>
          </w:p>
        </w:tc>
        <w:tc>
          <w:tcPr/>
          <w:p>
            <w:pPr>
              <w:pStyle w:val="Compact"/>
            </w:pPr>
            <w:r>
              <w:t xml:space="preserve">F:M;</w:t>
            </w:r>
            <w:r>
              <w:t xml:space="preserve"> </w:t>
            </w:r>
            <w:r>
              <w:rPr>
                <w:rStyle w:val="VerbatimChar"/>
              </w:rPr>
              <w:t xml:space="preserve">Table32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all-peril aggregate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pivot_allperil!A:E</w:t>
            </w:r>
          </w:p>
        </w:tc>
        <w:tc>
          <w:tcPr/>
          <w:p>
            <w:pPr>
              <w:pStyle w:val="Compact"/>
            </w:pPr>
            <w:r>
              <w:t xml:space="preserve">F:M;</w:t>
            </w:r>
            <w:r>
              <w:t xml:space="preserve"> </w:t>
            </w:r>
            <w:r>
              <w:rPr>
                <w:rStyle w:val="VerbatimChar"/>
              </w:rPr>
              <w:t xml:space="preserve">Table3</w:t>
            </w:r>
          </w:p>
        </w:tc>
      </w:tr>
    </w:tbl>
    <w:p>
      <w:pPr>
        <w:pStyle w:val="BodyText"/>
      </w:pPr>
      <w:r>
        <w:t xml:space="preserve">Resize tables to the new rows; leave no stale data. Reconcile earthquake raw</w:t>
      </w:r>
      <w:r>
        <w:t xml:space="preserve"> </w:t>
      </w:r>
      <w:r>
        <w:t xml:space="preserve">and aggregate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totals.</w:t>
      </w:r>
    </w:p>
    <w:bookmarkEnd w:id="14"/>
    <w:bookmarkStart w:id="15" w:name="pra-runbook-4-check-pivots-and-results"/>
    <w:p>
      <w:pPr>
        <w:pStyle w:val="Heading2"/>
      </w:pPr>
      <w:r>
        <w:t xml:space="preserve">4. Check pivots and results</w:t>
      </w:r>
    </w:p>
    <w:p>
      <w:pPr>
        <w:pStyle w:val="Compact"/>
        <w:numPr>
          <w:ilvl w:val="0"/>
          <w:numId w:val="1001"/>
        </w:numPr>
      </w:pPr>
      <w:r>
        <w:t xml:space="preserve">The checked-in earthquake pivots use the</w:t>
      </w:r>
      <w:r>
        <w:t xml:space="preserve"> </w:t>
      </w:r>
      <w:r>
        <w:rPr>
          <w:b/>
          <w:bCs/>
        </w:rPr>
        <w:t xml:space="preserve">wrong, all-peril cache</w:t>
      </w:r>
      <w:r>
        <w:t xml:space="preserve">. With the</w:t>
      </w:r>
      <w:r>
        <w:t xml:space="preserve"> </w:t>
      </w:r>
      <w:r>
        <w:t xml:space="preserve">approved correction, point them to</w:t>
      </w:r>
      <w:r>
        <w:t xml:space="preserve"> </w:t>
      </w:r>
      <w:r>
        <w:rPr>
          <w:rStyle w:val="VerbatimChar"/>
        </w:rPr>
        <w:t xml:space="preserve">Table32</w:t>
      </w:r>
      <w:r>
        <w:t xml:space="preserve">; all-peril pivots use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the approved value field and currency basis before refreshing.</w:t>
      </w:r>
      <w:r>
        <w:t xml:space="preserve"> </w:t>
      </w:r>
      <w:r>
        <w:t xml:space="preserve">Refresh only approved pivots, then recalculate in Excel.</w:t>
      </w:r>
    </w:p>
    <w:p>
      <w:pPr>
        <w:pStyle w:val="Compact"/>
        <w:numPr>
          <w:ilvl w:val="0"/>
          <w:numId w:val="1001"/>
        </w:numPr>
      </w:pPr>
      <w:r>
        <w:t xml:space="preserve">Stop on mapping/formula errors, missing rows or unexplained differences.</w:t>
      </w:r>
      <w:r>
        <w:t xml:space="preserve"> </w:t>
      </w:r>
      <w:r>
        <w:t xml:space="preserve">Reconcile against independent totals for this reporting period.</w:t>
      </w:r>
    </w:p>
    <w:bookmarkEnd w:id="15"/>
    <w:bookmarkStart w:id="17" w:name="Xc9dc7e8d1914ff55cf0b343286dc4aa328cc2d3"/>
    <w:p>
      <w:pPr>
        <w:pStyle w:val="Heading2"/>
      </w:pPr>
      <w:r>
        <w:t xml:space="preserve">5. Complete all-peril and hand off</w:t>
      </w:r>
    </w:p>
    <w:p>
      <w:pPr>
        <w:pStyle w:val="FirstParagraph"/>
      </w:pPr>
      <w:r>
        <w:t xml:space="preserve">The all-peril producer is</w:t>
      </w:r>
      <w:r>
        <w:t xml:space="preserve"> </w:t>
      </w:r>
      <w:r>
        <w:rPr>
          <w:b/>
          <w:bCs/>
        </w:rPr>
        <w:t xml:space="preserve">not confirmed</w:t>
      </w:r>
      <w:r>
        <w:t xml:space="preserve">. The technical reference includes</w:t>
      </w:r>
      <w:r>
        <w:t xml:space="preserve"> </w:t>
      </w:r>
      <w:r>
        <w:t xml:space="preserve">an experimental</w:t>
      </w:r>
      <w:r>
        <w:t xml:space="preserve"> </w:t>
      </w:r>
      <w:r>
        <w:rPr>
          <w:rStyle w:val="VerbatimChar"/>
        </w:rPr>
        <w:t xml:space="preserve">1/1</w:t>
      </w:r>
      <w:r>
        <w:t xml:space="preserve"> </w:t>
      </w:r>
      <w:r>
        <w:t xml:space="preserve">extraction command; do not treat it as an approved source.</w:t>
      </w:r>
      <w:r>
        <w:t xml:space="preserve"> </w:t>
      </w:r>
      <w:r>
        <w:t xml:space="preserve">Once the owner approves a producer, load its five-column aggregate using the</w:t>
      </w:r>
      <w:r>
        <w:t xml:space="preserve"> </w:t>
      </w:r>
      <w:r>
        <w:t xml:space="preserve">table above and repeat the checks. No all-peril raw load destination is documented.</w:t>
      </w:r>
    </w:p>
    <w:p>
      <w:pPr>
        <w:pStyle w:val="BodyText"/>
      </w:pPr>
      <w:r>
        <w:t xml:space="preserve">Transfer reviewed pivot values only using an approved final-template cell map.</w:t>
      </w:r>
      <w:r>
        <w:t xml:space="preserve"> </w:t>
      </w:r>
      <w:r>
        <w:t xml:space="preserve">Record each transfer and reviewer sign-off using the run checklist. The workbook’s</w:t>
      </w:r>
      <w:r>
        <w:t xml:space="preserve"> </w:t>
      </w:r>
      <w:r>
        <w:t xml:space="preserve">legacy BSCR panels are incomplete aids, not final PRA outputs.</w:t>
      </w:r>
    </w:p>
    <w:p>
      <w:pPr>
        <w:pStyle w:val="BodyText"/>
      </w:pPr>
      <w:r>
        <w:t xml:space="preserve">For formulas, historical totals and diagnostics, use 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. For the known transfer boundary,</w:t>
      </w:r>
      <w:r>
        <w:t xml:space="preserve"> </w:t>
      </w:r>
      <w:r>
        <w:t xml:space="preserve">use the</w:t>
      </w:r>
      <w:r>
        <w:t xml:space="preserve"> </w:t>
      </w:r>
      <w:hyperlink r:id="rId16">
        <w:r>
          <w:rPr>
            <w:rStyle w:val="Hyperlink"/>
          </w:rPr>
          <w:t xml:space="preserve">handoff trace</w:t>
        </w:r>
      </w:hyperlink>
      <w:r>
        <w:t xml:space="preserve">.</w:t>
      </w:r>
    </w:p>
    <w:bookmarkEnd w:id="17"/>
    <w:bookmarkEnd w:id="18"/>
    <w:bookmarkStart w:id="27" w:name="bscr-runbook-bscr-schedule-x"/>
    <w:p>
      <w:pPr>
        <w:pStyle w:val="Heading1"/>
      </w:pPr>
      <w:r>
        <w:t xml:space="preserve">BSCR Schedule X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9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reviewed exposure inputs for HIC Schedule X—not a complete return.</w:t>
      </w:r>
      <w:r>
        <w:t xml:space="preserve"> </w:t>
      </w:r>
      <w:r>
        <w:t xml:space="preserve">EP curves, premiums, narratives and distinct contract counts need other sources.</w:t>
      </w:r>
    </w:p>
    <w:p>
      <w:pPr>
        <w:pStyle w:val="BodyText"/>
      </w:pPr>
      <w:r>
        <w:rPr>
          <w:b/>
          <w:bCs/>
        </w:rPr>
        <w:t xml:space="preserve">Before production:</w:t>
      </w:r>
      <w:r>
        <w:t xml:space="preserve"> </w:t>
      </w:r>
      <w:r>
        <w:t xml:space="preserve">resolve policy joins, geography/retention/FX rules, the</w:t>
      </w:r>
      <w:r>
        <w:t xml:space="preserve"> </w:t>
      </w:r>
      <w:r>
        <w:t xml:space="preserve">static consolidation step and the HIC template defects and cell map.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BSCR-01–04</w:t>
        </w:r>
      </w:hyperlink>
      <w:r>
        <w:t xml:space="preserve">.</w:t>
      </w:r>
    </w:p>
    <w:bookmarkStart w:id="21" w:name="bscr-runbook-1-get-ready"/>
    <w:p>
      <w:pPr>
        <w:pStyle w:val="Heading2"/>
      </w:pPr>
      <w:r>
        <w:t xml:space="preserve">1. Get ready</w:t>
      </w:r>
    </w:p>
    <w:p>
      <w:pPr>
        <w:pStyle w:val="FirstParagraph"/>
      </w:pP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. Confirm the approved</w:t>
      </w:r>
      <w:r>
        <w:t xml:space="preserve"> </w:t>
      </w:r>
      <w:r>
        <w:t xml:space="preserve">EDM snapshot, mappings, FX and peril/policy codes (</w:t>
      </w:r>
      <w:r>
        <w:rPr>
          <w:rStyle w:val="VerbatimChar"/>
        </w:rPr>
        <w:t xml:space="preserve">1/1</w:t>
      </w:r>
      <w:r>
        <w:t xml:space="preserve"> </w:t>
      </w:r>
      <w:r>
        <w:t xml:space="preserve">in the January setup).</w:t>
      </w:r>
      <w:r>
        <w:t xml:space="preserve"> </w:t>
      </w:r>
      <w:r>
        <w:t xml:space="preserve">You need SQL Server access with ODBC Driver 18 and integrated authentication.</w:t>
      </w:r>
    </w:p>
    <w:p>
      <w:pPr>
        <w:pStyle w:val="BodyText"/>
      </w:pPr>
      <w:r>
        <w:t xml:space="preserve">Use working copies of: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Calculation:</w:t>
      </w:r>
      <w:r>
        <w:t xml:space="preserve"> </w:t>
      </w:r>
      <w:r>
        <w:rPr>
          <w:rStyle w:val="VerbatimChar"/>
        </w:rPr>
        <w:t xml:space="preserve">bscr/workbooks/Workings_with_geocodingFW - Including blanks USD.xlsx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Final template:</w:t>
      </w:r>
      <w:r>
        <w:t xml:space="preserve"> </w:t>
      </w:r>
      <w:r>
        <w:rPr>
          <w:rStyle w:val="VerbatimChar"/>
        </w:rPr>
        <w:t xml:space="preserve">bscr/workbooks/2026 BSCR - UKEU - HIC.xlsx</w:t>
      </w:r>
      <w:r>
        <w:t xml:space="preserve">—check against the approved current-cycle version.</w:t>
      </w:r>
    </w:p>
    <w:bookmarkEnd w:id="21"/>
    <w:bookmarkStart w:id="22" w:name="bscr-runbook-2-extract-the-data"/>
    <w:p>
      <w:pPr>
        <w:pStyle w:val="Heading2"/>
      </w:pPr>
      <w:r>
        <w:t xml:space="preserve">2. Extract the data</w:t>
      </w:r>
    </w:p>
    <w:p>
      <w:pPr>
        <w:pStyle w:val="FirstParagraph"/>
      </w:pPr>
      <w:r>
        <w:t xml:space="preserve">Run from the repository root. Replace the placeholders; use a new run folder.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--locked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bscr/BSCR_UKEU.py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'&lt;approved-server&gt;'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--database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'&lt;approved-edm&gt;'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--peril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--policy-type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'&lt;run-dir&gt;/bscr-output.csv'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'&lt;run-dir&gt;/bscr-source.csv'</w:t>
      </w:r>
    </w:p>
    <w:p>
      <w:pPr>
        <w:pStyle w:val="FirstParagraph"/>
      </w:pPr>
      <w:r>
        <w:t xml:space="preserve">Keep both CSVs and the run log. If the command fails or either file is missing,</w:t>
      </w:r>
      <w:r>
        <w:t xml:space="preserve"> </w:t>
      </w:r>
      <w:r>
        <w:t xml:space="preserve">do not load partial results.</w:t>
      </w:r>
    </w:p>
    <w:bookmarkEnd w:id="22"/>
    <w:bookmarkStart w:id="23" w:name="Xb5c914f855fc774106b001585e6645cb59f9f4e"/>
    <w:p>
      <w:pPr>
        <w:pStyle w:val="Heading2"/>
      </w:pPr>
      <w:r>
        <w:t xml:space="preserve">3. Load the calculation workbook</w:t>
      </w:r>
    </w:p>
    <w:p>
      <w:pPr>
        <w:pStyle w:val="Compact"/>
        <w:numPr>
          <w:ilvl w:val="0"/>
          <w:numId w:val="1003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AUDIT_SUMMARY</w:t>
      </w:r>
      <w:r>
        <w:t xml:space="preserve">, input ranges, formulas and pivot sources before editing.</w:t>
      </w:r>
    </w:p>
    <w:p>
      <w:pPr>
        <w:pStyle w:val="Compact"/>
        <w:numPr>
          <w:ilvl w:val="0"/>
          <w:numId w:val="1003"/>
        </w:numPr>
      </w:pPr>
      <w:r>
        <w:t xml:space="preserve">Check the seven-column output header. Clear old input rows in</w:t>
      </w:r>
      <w:r>
        <w:t xml:space="preserve"> </w:t>
      </w:r>
      <w:r>
        <w:rPr>
          <w:rStyle w:val="VerbatimChar"/>
        </w:rPr>
        <w:t xml:space="preserve">Sheet1!A:G</w:t>
      </w:r>
      <w:r>
        <w:t xml:space="preserve"> </w:t>
      </w:r>
      <w:r>
        <w:t xml:space="preserve">only, then paste</w:t>
      </w:r>
      <w:r>
        <w:t xml:space="preserve"> </w:t>
      </w:r>
      <w:r>
        <w:rPr>
          <w:rStyle w:val="VerbatimChar"/>
        </w:rPr>
        <w:t xml:space="preserve">bscr-output.csv</w:t>
      </w:r>
      <w:r>
        <w:t xml:space="preserve"> </w:t>
      </w:r>
      <w:r>
        <w:t xml:space="preserve">data</w:t>
      </w:r>
      <w:r>
        <w:t xml:space="preserve"> </w:t>
      </w:r>
      <w:r>
        <w:rPr>
          <w:b/>
          <w:bCs/>
        </w:rPr>
        <w:t xml:space="preserve">without headers</w:t>
      </w:r>
      <w:r>
        <w:t xml:space="preserve"> </w:t>
      </w:r>
      <w:r>
        <w:t xml:space="preserve">from row 2.</w:t>
      </w:r>
    </w:p>
    <w:p>
      <w:pPr>
        <w:pStyle w:val="Compact"/>
        <w:numPr>
          <w:ilvl w:val="0"/>
          <w:numId w:val="1003"/>
        </w:numPr>
      </w:pPr>
      <w:r>
        <w:t xml:space="preserve">Preserve and extend formulas H:K through the new rows. Check the workbook’s</w:t>
      </w:r>
      <w:r>
        <w:t xml:space="preserve"> </w:t>
      </w:r>
      <w:r>
        <w:rPr>
          <w:rStyle w:val="VerbatimChar"/>
        </w:rPr>
        <w:t xml:space="preserve">1.35</w:t>
      </w:r>
      <w:r>
        <w:t xml:space="preserve"> </w:t>
      </w:r>
      <w:r>
        <w:t xml:space="preserve">conversion and million-unit scaling against the approved FX/unit basis.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 </w:t>
      </w:r>
      <w:r>
        <w:t xml:space="preserve">is not an Excel table; do not create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output!A:F</w:t>
      </w:r>
      <w:r>
        <w:rPr>
          <w:b/>
          <w:bCs/>
        </w:rPr>
        <w:t xml:space="preserve">: it is static.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 </w:t>
      </w:r>
      <w:r>
        <w:t xml:space="preserve">does not update it.</w:t>
      </w:r>
      <w:r>
        <w:t xml:space="preserve"> </w:t>
      </w:r>
      <w:r>
        <w:t xml:space="preserve">Obtain the approved consolidation procedure, including grouping keys,</w:t>
      </w:r>
      <w:r>
        <w:t xml:space="preserve"> </w:t>
      </w:r>
      <w:r>
        <w:t xml:space="preserve">aggregation, clearing old groups and reconciliation. Do not guess the bridge.</w:t>
      </w:r>
    </w:p>
    <w:p>
      <w:pPr>
        <w:pStyle w:val="Compact"/>
        <w:numPr>
          <w:ilvl w:val="0"/>
          <w:numId w:val="1003"/>
        </w:numPr>
      </w:pPr>
      <w:r>
        <w:t xml:space="preserve">Rebuild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under that procedure, then refresh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and recalculate.</w:t>
      </w:r>
      <w:r>
        <w:t xml:space="preserve"> </w:t>
      </w:r>
      <w:r>
        <w:t xml:space="preserve">Do not blindly refresh external connections.</w:t>
      </w:r>
    </w:p>
    <w:bookmarkEnd w:id="23"/>
    <w:bookmarkStart w:id="24" w:name="bscr-runbook-4-check-the-results"/>
    <w:p>
      <w:pPr>
        <w:pStyle w:val="Heading2"/>
      </w:pPr>
      <w:r>
        <w:t xml:space="preserve">4. Check the results</w:t>
      </w:r>
    </w:p>
    <w:p>
      <w:pPr>
        <w:pStyle w:val="Compact"/>
        <w:numPr>
          <w:ilvl w:val="0"/>
          <w:numId w:val="1004"/>
        </w:numPr>
      </w:pPr>
      <w:r>
        <w:t xml:space="preserve">Reconcile the extract →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 </w:t>
      </w:r>
      <w:r>
        <w:t xml:space="preserve">→ rebuilt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piv</w:t>
      </w:r>
      <w:r>
        <w:t xml:space="preserve">, including gross,</w:t>
      </w:r>
      <w:r>
        <w:t xml:space="preserve"> </w:t>
      </w:r>
      <w:r>
        <w:t xml:space="preserve">net and contributing-row counts. Investigate missing mappings and Excel errors.</w:t>
      </w:r>
    </w:p>
    <w:p>
      <w:pPr>
        <w:pStyle w:val="Compact"/>
        <w:numPr>
          <w:ilvl w:val="0"/>
          <w:numId w:val="1004"/>
        </w:numPr>
      </w:pPr>
      <w:r>
        <w:t xml:space="preserve">Regional views</w:t>
      </w:r>
      <w:r>
        <w:t xml:space="preserve"> </w:t>
      </w:r>
      <w:r>
        <w:rPr>
          <w:b/>
          <w:bCs/>
        </w:rPr>
        <w:t xml:space="preserve">overlap</w:t>
      </w:r>
      <w:r>
        <w:t xml:space="preserve">; do not add them together.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a separate view.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count_policies</w:t>
      </w:r>
      <w:r>
        <w:t xml:space="preserve"> </w:t>
      </w:r>
      <w:r>
        <w:t xml:space="preserve">counts grouped source rows,</w:t>
      </w:r>
      <w:r>
        <w:t xml:space="preserve"> </w:t>
      </w:r>
      <w:r>
        <w:rPr>
          <w:b/>
          <w:bCs/>
        </w:rPr>
        <w:t xml:space="preserve">not distinct contracts</w:t>
      </w:r>
      <w:r>
        <w:t xml:space="preserve">.</w:t>
      </w:r>
      <w:r>
        <w:t xml:space="preserve"> </w:t>
      </w:r>
      <w:r>
        <w:t xml:space="preserve">It cannot supply Schedule X(f) on its own.</w:t>
      </w:r>
    </w:p>
    <w:p>
      <w:pPr>
        <w:pStyle w:val="Compact"/>
        <w:numPr>
          <w:ilvl w:val="0"/>
          <w:numId w:val="1004"/>
        </w:numPr>
      </w:pPr>
      <w:r>
        <w:t xml:space="preserve">Stop if the bridge, currency, source ranges or final cells cannot be traced.</w:t>
      </w:r>
    </w:p>
    <w:bookmarkEnd w:id="24"/>
    <w:bookmarkStart w:id="26" w:name="bscr-runbook-5-transfer-and-review"/>
    <w:p>
      <w:pPr>
        <w:pStyle w:val="Heading2"/>
      </w:pPr>
      <w:r>
        <w:t xml:space="preserve">5. Transfer and review</w:t>
      </w:r>
    </w:p>
    <w:p>
      <w:pPr>
        <w:pStyle w:val="FirstParagraph"/>
      </w:pPr>
      <w:r>
        <w:t xml:space="preserve">The calculation workbook and HIC template are not formula-linked. Transfer only</w:t>
      </w:r>
      <w:r>
        <w:t xml:space="preserve"> </w:t>
      </w:r>
      <w:r>
        <w:t xml:space="preserve">reviewed values to cells in an approved source-to-destination map. Do not choose</w:t>
      </w:r>
      <w:r>
        <w:t xml:space="preserve"> </w:t>
      </w:r>
      <w:r>
        <w:t xml:space="preserve">cells by colour or overwrite formulas and other non-input cells.</w:t>
      </w:r>
    </w:p>
    <w:p>
      <w:pPr>
        <w:pStyle w:val="BodyText"/>
      </w:pPr>
      <w:r>
        <w:t xml:space="preserve">Use the run checklist to log each transfer and obtain reviewer sign-off.</w:t>
      </w:r>
      <w:r>
        <w:t xml:space="preserve"> </w:t>
      </w:r>
      <w:r>
        <w:t xml:space="preserve">A refreshed pivot is not a completed Schedule X return.</w:t>
      </w:r>
    </w:p>
    <w:p>
      <w:pPr>
        <w:pStyle w:val="BodyText"/>
      </w:pPr>
      <w:r>
        <w:t xml:space="preserve">For formulas, historical totals and diagnostics, use the</w:t>
      </w:r>
      <w:r>
        <w:t xml:space="preserve"> </w:t>
      </w:r>
      <w:hyperlink r:id="rId19">
        <w:r>
          <w:rPr>
            <w:rStyle w:val="Hyperlink"/>
          </w:rPr>
          <w:t xml:space="preserve">technical reference</w:t>
        </w:r>
      </w:hyperlink>
      <w:r>
        <w:t xml:space="preserve">. For missing final mappings and</w:t>
      </w:r>
      <w:r>
        <w:t xml:space="preserve"> </w:t>
      </w:r>
      <w:r>
        <w:t xml:space="preserve">supplemental sources, use the</w:t>
      </w:r>
      <w:r>
        <w:t xml:space="preserve"> </w:t>
      </w:r>
      <w:hyperlink r:id="rId25">
        <w:r>
          <w:rPr>
            <w:rStyle w:val="Hyperlink"/>
          </w:rPr>
          <w:t xml:space="preserve">handoff trace</w:t>
        </w:r>
      </w:hyperlink>
      <w:r>
        <w:t xml:space="preserve">.</w:t>
      </w:r>
    </w:p>
    <w:bookmarkEnd w:id="26"/>
    <w:bookmarkEnd w:id="27"/>
    <w:bookmarkStart w:id="33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29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5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6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7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08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09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10"/>
        </w:numPr>
      </w:pPr>
      <w:r>
        <w:t xml:space="preserve">Resolve the blockers listed in your guide before doing the affected step.</w:t>
      </w:r>
    </w:p>
    <w:bookmarkEnd w:id="29"/>
    <w:bookmarkStart w:id="30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11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12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13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4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5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6"/>
        </w:numPr>
      </w:pPr>
      <w:r>
        <w:t xml:space="preserve">Recalculate in Excel and reconcile report totals. Investigate errors, stale values and unexplained movements.</w:t>
      </w:r>
    </w:p>
    <w:bookmarkEnd w:id="30"/>
    <w:bookmarkStart w:id="31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7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18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19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31"/>
    <w:bookmarkStart w:id="32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20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e24909debfc0c491a6ab6bd1b580a3d9d3d02c52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20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1437fab170f5c71a3ed62a84a3505227ae3f043edb2dca53bc3ba73a413dbcfb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efef05937652e1373569142c4a101c9150cbcb4e5d209874109d6b2007cfc3d1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docs/pra/runbook.md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b148fa35e0852427cfaf972bf0e9fa6f4c48133a54cc83fce1afd5a959e2669b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docs/bscr/runbook.md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92f15b35f7fb4307bf5172efc9c20c75e193c2cb6e043deb54f594ebbeb9479b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25" Target="../bscr/handoff.md" TargetMode="External" /><Relationship Type="http://schemas.openxmlformats.org/officeDocument/2006/relationships/hyperlink" Id="rId19" Target="../bscr/technical-contract.md" TargetMode="External" /><Relationship Type="http://schemas.openxmlformats.org/officeDocument/2006/relationships/hyperlink" Id="rId20" Target="../decisions.md#bscr-01" TargetMode="External" /><Relationship Type="http://schemas.openxmlformats.org/officeDocument/2006/relationships/hyperlink" Id="rId11" Target="../decisions.md#pra-01" TargetMode="External" /><Relationship Type="http://schemas.openxmlformats.org/officeDocument/2006/relationships/hyperlink" Id="rId28" Target="../llm-instructions.md#detailed-run-controls" TargetMode="External" /><Relationship Type="http://schemas.openxmlformats.org/officeDocument/2006/relationships/hyperlink" Id="rId16" Target="../pra/handoff.md" TargetMode="External" /><Relationship Type="http://schemas.openxmlformats.org/officeDocument/2006/relationships/hyperlink" Id="rId10" Target="../pra/technical-contrac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25" Target="../bscr/handoff.md" TargetMode="External" /><Relationship Type="http://schemas.openxmlformats.org/officeDocument/2006/relationships/hyperlink" Id="rId19" Target="../bscr/technical-contract.md" TargetMode="External" /><Relationship Type="http://schemas.openxmlformats.org/officeDocument/2006/relationships/hyperlink" Id="rId20" Target="../decisions.md#bscr-01" TargetMode="External" /><Relationship Type="http://schemas.openxmlformats.org/officeDocument/2006/relationships/hyperlink" Id="rId11" Target="../decisions.md#pra-01" TargetMode="External" /><Relationship Type="http://schemas.openxmlformats.org/officeDocument/2006/relationships/hyperlink" Id="rId28" Target="../llm-instructions.md#detailed-run-controls" TargetMode="External" /><Relationship Type="http://schemas.openxmlformats.org/officeDocument/2006/relationships/hyperlink" Id="rId16" Target="../pra/handoff.md" TargetMode="External" /><Relationship Type="http://schemas.openxmlformats.org/officeDocument/2006/relationships/hyperlink" Id="rId10" Target="../pra/technical-contrac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 and BSCR Runbook</dc:title>
  <dc:creator/>
  <cp:keywords/>
  <dcterms:created xsi:type="dcterms:W3CDTF">2026-09-10T12:51:22Z</dcterms:created>
  <dcterms:modified xsi:type="dcterms:W3CDTF">2026-09-10T12:51:22Z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