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BSCR Schedule X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pPr>
        <w:spacing w:after="40"/>
      </w:pPr>
      <w:r>
        <w:t>―</w:t>
      </w:r>
    </w:p>
    <w:p>
      <w:r>
        <w:rPr>
          <w:b w:val="0"/>
          <w:i w:val="0"/>
        </w:rPr>
        <w:t>Report: BSCR Time: 1d ---</w:t>
      </w:r>
    </w:p>
    <w:p>
      <w:bookmarkStart w:id="1" w:name="bm_bscr_runbook_bscr_sql_only_outputs"/>
      <w:pPr>
        <w:pStyle w:val="Heading1"/>
        <w:keepNext/>
      </w:pPr>
      <w:r>
        <w:rPr>
          <w:b w:val="0"/>
          <w:i w:val="0"/>
        </w:rPr>
        <w:t>BSCR — SQL-only outputs</w:t>
      </w:r>
      <w:bookmarkEnd w:id="1"/>
    </w:p>
    <w:p>
      <w:r>
        <w:rPr>
          <w:b w:val="0"/>
          <w:i w:val="0"/>
        </w:rPr>
        <w:t xml:space="preserve">Paths below are relative to </w:t>
      </w:r>
      <w:r>
        <w:rPr>
          <w:rFonts w:ascii="Courier New" w:hAnsi="Courier New"/>
          <w:b w:val="0"/>
          <w:i w:val="0"/>
          <w:sz w:val="18"/>
        </w:rPr>
        <w:t>reporting/</w:t>
      </w:r>
      <w:r>
        <w:rPr>
          <w:b w:val="0"/>
          <w:i w:val="0"/>
        </w:rPr>
        <w:t xml:space="preserve">. The current route is </w:t>
      </w:r>
      <w:r>
        <w:rPr>
          <w:b/>
          <w:i w:val="0"/>
        </w:rPr>
        <w:t>SQL extraction and aggregation → CSV → Excel</w:t>
      </w:r>
      <w:r>
        <w:rPr>
          <w:b w:val="0"/>
          <w:i w:val="0"/>
        </w:rPr>
        <w:t xml:space="preserve">. The repository supplies the queries, not an approved database snapshot, connection, or reporting-cycle methodology. Resolve the </w:t>
      </w:r>
      <w:hyperlink r:id="rId9">
        <w:r>
          <w:rPr>
            <w:color w:val="0563C1"/>
            <w:u w:val="single"/>
          </w:rPr>
          <w:t>BSCR decisions</w:t>
        </w:r>
      </w:hyperlink>
      <w:r>
        <w:rPr>
          <w:b w:val="0"/>
          <w:i w:val="0"/>
        </w:rPr>
        <w:t xml:space="preserve"> before production use.</w:t>
      </w:r>
    </w:p>
    <w:p>
      <w:bookmarkStart w:id="2" w:name="bm_bscr_runbook_run_the_two_sql_exports"/>
      <w:pPr>
        <w:pStyle w:val="Heading2"/>
        <w:keepNext/>
      </w:pPr>
      <w:r>
        <w:rPr>
          <w:b w:val="0"/>
          <w:i w:val="0"/>
        </w:rPr>
        <w:t>Run the two SQL exports</w:t>
      </w:r>
      <w:bookmarkEnd w:id="2"/>
    </w:p>
    <w:p>
      <w:r>
        <w:rPr>
          <w:b w:val="0"/>
          <w:i w:val="0"/>
        </w:rPr>
        <w:t xml:space="preserve">1. In an approved SQL Server client, select the approved EDM database and run </w:t>
      </w:r>
      <w:r>
        <w:rPr>
          <w:rFonts w:ascii="Courier New" w:hAnsi="Courier New"/>
          <w:b w:val="0"/>
          <w:i w:val="0"/>
          <w:sz w:val="18"/>
        </w:rPr>
        <w:t>bscr/sql/bscr-extract.sql</w:t>
      </w:r>
      <w:r>
        <w:rPr>
          <w:b w:val="0"/>
          <w:i w:val="0"/>
        </w:rPr>
        <w:t xml:space="preserve">. Its </w:t>
      </w:r>
      <w:r>
        <w:rPr>
          <w:rFonts w:ascii="Courier New" w:hAnsi="Courier New"/>
          <w:b w:val="0"/>
          <w:i w:val="0"/>
          <w:sz w:val="18"/>
        </w:rPr>
        <w:t>peril_selection</w:t>
      </w:r>
      <w:r>
        <w:rPr>
          <w:b w:val="0"/>
          <w:i w:val="0"/>
        </w:rPr>
        <w:t xml:space="preserve"> selects peril 1 (earthquake) and 2 (wind) together. Both use the single </w:t>
      </w:r>
      <w:r>
        <w:rPr>
          <w:rFonts w:ascii="Courier New" w:hAnsi="Courier New"/>
          <w:b w:val="0"/>
          <w:i w:val="0"/>
          <w:sz w:val="18"/>
        </w:rPr>
        <w:t>@policy_type = 1</w:t>
      </w:r>
      <w:r>
        <w:rPr>
          <w:b w:val="0"/>
          <w:i w:val="0"/>
        </w:rPr>
        <w:t xml:space="preserve"> filter: confirm that policy population is appropriate for both perils; the query does not select a separate policy type per peril.</w:t>
      </w:r>
    </w:p>
    <w:p>
      <w:r>
        <w:rPr>
          <w:b w:val="0"/>
          <w:i w:val="0"/>
        </w:rPr>
        <w:t xml:space="preserve">2. Export the raw/source result with these eight headers, in order: </w:t>
      </w:r>
      <w:r>
        <w:rPr>
          <w:rFonts w:ascii="Courier New" w:hAnsi="Courier New"/>
          <w:b w:val="0"/>
          <w:i w:val="0"/>
          <w:sz w:val="18"/>
        </w:rPr>
        <w:t>pml, accgrpid, uwritrname, state, userid1, cntrycode, is_geocoded, peril_id</w:t>
      </w:r>
      <w:r>
        <w:rPr>
          <w:b w:val="0"/>
          <w:i w:val="0"/>
        </w:rPr>
        <w:t>. These are already capped account/geography aggregates, not location or individual-policy detail.</w:t>
      </w:r>
    </w:p>
    <w:p>
      <w:r>
        <w:rPr>
          <w:b w:val="0"/>
          <w:i w:val="0"/>
        </w:rPr>
        <w:t xml:space="preserve">3. Run </w:t>
      </w:r>
      <w:r>
        <w:rPr>
          <w:rFonts w:ascii="Courier New" w:hAnsi="Courier New"/>
          <w:b w:val="0"/>
          <w:i w:val="0"/>
          <w:sz w:val="18"/>
        </w:rPr>
        <w:t>bscr/sql/bscr-output.sql</w:t>
      </w:r>
      <w:r>
        <w:rPr>
          <w:b w:val="0"/>
          <w:i w:val="0"/>
        </w:rPr>
        <w:t xml:space="preserve"> against the </w:t>
      </w:r>
      <w:r>
        <w:rPr>
          <w:b/>
          <w:i w:val="0"/>
        </w:rPr>
        <w:t>same snapshot</w:t>
      </w:r>
      <w:r>
        <w:rPr>
          <w:b w:val="0"/>
          <w:i w:val="0"/>
        </w:rPr>
        <w:t xml:space="preserve"> and peril selection. It matches policy type to each peril rather than using the extract's single </w:t>
      </w:r>
      <w:r>
        <w:rPr>
          <w:rFonts w:ascii="Courier New" w:hAnsi="Courier New"/>
          <w:b w:val="0"/>
          <w:i w:val="0"/>
          <w:sz w:val="18"/>
        </w:rPr>
        <w:t>@policy_type</w:t>
      </w:r>
      <w:r>
        <w:rPr>
          <w:b w:val="0"/>
          <w:i w:val="0"/>
        </w:rPr>
        <w:t xml:space="preserve">. It independently calculates the source exposure; it does not read the raw CSV. Leave </w:t>
      </w:r>
      <w:r>
        <w:rPr>
          <w:rFonts w:ascii="Courier New" w:hAnsi="Courier New"/>
          <w:b w:val="0"/>
          <w:i w:val="0"/>
          <w:sz w:val="18"/>
        </w:rPr>
        <w:t>@bscr_entity = NULL</w:t>
      </w:r>
      <w:r>
        <w:rPr>
          <w:b w:val="0"/>
          <w:i w:val="0"/>
        </w:rPr>
        <w:t xml:space="preserve"> for all entities, including unmapped NULL entities, or set a quoted value such as </w:t>
      </w:r>
      <w:r>
        <w:rPr>
          <w:rFonts w:ascii="Courier New" w:hAnsi="Courier New"/>
          <w:b w:val="0"/>
          <w:i w:val="0"/>
          <w:sz w:val="18"/>
        </w:rPr>
        <w:t>'HIC'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'33'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'HIG'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'HSA'</w:t>
      </w:r>
      <w:r>
        <w:rPr>
          <w:b w:val="0"/>
          <w:i w:val="0"/>
        </w:rPr>
        <w:t xml:space="preserve">, or </w:t>
      </w:r>
      <w:r>
        <w:rPr>
          <w:rFonts w:ascii="Courier New" w:hAnsi="Courier New"/>
          <w:b w:val="0"/>
          <w:i w:val="0"/>
          <w:sz w:val="18"/>
        </w:rPr>
        <w:t>'3624'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4. Confirm </w:t>
      </w:r>
      <w:r>
        <w:rPr>
          <w:rFonts w:ascii="Courier New" w:hAnsi="Courier New"/>
          <w:b w:val="0"/>
          <w:i w:val="0"/>
          <w:sz w:val="18"/>
        </w:rPr>
        <w:t>@qs_pct_retention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@srp_pct_retention</w:t>
      </w:r>
      <w:r>
        <w:rPr>
          <w:b w:val="0"/>
          <w:i w:val="0"/>
        </w:rPr>
        <w:t xml:space="preserve"> (</w:t>
      </w:r>
      <w:r>
        <w:rPr>
          <w:rFonts w:ascii="Courier New" w:hAnsi="Courier New"/>
          <w:b w:val="0"/>
          <w:i w:val="0"/>
          <w:sz w:val="18"/>
        </w:rPr>
        <w:t>0.5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0.3333</w:t>
      </w:r>
      <w:r>
        <w:rPr>
          <w:b w:val="0"/>
          <w:i w:val="0"/>
        </w:rPr>
        <w:t xml:space="preserve">). They are retained fractions, not percentages to divide by 100. A literal </w:t>
      </w:r>
      <w:r>
        <w:rPr>
          <w:rFonts w:ascii="Courier New" w:hAnsi="Courier New"/>
          <w:b w:val="0"/>
          <w:i w:val="0"/>
          <w:sz w:val="18"/>
        </w:rPr>
        <w:t>_QS</w:t>
      </w:r>
      <w:r>
        <w:rPr>
          <w:b w:val="0"/>
          <w:i w:val="0"/>
        </w:rPr>
        <w:t xml:space="preserve"> marker in </w:t>
      </w:r>
      <w:r>
        <w:rPr>
          <w:rFonts w:ascii="Courier New" w:hAnsi="Courier New"/>
          <w:b w:val="0"/>
          <w:i w:val="0"/>
          <w:sz w:val="18"/>
        </w:rPr>
        <w:t>userid1</w:t>
      </w:r>
      <w:r>
        <w:rPr>
          <w:b w:val="0"/>
          <w:i w:val="0"/>
        </w:rPr>
        <w:t xml:space="preserve"> takes precedence over </w:t>
      </w:r>
      <w:r>
        <w:rPr>
          <w:rFonts w:ascii="Courier New" w:hAnsi="Courier New"/>
          <w:b w:val="0"/>
          <w:i w:val="0"/>
          <w:sz w:val="18"/>
        </w:rPr>
        <w:t>_SRP</w:t>
      </w:r>
      <w:r>
        <w:rPr>
          <w:b w:val="0"/>
          <w:i w:val="0"/>
        </w:rPr>
        <w:t xml:space="preserve">; other rows retain the full amount. Set </w:t>
      </w:r>
      <w:r>
        <w:rPr>
          <w:rFonts w:ascii="Courier New" w:hAnsi="Courier New"/>
          <w:b w:val="0"/>
          <w:i w:val="0"/>
          <w:sz w:val="18"/>
        </w:rPr>
        <w:t>@gbp_to_usd</w:t>
      </w:r>
      <w:r>
        <w:rPr>
          <w:b w:val="0"/>
          <w:i w:val="0"/>
        </w:rPr>
        <w:t xml:space="preserve"> to the approved USD-per-GBP rate (default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). The final SELECT converts gross/net amounts to full USD; counts and grouping are unchanged. No division by 1,000,000 is applied in SQL.</w:t>
      </w:r>
    </w:p>
    <w:p>
      <w:r>
        <w:rPr>
          <w:b w:val="0"/>
          <w:i w:val="0"/>
        </w:rPr>
        <w:t xml:space="preserve">5. Export the aggregate result with these eight headers: </w:t>
      </w:r>
      <w:r>
        <w:rPr>
          <w:rFonts w:ascii="Courier New" w:hAnsi="Courier New"/>
          <w:b w:val="0"/>
          <w:i w:val="0"/>
          <w:sz w:val="18"/>
        </w:rPr>
        <w:t>cntrycode, bscr_entity, region, sum_pml, sum_net, count_policies, is_geocoded, peril_id</w:t>
      </w:r>
      <w:r>
        <w:rPr>
          <w:b w:val="0"/>
          <w:i w:val="0"/>
        </w:rPr>
        <w:t xml:space="preserve">.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is explicit: </w:t>
      </w:r>
      <w:r>
        <w:rPr>
          <w:rFonts w:ascii="Courier New" w:hAnsi="Courier New"/>
          <w:b w:val="0"/>
          <w:i w:val="0"/>
          <w:sz w:val="18"/>
        </w:rPr>
        <w:t>1</w:t>
      </w:r>
      <w:r>
        <w:rPr>
          <w:b w:val="0"/>
          <w:i w:val="0"/>
        </w:rPr>
        <w:t xml:space="preserve"> for earthquake (including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), </w:t>
      </w:r>
      <w:r>
        <w:rPr>
          <w:rFonts w:ascii="Courier New" w:hAnsi="Courier New"/>
          <w:b w:val="0"/>
          <w:i w:val="0"/>
          <w:sz w:val="18"/>
        </w:rPr>
        <w:t>2</w:t>
      </w:r>
      <w:r>
        <w:rPr>
          <w:b w:val="0"/>
          <w:i w:val="0"/>
        </w:rPr>
        <w:t xml:space="preserve"> for wind.</w:t>
      </w:r>
    </w:p>
    <w:p>
      <w:r>
        <w:rPr>
          <w:b w:val="0"/>
          <w:i w:val="0"/>
        </w:rPr>
        <w:t>6. Preserve both SQL files, parameter values, exports, row counts, totals and source-snapshot identity together. A successful export does not resolve the policy-grain or workbook defects below.</w:t>
      </w:r>
    </w:p>
    <w:p>
      <w:bookmarkStart w:id="3" w:name="bm_bscr_runbook_understand_and_reconcile_the_output"/>
      <w:pPr>
        <w:pStyle w:val="Heading2"/>
        <w:keepNext/>
      </w:pPr>
      <w:r>
        <w:rPr>
          <w:b w:val="0"/>
          <w:i w:val="0"/>
        </w:rPr>
        <w:t>Understand and reconcile the output</w:t>
      </w:r>
      <w:bookmarkEnd w:id="3"/>
    </w:p>
    <w:p>
      <w:r>
        <w:rPr>
          <w:b w:val="0"/>
          <w:i w:val="0"/>
        </w:rPr>
        <w:t xml:space="preserve">The aggregate grain is country, derived entity, region and geocode status. There is no final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column: the following region routing is part of the output contract.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Region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Peril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Current population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is_nahu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US (all states), CB, TC, BH, JM, VI, MX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is_eu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GB, UK, FR, DE, BE, NL, LX, AT, DK, SE, PL, CZ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is_jp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JP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is_na_eq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CA; US California, Washington, Oregon, South Carolina, Tennessee, or NULL state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is_jp_eq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JP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is_us_all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is_non_us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Anything other than US, including NULL country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ALL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All source countries</w:t>
            </w:r>
          </w:p>
        </w:tc>
      </w:tr>
    </w:tbl>
    <w:p/>
    <w:p>
      <w:r>
        <w:rPr>
          <w:b w:val="0"/>
          <w:i w:val="0"/>
        </w:rPr>
        <w:t xml:space="preserve">These are observed mappings, not approved geography definitions. </w:t>
      </w:r>
      <w:r>
        <w:rPr>
          <w:rFonts w:ascii="Courier New" w:hAnsi="Courier New"/>
          <w:b w:val="0"/>
          <w:i w:val="0"/>
          <w:sz w:val="18"/>
        </w:rPr>
        <w:t>LX</w:t>
      </w:r>
      <w:r>
        <w:rPr>
          <w:b w:val="0"/>
          <w:i w:val="0"/>
        </w:rPr>
        <w:t xml:space="preserve"> is literal; SQL does not substitute </w:t>
      </w:r>
      <w:r>
        <w:rPr>
          <w:rFonts w:ascii="Courier New" w:hAnsi="Courier New"/>
          <w:b w:val="0"/>
          <w:i w:val="0"/>
          <w:sz w:val="18"/>
        </w:rPr>
        <w:t>LU</w:t>
      </w:r>
      <w:r>
        <w:rPr>
          <w:b w:val="0"/>
          <w:i w:val="0"/>
        </w:rPr>
        <w:t xml:space="preserve">. Empty US state is not the same as NULL. Region rows overlap; </w:t>
      </w:r>
      <w:r>
        <w:rPr>
          <w:b/>
          <w:i w:val="0"/>
        </w:rPr>
        <w:t>never total all regions together</w:t>
      </w:r>
      <w:r>
        <w:rPr>
          <w:b w:val="0"/>
          <w:i w:val="0"/>
        </w:rPr>
        <w:t xml:space="preserve">.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 is earthquake only, not an all-peril or wind control. Wind outside its three regional populations has no aggregate output row.</w:t>
      </w:r>
    </w:p>
    <w:p>
      <w:r>
        <w:rPr>
          <w:b w:val="0"/>
          <w:i w:val="0"/>
        </w:rPr>
        <w:t xml:space="preserve">• Compare </w:t>
      </w:r>
      <w:r>
        <w:rPr>
          <w:rFonts w:ascii="Courier New" w:hAnsi="Courier New"/>
          <w:b w:val="0"/>
          <w:i w:val="0"/>
          <w:sz w:val="18"/>
        </w:rPr>
        <w:t>ALL.sum_pml</w:t>
      </w:r>
      <w:r>
        <w:rPr>
          <w:b w:val="0"/>
          <w:i w:val="0"/>
        </w:rPr>
        <w:t xml:space="preserve"> to raw </w:t>
      </w:r>
      <w:r>
        <w:rPr>
          <w:rFonts w:ascii="Courier New" w:hAnsi="Courier New"/>
          <w:b w:val="0"/>
          <w:i w:val="0"/>
          <w:sz w:val="18"/>
        </w:rPr>
        <w:t>pml * @gbp_to_usd</w:t>
      </w:r>
      <w:r>
        <w:rPr>
          <w:b w:val="0"/>
          <w:i w:val="0"/>
        </w:rPr>
        <w:t xml:space="preserve"> filtered to </w:t>
      </w:r>
      <w:r>
        <w:rPr>
          <w:rFonts w:ascii="Courier New" w:hAnsi="Courier New"/>
          <w:b w:val="0"/>
          <w:i w:val="0"/>
          <w:sz w:val="18"/>
        </w:rPr>
        <w:t>peril_id = 1</w:t>
      </w:r>
      <w:r>
        <w:rPr>
          <w:b w:val="0"/>
          <w:i w:val="0"/>
        </w:rPr>
        <w:t>, using the same entity scope and geocode/country grain. For an entity-filtered aggregate, first apply the same entity classification to the raw result.</w:t>
      </w:r>
    </w:p>
    <w:p>
      <w:r>
        <w:rPr>
          <w:b w:val="0"/>
          <w:i w:val="0"/>
        </w:rPr>
        <w:t xml:space="preserve">• Entity classification searches </w:t>
      </w:r>
      <w:r>
        <w:rPr>
          <w:rFonts w:ascii="Courier New" w:hAnsi="Courier New"/>
          <w:b w:val="0"/>
          <w:i w:val="0"/>
          <w:sz w:val="18"/>
        </w:rPr>
        <w:t>userid1</w:t>
      </w:r>
      <w:r>
        <w:rPr>
          <w:b w:val="0"/>
          <w:i w:val="0"/>
        </w:rPr>
        <w:t xml:space="preserve"> case-insensitively in this order: HIG, HSA, 33, 3624, HIC. It is substring matching, not an exact portfolio map; unmatched values produce NULL. Investigate those rows before filtering.</w:t>
      </w:r>
    </w:p>
    <w:p>
      <w:r>
        <w:rPr>
          <w:b w:val="0"/>
          <w:i w:val="0"/>
        </w:rPr>
        <w:t>• Check each wind region separately against the corresponding peril-2 raw population after applying the same FX rate. Reconcile gross-to-net movement by QS/SRP category.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count_policies</w:t>
      </w:r>
      <w:r>
        <w:rPr>
          <w:b w:val="0"/>
          <w:i w:val="0"/>
        </w:rPr>
        <w:t xml:space="preserve"> is </w:t>
      </w:r>
      <w:r>
        <w:rPr>
          <w:rFonts w:ascii="Courier New" w:hAnsi="Courier New"/>
          <w:b w:val="0"/>
          <w:i w:val="0"/>
          <w:sz w:val="18"/>
        </w:rPr>
        <w:t>COUNT_BIG(*)</w:t>
      </w:r>
      <w:r>
        <w:rPr>
          <w:b w:val="0"/>
          <w:i w:val="0"/>
        </w:rPr>
        <w:t xml:space="preserve"> over contributing source aggregates. It is neither distinct policies nor distinct contracts and is not an approved Schedule X(f) count.</w:t>
      </w:r>
    </w:p>
    <w:p>
      <w:r>
        <w:rPr>
          <w:b w:val="0"/>
          <w:i w:val="0"/>
        </w:rPr>
        <w:t>• The extract retains source currency; the aggregate converts assumed GBP amounts to full USD only in its final SELECT. Confirm all source amounts are GBP independently: currency is absent from both final exports, and a single rate cannot normalize mixed-currency data. Neither query divides by 1,000,000.</w:t>
      </w:r>
    </w:p>
    <w:p>
      <w:r>
        <w:rPr>
          <w:b w:val="0"/>
          <w:i w:val="0"/>
        </w:rPr>
        <w:t xml:space="preserve">• The extract still retains the account-only policy rejoin, policy-side geocode and cap grouping without </w:t>
      </w:r>
      <w:r>
        <w:rPr>
          <w:rFonts w:ascii="Courier New" w:hAnsi="Courier New"/>
          <w:b w:val="0"/>
          <w:i w:val="0"/>
          <w:sz w:val="18"/>
        </w:rPr>
        <w:t>policyid</w:t>
      </w:r>
      <w:r>
        <w:rPr>
          <w:b w:val="0"/>
          <w:i w:val="0"/>
        </w:rPr>
        <w:t xml:space="preserve">. The aggregate query corrects those joins, matches policies by peril, and applies caps separately per policy within each exposure grouping. Raw-to-aggregate differences can therefore remain after FX conversion. Obtain independent source and before/after-join controls rather than treating the legacy extract as a correctness baseline. See BSCR-002 in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</w:t>
      </w:r>
    </w:p>
    <w:p>
      <w:bookmarkStart w:id="4" w:name="bm_bscr_runbook_load_a_controlled_workbook_copy"/>
      <w:pPr>
        <w:pStyle w:val="Heading2"/>
        <w:keepNext/>
      </w:pPr>
      <w:r>
        <w:rPr>
          <w:b w:val="0"/>
          <w:i w:val="0"/>
        </w:rPr>
        <w:t>Load a controlled workbook copy</w:t>
      </w:r>
      <w:bookmarkEnd w:id="4"/>
    </w:p>
    <w:p>
      <w:r>
        <w:rPr>
          <w:b w:val="0"/>
          <w:i w:val="0"/>
        </w:rPr>
        <w:t xml:space="preserve">Use </w:t>
      </w:r>
      <w:r>
        <w:rPr>
          <w:rFonts w:ascii="Courier New" w:hAnsi="Courier New"/>
          <w:b w:val="0"/>
          <w:i w:val="0"/>
          <w:sz w:val="18"/>
        </w:rPr>
        <w:t>bscr/workbooks/BSCR_Workings.xlsx</w:t>
      </w:r>
      <w:r>
        <w:rPr>
          <w:b w:val="0"/>
          <w:i w:val="0"/>
        </w:rPr>
        <w:t xml:space="preserve"> as workings, not as a completed return. Its current input is a worksheet range, </w:t>
      </w:r>
      <w:r>
        <w:rPr>
          <w:b/>
          <w:i w:val="0"/>
        </w:rPr>
        <w:t>not an Excel table</w:t>
      </w:r>
      <w:r>
        <w:rPr>
          <w:b w:val="0"/>
          <w:i w:val="0"/>
        </w:rPr>
        <w:t>, and there is no configured Power Query connection.</w:t>
      </w:r>
    </w:p>
    <w:p>
      <w:r>
        <w:rPr>
          <w:b w:val="0"/>
          <w:i w:val="0"/>
        </w:rPr>
        <w:t>1. Resolve the affected workbook blockers below before a production refresh.</w:t>
      </w:r>
    </w:p>
    <w:p>
      <w:r>
        <w:rPr>
          <w:b w:val="0"/>
          <w:i w:val="0"/>
        </w:rPr>
        <w:t xml:space="preserve">2. Set </w:t>
      </w:r>
      <w:r>
        <w:rPr>
          <w:rFonts w:ascii="Courier New" w:hAnsi="Courier New"/>
          <w:b w:val="0"/>
          <w:i w:val="0"/>
          <w:sz w:val="18"/>
        </w:rPr>
        <w:t>Settings!B7</w:t>
      </w:r>
      <w:r>
        <w:rPr>
          <w:b w:val="0"/>
          <w:i w:val="0"/>
        </w:rPr>
        <w:t xml:space="preserve"> to the entity being prepared. Its validation list contains 33, HIC, HIG, HSA and 3624. If filtering the SQL, use the same entity value.</w:t>
      </w:r>
    </w:p>
    <w:p>
      <w:r>
        <w:rPr>
          <w:b w:val="0"/>
          <w:i w:val="0"/>
        </w:rPr>
        <w:t xml:space="preserve">3. Load only the </w:t>
      </w:r>
      <w:r>
        <w:rPr>
          <w:b/>
          <w:i w:val="0"/>
        </w:rPr>
        <w:t>first seven columns of the aggregate</w:t>
      </w:r>
      <w:r>
        <w:rPr>
          <w:b w:val="0"/>
          <w:i w:val="0"/>
        </w:rPr>
        <w:t xml:space="preserve">, not the raw export, into </w:t>
      </w:r>
      <w:r>
        <w:rPr>
          <w:rFonts w:ascii="Courier New" w:hAnsi="Courier New"/>
          <w:b w:val="0"/>
          <w:i w:val="0"/>
          <w:sz w:val="18"/>
        </w:rPr>
        <w:t>BSCR Source Data!A:G</w:t>
      </w:r>
      <w:r>
        <w:rPr>
          <w:b w:val="0"/>
          <w:i w:val="0"/>
        </w:rPr>
        <w:t xml:space="preserve"> with headers in row 1. Preserve the eighth column (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>) in the CSV for audit; do not paste it into H, which contains workbook formulas. Clear stale controlled input rows. First adapt the currency formulas as described below; preserve unrelated worksheet content.</w:t>
      </w:r>
    </w:p>
    <w:p>
      <w:r>
        <w:rPr>
          <w:b w:val="0"/>
          <w:i w:val="0"/>
        </w:rPr>
        <w:t xml:space="preserve">4. </w:t>
      </w:r>
      <w:r>
        <w:rPr>
          <w:rFonts w:ascii="Courier New" w:hAnsi="Courier New"/>
          <w:b w:val="0"/>
          <w:i w:val="0"/>
          <w:sz w:val="18"/>
        </w:rPr>
        <w:t>BSCR Output!C:E</w:t>
      </w:r>
      <w:r>
        <w:rPr>
          <w:b w:val="0"/>
          <w:i w:val="0"/>
        </w:rPr>
        <w:t xml:space="preserve"> uses </w:t>
      </w:r>
      <w:r>
        <w:rPr>
          <w:rFonts w:ascii="Courier New" w:hAnsi="Courier New"/>
          <w:b w:val="0"/>
          <w:i w:val="0"/>
          <w:sz w:val="18"/>
        </w:rPr>
        <w:t>SUMIFS</w:t>
      </w:r>
      <w:r>
        <w:rPr>
          <w:b w:val="0"/>
          <w:i w:val="0"/>
        </w:rPr>
        <w:t xml:space="preserve"> over source D:F, matching entity, region and geocode from output A, B and F, and summing across countries. Those grouping keys are a fixed list: ensure every incoming key has an approved output row. Recalculation does not create missing groups.</w:t>
      </w:r>
    </w:p>
    <w:p>
      <w:r>
        <w:rPr>
          <w:b w:val="0"/>
          <w:i w:val="0"/>
        </w:rPr>
        <w:t xml:space="preserve">5. Before loading the USD aggregate, remove or bypass the workbook's GBP-to-USD multiplication on every gross/net path. Retain division by 1,000,000 only where USD millions are required. The checked-in workbook has not been updated for this SQL currency change: loading into its existing formulas would convert twice. Changing </w:t>
      </w:r>
      <w:r>
        <w:rPr>
          <w:rFonts w:ascii="Courier New" w:hAnsi="Courier New"/>
          <w:b w:val="0"/>
          <w:i w:val="0"/>
          <w:sz w:val="18"/>
        </w:rPr>
        <w:t>Settings!B3</w:t>
      </w:r>
      <w:r>
        <w:rPr>
          <w:b w:val="0"/>
          <w:i w:val="0"/>
        </w:rPr>
        <w:t xml:space="preserve"> alone is insufficient because some formulas hard-code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. Reconcile formula coverage before refresh.</w:t>
      </w:r>
    </w:p>
    <w:p>
      <w:r>
        <w:rPr>
          <w:b w:val="0"/>
          <w:i w:val="0"/>
        </w:rPr>
        <w:t>6. Reconcile source → output → pivots → schedule reference cells. Retain a reviewed copy and the final-template transfer record.</w:t>
      </w:r>
    </w:p>
    <w:p>
      <w:bookmarkStart w:id="5" w:name="bm_bscr_runbook_current_workbook_blockers"/>
      <w:pPr>
        <w:pStyle w:val="Heading3"/>
        <w:keepNext/>
      </w:pPr>
      <w:r>
        <w:rPr>
          <w:b w:val="0"/>
          <w:i w:val="0"/>
        </w:rPr>
        <w:t>Current workbook blockers</w:t>
      </w:r>
      <w:bookmarkEnd w:id="5"/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Japanese perils reversed:</w:t>
      </w:r>
      <w:r>
        <w:rPr>
          <w:b w:val="0"/>
          <w:i w:val="0"/>
        </w:rPr>
        <w:t xml:space="preserve"> </w:t>
      </w:r>
      <w:r>
        <w:rPr>
          <w:rFonts w:ascii="Courier New" w:hAnsi="Courier New"/>
          <w:b w:val="0"/>
          <w:i w:val="0"/>
          <w:sz w:val="18"/>
        </w:rPr>
        <w:t>Schedule X(c)!B7:C7</w:t>
      </w:r>
      <w:r>
        <w:rPr>
          <w:b w:val="0"/>
          <w:i w:val="0"/>
        </w:rPr>
        <w:t xml:space="preserve"> (earthquake) selects </w:t>
      </w:r>
      <w:r>
        <w:rPr>
          <w:rFonts w:ascii="Courier New" w:hAnsi="Courier New"/>
          <w:b w:val="0"/>
          <w:i w:val="0"/>
          <w:sz w:val="18"/>
        </w:rPr>
        <w:t>is_jp</w:t>
      </w:r>
      <w:r>
        <w:rPr>
          <w:b w:val="0"/>
          <w:i w:val="0"/>
        </w:rPr>
        <w:t xml:space="preserve">, which SQL now defines as wind. </w:t>
      </w:r>
      <w:r>
        <w:rPr>
          <w:rFonts w:ascii="Courier New" w:hAnsi="Courier New"/>
          <w:b w:val="0"/>
          <w:i w:val="0"/>
          <w:sz w:val="18"/>
        </w:rPr>
        <w:t>B8:C8</w:t>
      </w:r>
      <w:r>
        <w:rPr>
          <w:b w:val="0"/>
          <w:i w:val="0"/>
        </w:rPr>
        <w:t xml:space="preserve"> (typhoon) selects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>, which SQL defines as earthquake. Resolve the formula/key mapping before use.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Pivot coverage:</w:t>
      </w:r>
      <w:r>
        <w:rPr>
          <w:b w:val="0"/>
          <w:i w:val="0"/>
        </w:rPr>
        <w:t xml:space="preserve"> the output pivot cache still uses </w:t>
      </w:r>
      <w:r>
        <w:rPr>
          <w:rFonts w:ascii="Courier New" w:hAnsi="Courier New"/>
          <w:b w:val="0"/>
          <w:i w:val="0"/>
          <w:sz w:val="18"/>
        </w:rPr>
        <w:t>BSCR Output!A1:J50</w:t>
      </w:r>
      <w:r>
        <w:rPr>
          <w:b w:val="0"/>
          <w:i w:val="0"/>
        </w:rPr>
        <w:t xml:space="preserve">, excluding rows 51–70 for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 xml:space="preserve">. The source pivot uses </w:t>
      </w:r>
      <w:r>
        <w:rPr>
          <w:rFonts w:ascii="Courier New" w:hAnsi="Courier New"/>
          <w:b w:val="0"/>
          <w:i w:val="0"/>
          <w:sz w:val="18"/>
        </w:rPr>
        <w:t>BSCR Source Data!A1:K1048576</w:t>
      </w:r>
      <w:r>
        <w:rPr>
          <w:b w:val="0"/>
          <w:i w:val="0"/>
        </w:rPr>
        <w:t>; neither is a dynamically sized Excel table.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FX is not fully settings-driven:</w:t>
      </w:r>
      <w:r>
        <w:rPr>
          <w:b w:val="0"/>
          <w:i w:val="0"/>
        </w:rPr>
        <w:t xml:space="preserve"> source H:I rows 3–453 and output G rows 3–50 use shared formulas containing hard-coded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. Changing B3 alone does not update those conversions. Resolve and reconcile all affected gross/net paths before applying another rate.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Cached data is not a current SQL run:</w:t>
      </w:r>
      <w:r>
        <w:rPr>
          <w:b w:val="0"/>
          <w:i w:val="0"/>
        </w:rPr>
        <w:t xml:space="preserve"> source rows contain the older six region labels, without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or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>. Workbook instructions and audit notes also retain older Python/Power Query wording. Forced recalculation on open does not load new data or repair these inconsistencies.</w:t>
      </w:r>
    </w:p>
    <w:p>
      <w:r>
        <w:rPr>
          <w:b w:val="0"/>
          <w:i w:val="0"/>
        </w:rPr>
        <w:t xml:space="preserve">See BSCR-001 and BSCR-007 through BSCR-011 in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</w:t>
      </w:r>
    </w:p>
    <w:p>
      <w:bookmarkStart w:id="6" w:name="bm_bscr_runbook_completion_boundary"/>
      <w:pPr>
        <w:pStyle w:val="Heading2"/>
        <w:keepNext/>
      </w:pPr>
      <w:r>
        <w:rPr>
          <w:b w:val="0"/>
          <w:i w:val="0"/>
        </w:rPr>
        <w:t>Completion boundary</w:t>
      </w:r>
      <w:bookmarkEnd w:id="6"/>
    </w:p>
    <w:p>
      <w:r>
        <w:rPr>
          <w:b w:val="0"/>
          <w:i w:val="0"/>
        </w:rPr>
        <w:t xml:space="preserve">Schedule X(a) and X(b) require independent approved EP-curve and premium sources. X(c) contains combined regional exposure references, not all required premium/limit splits. X(f) needs distinct-contract and modelability sources. Approve the final template and field-by-field mapping before submission; files in </w:t>
      </w:r>
      <w:r>
        <w:rPr>
          <w:rFonts w:ascii="Courier New" w:hAnsi="Courier New"/>
          <w:b w:val="0"/>
          <w:i w:val="0"/>
          <w:sz w:val="18"/>
        </w:rPr>
        <w:t>bscr/old-process/Workings/</w:t>
      </w:r>
      <w:r>
        <w:rPr>
          <w:b w:val="0"/>
          <w:i w:val="0"/>
        </w:rPr>
        <w:t xml:space="preserve"> are historical presentation evidence, not SQL inputs or proof of current template approval.</w:t>
      </w:r>
    </w:p>
    <w:p>
      <w:r>
        <w:rPr>
          <w:rFonts w:ascii="Courier New" w:hAnsi="Courier New"/>
          <w:b w:val="0"/>
          <w:i w:val="0"/>
          <w:sz w:val="18"/>
        </w:rPr>
        <w:t>bscr/BSCR_UKEU.py</w:t>
      </w:r>
      <w:r>
        <w:rPr>
          <w:b w:val="0"/>
          <w:i w:val="0"/>
        </w:rPr>
        <w:t xml:space="preserve"> is retained for historical comparison only. Its strict seven-column source contract rejects the current eight-column extract, and its aggregation does not implement the current dual-peril routing or the new region keys. Do not remove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and feed combined-peril rows into it.</w:t>
      </w:r>
    </w:p>
    <w:p>
      <w:r>
        <w:rPr>
          <w:rFonts w:ascii="Courier New" w:hAnsi="Courier New"/>
          <w:b w:val="0"/>
          <w:i w:val="0"/>
          <w:sz w:val="18"/>
        </w:rPr>
        <w:t>bscr/BSCR_UKEU_original.py</w:t>
      </w:r>
      <w:r>
        <w:rPr>
          <w:b w:val="0"/>
          <w:i w:val="0"/>
        </w:rPr>
        <w:t xml:space="preserve"> preserves the original Marimo application, also archived at </w:t>
      </w:r>
      <w:r>
        <w:rPr>
          <w:rFonts w:ascii="Courier New" w:hAnsi="Courier New"/>
          <w:b w:val="0"/>
          <w:i w:val="0"/>
          <w:sz w:val="18"/>
        </w:rPr>
        <w:t>bscr/old-process/BSCR_UKEU.py</w:t>
      </w:r>
      <w:r>
        <w:rPr>
          <w:b w:val="0"/>
          <w:i w:val="0"/>
        </w:rPr>
        <w:t>. It connects directly to SQL Server and runs its embedded earthquake-only query before the Python aggregation. Its original policy/geocoding calculation defects are preserved, so its totals are not a correctness baseline for the corrected SQL output.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decisions.md#bscr-01" TargetMode="External"/><Relationship Id="rId10" Type="http://schemas.openxmlformats.org/officeDocument/2006/relationships/hyperlink" Target="../calculation-discrepancies.md#bscr-schedule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