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Lloyd’s/RDS Supplementary Runbook</w:t>
      </w:r>
    </w:p>
    <w:p>
      <w:pPr>
        <w:pStyle w:val="Subtitle"/>
      </w:pPr>
      <w:r>
        <w:t xml:space="preserve">January 2026</w:t>
      </w:r>
    </w:p>
    <w:bookmarkStart w:id="21" w:name="X7de4e4fd6e0067b8ab9ba4a7e9bb970de5e0280"/>
    <w:p>
      <w:pPr>
        <w:pStyle w:val="Heading1"/>
      </w:pPr>
      <w:r>
        <w:t xml:space="preserve">Lloyd’s supplementary information</w:t>
      </w:r>
    </w:p>
    <w:p>
      <w:pPr>
        <w:pStyle w:val="FirstParagraph"/>
      </w:pPr>
      <w:hyperlink r:id="rId9">
        <w:r>
          <w:rPr>
            <w:rStyle w:val="Hyperlink"/>
          </w:rPr>
          <w:t xml:space="preserve">Start here</w:t>
        </w:r>
      </w:hyperlink>
      <w:r>
        <w:t xml:space="preserve"> </w:t>
      </w:r>
      <w:r>
        <w:t xml:space="preserve">·</w:t>
      </w:r>
      <w:r>
        <w:t xml:space="preserve"> </w:t>
      </w:r>
      <w:hyperlink w:anchor="operating-controls-run-checklist">
        <w:r>
          <w:rPr>
            <w:rStyle w:val="Hyperlink"/>
          </w:rPr>
          <w:t xml:space="preserve">Run checklist</w:t>
        </w:r>
      </w:hyperlink>
      <w:r>
        <w:t xml:space="preserve"> </w:t>
      </w:r>
      <w:r>
        <w:t xml:space="preserve">·</w:t>
      </w:r>
      <w:r>
        <w:t xml:space="preserve"> </w:t>
      </w:r>
      <w:hyperlink r:id="rId10">
        <w:r>
          <w:rPr>
            <w:rStyle w:val="Hyperlink"/>
          </w:rPr>
          <w:t xml:space="preserve">Detailed LLM reference</w:t>
        </w:r>
      </w:hyperlink>
    </w:p>
    <w:p>
      <w:pPr>
        <w:pStyle w:val="BodyText"/>
      </w:pPr>
      <w:r>
        <w:rPr>
          <w:b/>
          <w:bCs/>
        </w:rPr>
        <w:t xml:space="preserve">Result:</w:t>
      </w:r>
      <w:r>
        <w:t xml:space="preserve"> </w:t>
      </w:r>
      <w:r>
        <w:t xml:space="preserve">four calculation reports for transfer to a separate Lloyd’s/RDS</w:t>
      </w:r>
      <w:r>
        <w:t xml:space="preserve"> </w:t>
      </w:r>
      <w:r>
        <w:t xml:space="preserve">template. The approved final template and destination-cell map are not supplied.</w:t>
      </w:r>
      <w:r>
        <w:t xml:space="preserve"> </w:t>
      </w:r>
      <w:r>
        <w:t xml:space="preserve">Each branch also has unresolved calculation decisions, listed below.</w:t>
      </w:r>
    </w:p>
    <w:bookmarkStart w:id="11" w:name="lloyds-runbook-1-get-the-source-pack"/>
    <w:p>
      <w:pPr>
        <w:pStyle w:val="Heading2"/>
      </w:pPr>
      <w:r>
        <w:t xml:space="preserve">1. Get the source pack</w:t>
      </w:r>
    </w:p>
    <w:p>
      <w:pPr>
        <w:pStyle w:val="FirstParagraph"/>
      </w:pPr>
      <w:r>
        <w:t xml:space="preserve">Keep these together: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lloyds/source/Supplementary Info UKEU S33.xlsx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lloyds/source/RE RDS Supplementary Information - UKEU 33.msg</w:t>
      </w:r>
    </w:p>
    <w:p>
      <w:pPr>
        <w:pStyle w:val="FirstParagraph"/>
      </w:pPr>
      <w:r>
        <w:t xml:space="preserve">The S33 tabs are</w:t>
      </w:r>
      <w:r>
        <w:t xml:space="preserve"> </w:t>
      </w:r>
      <w:r>
        <w:rPr>
          <w:b/>
          <w:bCs/>
        </w:rPr>
        <w:t xml:space="preserve">source evidence, not ready-to-paste extracts</w:t>
      </w:r>
      <w:r>
        <w:t xml:space="preserve">. Use an</w:t>
      </w:r>
      <w:r>
        <w:t xml:space="preserve"> </w:t>
      </w:r>
      <w:r>
        <w:t xml:space="preserve">approved SQL query or transformation with the fields each workbook needs.</w:t>
      </w:r>
      <w:r>
        <w:t xml:space="preserve"> </w:t>
      </w:r>
      <w:r>
        <w:t xml:space="preserve">Complete the</w:t>
      </w:r>
      <w:r>
        <w:t xml:space="preserve"> </w:t>
      </w:r>
      <w:hyperlink w:anchor="operating-controls-run-checklist">
        <w:r>
          <w:rPr>
            <w:rStyle w:val="Hyperlink"/>
          </w:rPr>
          <w:t xml:space="preserve">run checklist</w:t>
        </w:r>
      </w:hyperlink>
      <w:r>
        <w:t xml:space="preserve"> </w:t>
      </w:r>
      <w:r>
        <w:t xml:space="preserve">before loading data.</w:t>
      </w:r>
    </w:p>
    <w:bookmarkEnd w:id="11"/>
    <w:bookmarkStart w:id="16" w:name="lloyds-runbook-2-prepare-each-branch"/>
    <w:p>
      <w:pPr>
        <w:pStyle w:val="Heading2"/>
      </w:pPr>
      <w:r>
        <w:t xml:space="preserve">2. Prepare each branch</w:t>
      </w:r>
    </w:p>
    <w:p>
      <w:pPr>
        <w:pStyle w:val="FirstParagraph"/>
      </w:pPr>
      <w:r>
        <w:t xml:space="preserve">All calculation workbooks below are in</w:t>
      </w:r>
      <w:r>
        <w:t xml:space="preserve"> </w:t>
      </w:r>
      <w:r>
        <w:rPr>
          <w:rStyle w:val="VerbatimChar"/>
        </w:rPr>
        <w:t xml:space="preserve">lloyds/workbooks/</w:t>
      </w:r>
      <w:r>
        <w:t xml:space="preserve">. Work on copies.</w:t>
      </w:r>
      <w:r>
        <w:t xml:space="preserve"> </w:t>
      </w:r>
      <w:r>
        <w:t xml:space="preserve">Paste data</w:t>
      </w:r>
      <w:r>
        <w:t xml:space="preserve"> </w:t>
      </w:r>
      <w:r>
        <w:rPr>
          <w:b/>
          <w:bCs/>
        </w:rPr>
        <w:t xml:space="preserve">without headers</w:t>
      </w:r>
      <w:r>
        <w:t xml:space="preserve">, starting at row 2; preserve helper/formula columns.</w:t>
      </w:r>
    </w:p>
    <w:bookmarkStart w:id="12" w:name="X605dcb7b0aadc7189bd892902e11f02c7304799"/>
    <w:p>
      <w:pPr>
        <w:pStyle w:val="Heading3"/>
      </w:pPr>
      <w:r>
        <w:t xml:space="preserve">Rest of World — country/peril</w:t>
      </w:r>
    </w:p>
    <w:p>
      <w:pPr>
        <w:pStyle w:val="FirstParagraph"/>
      </w:pPr>
      <w:r>
        <w:t xml:space="preserve">Workbook:</w:t>
      </w:r>
      <w:r>
        <w:t xml:space="preserve"> </w:t>
      </w:r>
      <w:r>
        <w:rPr>
          <w:rStyle w:val="VerbatimChar"/>
        </w:rPr>
        <w:t xml:space="preserve">UKEU - Supplementary Info - RDL - Jan26 - Workings - ROW.xlsx</w:t>
      </w:r>
    </w:p>
    <w:p>
      <w:pPr>
        <w:pStyle w:val="Compact"/>
        <w:numPr>
          <w:ilvl w:val="0"/>
          <w:numId w:val="1002"/>
        </w:numPr>
      </w:pPr>
      <w:r>
        <w:t xml:space="preserve">Source: S33</w:t>
      </w:r>
      <w:r>
        <w:t xml:space="preserve"> </w:t>
      </w:r>
      <w:r>
        <w:rPr>
          <w:rStyle w:val="VerbatimChar"/>
        </w:rPr>
        <w:t xml:space="preserve">Weather</w:t>
      </w:r>
      <w:r>
        <w:t xml:space="preserve"> </w:t>
      </w:r>
      <w:r>
        <w:t xml:space="preserve">evidence plus four approved peril extracts/transformations.</w:t>
      </w:r>
    </w:p>
    <w:p>
      <w:pPr>
        <w:pStyle w:val="Compact"/>
        <w:numPr>
          <w:ilvl w:val="0"/>
          <w:numId w:val="1002"/>
        </w:numPr>
      </w:pPr>
      <w:r>
        <w:t xml:space="preserve">Load A:K on</w:t>
      </w:r>
      <w:r>
        <w:t xml:space="preserve"> </w:t>
      </w:r>
      <w:r>
        <w:rPr>
          <w:rStyle w:val="VerbatimChar"/>
        </w:rPr>
        <w:t xml:space="preserve">EQ Extract - Open Market</w:t>
      </w:r>
      <w:r>
        <w:t xml:space="preserve">,</w:t>
      </w:r>
      <w:r>
        <w:t xml:space="preserve"> </w:t>
      </w:r>
      <w:r>
        <w:rPr>
          <w:rStyle w:val="VerbatimChar"/>
        </w:rPr>
        <w:t xml:space="preserve">FR Extract  - Open Market</w:t>
      </w:r>
      <w:r>
        <w:t xml:space="preserve"> </w:t>
      </w:r>
      <w:r>
        <w:t xml:space="preserve">(two spaces before the hyphen),</w:t>
      </w:r>
      <w:r>
        <w:t xml:space="preserve"> </w:t>
      </w:r>
      <w:r>
        <w:rPr>
          <w:rStyle w:val="VerbatimChar"/>
        </w:rPr>
        <w:t xml:space="preserve">FL Extract - Open Market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WS Extract - Open Market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Preserve scale L and formula M. Report:</w:t>
      </w:r>
      <w:r>
        <w:t xml:space="preserve"> </w:t>
      </w:r>
      <w:r>
        <w:rPr>
          <w:rStyle w:val="VerbatimChar"/>
        </w:rPr>
        <w:t xml:space="preserve">3. RoW Exposure Monitoring</w:t>
      </w:r>
      <w:r>
        <w:t xml:space="preserve">.</w:t>
      </w:r>
      <w:r>
        <w:t xml:space="preserve"> </w:t>
      </w:r>
      <w:r>
        <w:t xml:space="preserve">Review stale helper rows too: the flood sheet has</w:t>
      </w:r>
      <w:r>
        <w:t xml:space="preserve"> </w:t>
      </w:r>
      <w:r>
        <w:rPr>
          <w:rStyle w:val="VerbatimChar"/>
        </w:rPr>
        <w:t xml:space="preserve">#N/A</w:t>
      </w:r>
      <w:r>
        <w:t xml:space="preserve"> </w:t>
      </w:r>
      <w:r>
        <w:t xml:space="preserve">below the current inputs.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Stop:</w:t>
      </w:r>
      <w:r>
        <w:t xml:space="preserve"> </w:t>
      </w:r>
      <w:r>
        <w:t xml:space="preserve">approve the source measure/currency, scale factors and pivot ranges.</w:t>
      </w:r>
      <w:r>
        <w:t xml:space="preserve"> </w:t>
      </w:r>
      <w:r>
        <w:t xml:space="preserve">The checked-in SQL is fixed to</w:t>
      </w:r>
      <w:r>
        <w:t xml:space="preserve"> </w:t>
      </w:r>
      <w:r>
        <w:rPr>
          <w:rStyle w:val="VerbatimChar"/>
        </w:rPr>
        <w:t xml:space="preserve">3/3</w:t>
      </w:r>
      <w:r>
        <w:t xml:space="preserve">; do not reuse it unchanged for all perils.</w:t>
      </w:r>
    </w:p>
    <w:bookmarkEnd w:id="12"/>
    <w:bookmarkStart w:id="13" w:name="Xb0884f1a3af61518e594a8cd38f95a2b604cae6"/>
    <w:p>
      <w:pPr>
        <w:pStyle w:val="Heading3"/>
      </w:pPr>
      <w:r>
        <w:t xml:space="preserve">South Africa — earthquake CRESTA</w:t>
      </w:r>
    </w:p>
    <w:p>
      <w:pPr>
        <w:pStyle w:val="FirstParagraph"/>
      </w:pPr>
      <w:r>
        <w:t xml:space="preserve">Workbook:</w:t>
      </w:r>
      <w:r>
        <w:t xml:space="preserve"> </w:t>
      </w:r>
      <w:r>
        <w:rPr>
          <w:rStyle w:val="VerbatimChar"/>
        </w:rPr>
        <w:t xml:space="preserve">UKEU - Supplementary Info - Workings - South Africa EQ - Jan 2026.xlsx</w:t>
      </w:r>
    </w:p>
    <w:p>
      <w:pPr>
        <w:pStyle w:val="Compact"/>
        <w:numPr>
          <w:ilvl w:val="0"/>
          <w:numId w:val="1003"/>
        </w:numPr>
      </w:pPr>
      <w:r>
        <w:t xml:space="preserve">Source: approved</w:t>
      </w:r>
      <w:r>
        <w:t xml:space="preserve"> </w:t>
      </w:r>
      <w:r>
        <w:rPr>
          <w:rStyle w:val="VerbatimChar"/>
        </w:rPr>
        <w:t xml:space="preserve">lloyds/sql/SouthAfrica_Aggs.sql</w:t>
      </w:r>
      <w:r>
        <w:t xml:space="preserve"> </w:t>
      </w:r>
      <w:r>
        <w:t xml:space="preserve">or transformation; S33</w:t>
      </w:r>
      <w:r>
        <w:t xml:space="preserve"> </w:t>
      </w:r>
      <w:r>
        <w:rPr>
          <w:rStyle w:val="VerbatimChar"/>
        </w:rPr>
        <w:t xml:space="preserve">Quake</w:t>
      </w:r>
      <w:r>
        <w:t xml:space="preserve"> </w:t>
      </w:r>
      <w:r>
        <w:t xml:space="preserve">lacks the required CRESTA fields.</w:t>
      </w:r>
    </w:p>
    <w:p>
      <w:pPr>
        <w:pStyle w:val="Compact"/>
        <w:numPr>
          <w:ilvl w:val="0"/>
          <w:numId w:val="1003"/>
        </w:numPr>
      </w:pPr>
      <w:r>
        <w:t xml:space="preserve">Load</w:t>
      </w:r>
      <w:r>
        <w:t xml:space="preserve"> </w:t>
      </w:r>
      <w:r>
        <w:rPr>
          <w:rStyle w:val="VerbatimChar"/>
        </w:rPr>
        <w:t xml:space="preserve">Core data!A:R</w:t>
      </w:r>
      <w:r>
        <w:t xml:space="preserve">; preserve scale S and formulas T:U.</w:t>
      </w:r>
    </w:p>
    <w:p>
      <w:pPr>
        <w:pStyle w:val="Compact"/>
        <w:numPr>
          <w:ilvl w:val="0"/>
          <w:numId w:val="1003"/>
        </w:numPr>
      </w:pPr>
      <w:r>
        <w:t xml:space="preserve">Report:</w:t>
      </w:r>
      <w:r>
        <w:t xml:space="preserve"> </w:t>
      </w:r>
      <w:r>
        <w:rPr>
          <w:rStyle w:val="VerbatimChar"/>
        </w:rPr>
        <w:t xml:space="preserve">05 South Africa EQ Aggs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Stop:</w:t>
      </w:r>
      <w:r>
        <w:t xml:space="preserve"> </w:t>
      </w:r>
      <w:r>
        <w:t xml:space="preserve">approve gross/net and currency basis, report date, range maintenance</w:t>
      </w:r>
      <w:r>
        <w:t xml:space="preserve"> </w:t>
      </w:r>
      <w:r>
        <w:t xml:space="preserve">and treatment of blank/unmapped CRESTA zones.</w:t>
      </w:r>
    </w:p>
    <w:bookmarkEnd w:id="13"/>
    <w:bookmarkStart w:id="14" w:name="Xea29828069445c7d8db0899008043c0419f74a2"/>
    <w:p>
      <w:pPr>
        <w:pStyle w:val="Heading3"/>
      </w:pPr>
      <w:r>
        <w:t xml:space="preserve">California — wildfire county</w:t>
      </w:r>
    </w:p>
    <w:p>
      <w:pPr>
        <w:pStyle w:val="FirstParagraph"/>
      </w:pPr>
      <w:r>
        <w:t xml:space="preserve">Workbook:</w:t>
      </w:r>
      <w:r>
        <w:t xml:space="preserve"> </w:t>
      </w:r>
      <w:r>
        <w:rPr>
          <w:rStyle w:val="VerbatimChar"/>
        </w:rPr>
        <w:t xml:space="preserve">UKEU - Supplementary Info - RDL - Jan26 - Workings - California WF.xlsx</w:t>
      </w:r>
    </w:p>
    <w:p>
      <w:pPr>
        <w:pStyle w:val="Compact"/>
        <w:numPr>
          <w:ilvl w:val="0"/>
          <w:numId w:val="1004"/>
        </w:numPr>
      </w:pPr>
      <w:r>
        <w:t xml:space="preserve">Source: owner-approved wildfire exposure/proxy. If using SQL, approve</w:t>
      </w:r>
      <w:r>
        <w:t xml:space="preserve"> </w:t>
      </w:r>
      <w:r>
        <w:rPr>
          <w:rStyle w:val="VerbatimChar"/>
        </w:rPr>
        <w:t xml:space="preserve">lloyds/sql/FA_California_Aggs.sql</w:t>
      </w:r>
      <w:r>
        <w:t xml:space="preserve">; do not invent county from S33.</w:t>
      </w:r>
    </w:p>
    <w:p>
      <w:pPr>
        <w:pStyle w:val="Compact"/>
        <w:numPr>
          <w:ilvl w:val="0"/>
          <w:numId w:val="1004"/>
        </w:numPr>
      </w:pPr>
      <w:r>
        <w:t xml:space="preserve">Load</w:t>
      </w:r>
      <w:r>
        <w:t xml:space="preserve"> </w:t>
      </w:r>
      <w:r>
        <w:rPr>
          <w:rStyle w:val="VerbatimChar"/>
        </w:rPr>
        <w:t xml:space="preserve">Core data!A:M</w:t>
      </w:r>
      <w:r>
        <w:t xml:space="preserve">; preserve helper N.</w:t>
      </w:r>
    </w:p>
    <w:p>
      <w:pPr>
        <w:pStyle w:val="Compact"/>
        <w:numPr>
          <w:ilvl w:val="0"/>
          <w:numId w:val="1004"/>
        </w:numPr>
      </w:pPr>
      <w:r>
        <w:t xml:space="preserve">Report:</w:t>
      </w:r>
      <w:r>
        <w:t xml:space="preserve"> </w:t>
      </w:r>
      <w:r>
        <w:rPr>
          <w:rStyle w:val="VerbatimChar"/>
        </w:rPr>
        <w:t xml:space="preserve">06 California Wildfire Aggs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Stop:</w:t>
      </w:r>
      <w:r>
        <w:t xml:space="preserve"> </w:t>
      </w:r>
      <w:r>
        <w:t xml:space="preserve">approve the wildfire proxy/PML and resolve the report-date mismatch.</w:t>
      </w:r>
    </w:p>
    <w:bookmarkEnd w:id="14"/>
    <w:bookmarkStart w:id="15" w:name="X4f6e3445066a521f5ff9d330b7e415c8471bd0b"/>
    <w:p>
      <w:pPr>
        <w:pStyle w:val="Heading3"/>
      </w:pPr>
      <w:r>
        <w:t xml:space="preserve">Europe — earthquake/flood CRESTA</w:t>
      </w:r>
    </w:p>
    <w:p>
      <w:pPr>
        <w:pStyle w:val="FirstParagraph"/>
      </w:pPr>
      <w:r>
        <w:t xml:space="preserve">Workbook:</w:t>
      </w:r>
      <w:r>
        <w:t xml:space="preserve"> </w:t>
      </w:r>
      <w:r>
        <w:rPr>
          <w:rStyle w:val="VerbatimChar"/>
        </w:rPr>
        <w:t xml:space="preserve">UKEU - Supplementary Info - RDL - Jan26 - Workings - EU Cresta.xlsx</w:t>
      </w:r>
    </w:p>
    <w:p>
      <w:pPr>
        <w:pStyle w:val="Compact"/>
        <w:numPr>
          <w:ilvl w:val="0"/>
          <w:numId w:val="1005"/>
        </w:numPr>
      </w:pPr>
      <w:r>
        <w:t xml:space="preserve">Source: separately approved EQ and FL extracts. S33</w:t>
      </w:r>
      <w:r>
        <w:t xml:space="preserve"> </w:t>
      </w:r>
      <w:r>
        <w:rPr>
          <w:rStyle w:val="VerbatimChar"/>
        </w:rPr>
        <w:t xml:space="preserve">EU exposure - weather &amp; quake</w:t>
      </w:r>
      <w:r>
        <w:t xml:space="preserve"> </w:t>
      </w:r>
      <w:r>
        <w:t xml:space="preserve">needs a transformation; no matching producer is checked in.</w:t>
      </w:r>
    </w:p>
    <w:p>
      <w:pPr>
        <w:pStyle w:val="Compact"/>
        <w:numPr>
          <w:ilvl w:val="0"/>
          <w:numId w:val="1005"/>
        </w:numPr>
      </w:pPr>
      <w:r>
        <w:t xml:space="preserve">Load A:R on</w:t>
      </w:r>
      <w:r>
        <w:t xml:space="preserve"> </w:t>
      </w:r>
      <w:r>
        <w:rPr>
          <w:rStyle w:val="VerbatimChar"/>
        </w:rPr>
        <w:t xml:space="preserve">Core data EQ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Core data FL</w:t>
      </w:r>
      <w:r>
        <w:t xml:space="preserve">; preserve scale S and formulas T:U.</w:t>
      </w:r>
    </w:p>
    <w:p>
      <w:pPr>
        <w:pStyle w:val="Compact"/>
        <w:numPr>
          <w:ilvl w:val="0"/>
          <w:numId w:val="1005"/>
        </w:numPr>
      </w:pPr>
      <w:r>
        <w:t xml:space="preserve">Report:</w:t>
      </w:r>
      <w:r>
        <w:t xml:space="preserve"> </w:t>
      </w:r>
      <w:r>
        <w:rPr>
          <w:rStyle w:val="VerbatimChar"/>
        </w:rPr>
        <w:t xml:space="preserve">11 LIC EU CRESTA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Stop:</w:t>
      </w:r>
      <w:r>
        <w:t xml:space="preserve"> </w:t>
      </w:r>
      <w:r>
        <w:t xml:space="preserve">approve uniform formulas, FX direction/date and unmapped-zone treatment.</w:t>
      </w:r>
      <w:r>
        <w:t xml:space="preserve"> </w:t>
      </w:r>
      <w:r>
        <w:rPr>
          <w:b/>
          <w:bCs/>
        </w:rPr>
        <w:t xml:space="preserve">Do not fill down the current flood formulas:</w:t>
      </w:r>
      <w:r>
        <w:t xml:space="preserve"> </w:t>
      </w:r>
      <w:r>
        <w:t xml:space="preserve">they mix source and USD amounts.</w:t>
      </w:r>
    </w:p>
    <w:bookmarkEnd w:id="15"/>
    <w:bookmarkEnd w:id="16"/>
    <w:bookmarkStart w:id="17" w:name="X1fcbc58a4b9dafbf2753c2b6046fb1bfe024ca6"/>
    <w:p>
      <w:pPr>
        <w:pStyle w:val="Heading2"/>
      </w:pPr>
      <w:r>
        <w:t xml:space="preserve">3. Load, recalculate and check</w:t>
      </w:r>
    </w:p>
    <w:p>
      <w:pPr>
        <w:pStyle w:val="FirstParagraph"/>
      </w:pPr>
      <w:r>
        <w:t xml:space="preserve">Once the relevant stops are resolved:</w:t>
      </w:r>
    </w:p>
    <w:p>
      <w:pPr>
        <w:pStyle w:val="Compact"/>
        <w:numPr>
          <w:ilvl w:val="0"/>
          <w:numId w:val="1006"/>
        </w:numPr>
      </w:pPr>
      <w:r>
        <w:t xml:space="preserve">Review</w:t>
      </w:r>
      <w:r>
        <w:t xml:space="preserve"> </w:t>
      </w:r>
      <w:r>
        <w:rPr>
          <w:rStyle w:val="VerbatimChar"/>
        </w:rPr>
        <w:t xml:space="preserve">AUDIT_SUMMARY</w:t>
      </w:r>
      <w:r>
        <w:t xml:space="preserve">, mappings, FX, formulas and links in each working copy.</w:t>
      </w:r>
    </w:p>
    <w:p>
      <w:pPr>
        <w:pStyle w:val="Compact"/>
        <w:numPr>
          <w:ilvl w:val="0"/>
          <w:numId w:val="1006"/>
        </w:numPr>
      </w:pPr>
      <w:r>
        <w:t xml:space="preserve">Check extract headers/order. Replace old input rows only; extend approved</w:t>
      </w:r>
      <w:r>
        <w:t xml:space="preserve"> </w:t>
      </w:r>
      <w:r>
        <w:t xml:space="preserve">helpers/formulas and source ranges to all new rows, leaving no stale data.</w:t>
      </w:r>
    </w:p>
    <w:p>
      <w:pPr>
        <w:pStyle w:val="Compact"/>
        <w:numPr>
          <w:ilvl w:val="0"/>
          <w:numId w:val="1006"/>
        </w:numPr>
      </w:pPr>
      <w:r>
        <w:t xml:space="preserve">Refresh approved pivots only and recalculate in Excel. Do not blindly update external links.</w:t>
      </w:r>
    </w:p>
    <w:p>
      <w:pPr>
        <w:pStyle w:val="Compact"/>
        <w:numPr>
          <w:ilvl w:val="0"/>
          <w:numId w:val="1006"/>
        </w:numPr>
      </w:pPr>
      <w:r>
        <w:t xml:space="preserve">Reconcile each report plus approved exclusions to its source total.</w:t>
      </w:r>
      <w:r>
        <w:t xml:space="preserve"> </w:t>
      </w:r>
      <w:r>
        <w:t xml:space="preserve">Investigate missing geography, formula errors and unexplained differences.</w:t>
      </w:r>
    </w:p>
    <w:bookmarkEnd w:id="17"/>
    <w:bookmarkStart w:id="20" w:name="lloyds-runbook-4-transfer-and-review"/>
    <w:p>
      <w:pPr>
        <w:pStyle w:val="Heading2"/>
      </w:pPr>
      <w:r>
        <w:t xml:space="preserve">4. Transfer and review</w:t>
      </w:r>
    </w:p>
    <w:p>
      <w:pPr>
        <w:pStyle w:val="FirstParagraph"/>
      </w:pPr>
      <w:r>
        <w:t xml:space="preserve">Use an approved report-range-to-final-cell map—not cell colour or label matching.</w:t>
      </w:r>
      <w:r>
        <w:t xml:space="preserve"> </w:t>
      </w:r>
      <w:r>
        <w:t xml:space="preserve">Log transfers and obtain reviewer sign-off using the run checklist.</w:t>
      </w:r>
    </w:p>
    <w:p>
      <w:pPr>
        <w:pStyle w:val="BodyText"/>
      </w:pPr>
      <w:r>
        <w:t xml:space="preserve">For formulas and detailed checks, use the</w:t>
      </w:r>
      <w:r>
        <w:t xml:space="preserve"> </w:t>
      </w:r>
      <w:hyperlink r:id="rId10">
        <w:r>
          <w:rPr>
            <w:rStyle w:val="Hyperlink"/>
          </w:rPr>
          <w:t xml:space="preserve">technical reference</w:t>
        </w:r>
      </w:hyperlink>
      <w:r>
        <w:t xml:space="preserve">.</w:t>
      </w:r>
      <w:r>
        <w:t xml:space="preserve"> </w:t>
      </w:r>
      <w:r>
        <w:t xml:space="preserve">For decisions and missing final mappings, see</w:t>
      </w:r>
      <w:r>
        <w:t xml:space="preserve"> </w:t>
      </w:r>
      <w:hyperlink r:id="rId18">
        <w:r>
          <w:rPr>
            <w:rStyle w:val="Hyperlink"/>
          </w:rPr>
          <w:t xml:space="preserve">LLOYDS-01–03</w:t>
        </w:r>
      </w:hyperlink>
      <w:r>
        <w:t xml:space="preserve"> </w:t>
      </w:r>
      <w:r>
        <w:t xml:space="preserve">and the</w:t>
      </w:r>
      <w:r>
        <w:t xml:space="preserve"> </w:t>
      </w:r>
      <w:hyperlink r:id="rId19">
        <w:r>
          <w:rPr>
            <w:rStyle w:val="Hyperlink"/>
          </w:rPr>
          <w:t xml:space="preserve">handoff trace</w:t>
        </w:r>
      </w:hyperlink>
      <w:r>
        <w:t xml:space="preserve">.</w:t>
      </w:r>
    </w:p>
    <w:bookmarkEnd w:id="20"/>
    <w:bookmarkEnd w:id="21"/>
    <w:bookmarkStart w:id="26" w:name="operating-controls-run-checklist"/>
    <w:p>
      <w:pPr>
        <w:pStyle w:val="Heading1"/>
      </w:pPr>
      <w:r>
        <w:t xml:space="preserve">Run checklist</w:t>
      </w:r>
    </w:p>
    <w:p>
      <w:pPr>
        <w:pStyle w:val="FirstParagraph"/>
      </w:pPr>
      <w:hyperlink r:id="rId9">
        <w:r>
          <w:rPr>
            <w:rStyle w:val="Hyperlink"/>
          </w:rPr>
          <w:t xml:space="preserve">Start here</w:t>
        </w:r>
      </w:hyperlink>
      <w:r>
        <w:t xml:space="preserve"> </w:t>
      </w:r>
      <w:r>
        <w:t xml:space="preserve">·</w:t>
      </w:r>
      <w:r>
        <w:t xml:space="preserve"> </w:t>
      </w:r>
      <w:hyperlink r:id="rId22">
        <w:r>
          <w:rPr>
            <w:rStyle w:val="Hyperlink"/>
          </w:rPr>
          <w:t xml:space="preserve">Detailed controls for LLMs/reviewers</w:t>
        </w:r>
      </w:hyperlink>
    </w:p>
    <w:p>
      <w:pPr>
        <w:pStyle w:val="BodyText"/>
      </w:pPr>
      <w:r>
        <w:t xml:space="preserve">Use this alongside your process guide. Keep the evidence in a new, restricted</w:t>
      </w:r>
      <w:r>
        <w:t xml:space="preserve"> </w:t>
      </w:r>
      <w:r>
        <w:t xml:space="preserve">run folder—not in source control. Mark irrelevant checks N/A with a reason.</w:t>
      </w:r>
    </w:p>
    <w:bookmarkStart w:id="23" w:name="operating-controls-before-you-start"/>
    <w:p>
      <w:pPr>
        <w:pStyle w:val="Heading2"/>
      </w:pPr>
      <w:r>
        <w:t xml:space="preserve">Before you start</w:t>
      </w:r>
    </w:p>
    <w:p>
      <w:pPr>
        <w:pStyle w:val="Compact"/>
        <w:numPr>
          <w:ilvl w:val="0"/>
          <w:numId w:val="1007"/>
        </w:numPr>
      </w:pPr>
      <w:r>
        <w:t xml:space="preserve">Confirm the reporting period, source snapshot, scope and controlled template.</w:t>
      </w:r>
    </w:p>
    <w:p>
      <w:pPr>
        <w:pStyle w:val="Compact"/>
        <w:numPr>
          <w:ilvl w:val="0"/>
          <w:numId w:val="1008"/>
        </w:numPr>
      </w:pPr>
      <w:r>
        <w:t xml:space="preserve">Confirm the approved mappings, retention/proxy rules, scale factors, FX and units.</w:t>
      </w:r>
    </w:p>
    <w:p>
      <w:pPr>
        <w:pStyle w:val="Compact"/>
        <w:numPr>
          <w:ilvl w:val="0"/>
          <w:numId w:val="1009"/>
        </w:numPr>
      </w:pPr>
      <w:r>
        <w:t xml:space="preserve">Record the operator, reviewer, code version, exact command/query and output folder. Keep credentials out of the record.</w:t>
      </w:r>
    </w:p>
    <w:p>
      <w:pPr>
        <w:pStyle w:val="Compact"/>
        <w:numPr>
          <w:ilvl w:val="0"/>
          <w:numId w:val="1010"/>
        </w:numPr>
      </w:pPr>
      <w:r>
        <w:t xml:space="preserve">Agree independent control totals and acceptable differences with the reviewer.</w:t>
      </w:r>
    </w:p>
    <w:p>
      <w:pPr>
        <w:pStyle w:val="Compact"/>
        <w:numPr>
          <w:ilvl w:val="0"/>
          <w:numId w:val="1011"/>
        </w:numPr>
      </w:pPr>
      <w:r>
        <w:t xml:space="preserve">For Excel, work on a copy. Identify input ranges, formulas, tables, pivot sources and external links before changing anything.</w:t>
      </w:r>
    </w:p>
    <w:p>
      <w:pPr>
        <w:pStyle w:val="Compact"/>
        <w:numPr>
          <w:ilvl w:val="0"/>
          <w:numId w:val="1012"/>
        </w:numPr>
      </w:pPr>
      <w:r>
        <w:t xml:space="preserve">Resolve the blockers listed in your guide before doing the affected step.</w:t>
      </w:r>
    </w:p>
    <w:bookmarkEnd w:id="23"/>
    <w:bookmarkStart w:id="24" w:name="operating-controls-run-and-check"/>
    <w:p>
      <w:pPr>
        <w:pStyle w:val="Heading2"/>
      </w:pPr>
      <w:r>
        <w:t xml:space="preserve">Run and check</w:t>
      </w:r>
    </w:p>
    <w:p>
      <w:pPr>
        <w:pStyle w:val="Compact"/>
        <w:numPr>
          <w:ilvl w:val="0"/>
          <w:numId w:val="1013"/>
        </w:numPr>
      </w:pPr>
      <w:r>
        <w:t xml:space="preserve">Save the raw outputs, logs, parameters and row counts. Use a stable snapshot when running multiple queries.</w:t>
      </w:r>
    </w:p>
    <w:p>
      <w:pPr>
        <w:pStyle w:val="Compact"/>
        <w:numPr>
          <w:ilvl w:val="0"/>
          <w:numId w:val="1014"/>
        </w:numPr>
      </w:pPr>
      <w:r>
        <w:t xml:space="preserve">Check joins have not multiplied exposure; investigate missing mappings, geography, currency or other required values.</w:t>
      </w:r>
    </w:p>
    <w:p>
      <w:pPr>
        <w:pStyle w:val="Compact"/>
        <w:numPr>
          <w:ilvl w:val="0"/>
          <w:numId w:val="1015"/>
        </w:numPr>
      </w:pPr>
      <w:r>
        <w:t xml:space="preserve">Reconcile source → raw output → grouped output by relevant entity, peril and geography, including gross/net and FX movements.</w:t>
      </w:r>
    </w:p>
    <w:p>
      <w:pPr>
        <w:pStyle w:val="Compact"/>
        <w:numPr>
          <w:ilvl w:val="0"/>
          <w:numId w:val="1016"/>
        </w:numPr>
      </w:pPr>
      <w:r>
        <w:t xml:space="preserve">Before loading Excel, check headers/order, row counts, currency and units. Replace input rows only; preserve formulas and report areas.</w:t>
      </w:r>
    </w:p>
    <w:p>
      <w:pPr>
        <w:pStyle w:val="Compact"/>
        <w:numPr>
          <w:ilvl w:val="0"/>
          <w:numId w:val="1017"/>
        </w:numPr>
      </w:pPr>
      <w:r>
        <w:t xml:space="preserve">Extend approved formulas and table/pivot ranges to all new rows; remove stale input rows. Do not copy known inconsistent formulas or blindly refresh external links.</w:t>
      </w:r>
    </w:p>
    <w:p>
      <w:pPr>
        <w:pStyle w:val="Compact"/>
        <w:numPr>
          <w:ilvl w:val="0"/>
          <w:numId w:val="1018"/>
        </w:numPr>
      </w:pPr>
      <w:r>
        <w:t xml:space="preserve">Recalculate in Excel and reconcile report totals. Investigate errors, stale values and unexplained movements.</w:t>
      </w:r>
    </w:p>
    <w:bookmarkEnd w:id="24"/>
    <w:bookmarkStart w:id="25" w:name="operating-controls-finish"/>
    <w:p>
      <w:pPr>
        <w:pStyle w:val="Heading2"/>
      </w:pPr>
      <w:r>
        <w:t xml:space="preserve">Finish</w:t>
      </w:r>
    </w:p>
    <w:p>
      <w:pPr>
        <w:pStyle w:val="Compact"/>
        <w:numPr>
          <w:ilvl w:val="0"/>
          <w:numId w:val="1019"/>
        </w:numPr>
      </w:pPr>
      <w:r>
        <w:t xml:space="preserve">Use an approved source-to-destination map for any final-template transfer. Do not choose cells by colour or label alone.</w:t>
      </w:r>
    </w:p>
    <w:p>
      <w:pPr>
        <w:pStyle w:val="Compact"/>
        <w:numPr>
          <w:ilvl w:val="0"/>
          <w:numId w:val="1020"/>
        </w:numPr>
      </w:pPr>
      <w:r>
        <w:t xml:space="preserve">Log each transfer: source file/sheet/range, destination file/sheet/cell, value, measure, currency/unit, as-of date and assumption versions.</w:t>
      </w:r>
    </w:p>
    <w:p>
      <w:pPr>
        <w:pStyle w:val="Compact"/>
        <w:numPr>
          <w:ilvl w:val="0"/>
          <w:numId w:val="1021"/>
        </w:numPr>
      </w:pPr>
      <w:r>
        <w:t xml:space="preserve">Obtain reviewer sign-off and retain inputs, outputs, reconciliations, adjustments and final submission/delivery evidence together.</w:t>
      </w:r>
    </w:p>
    <w:p>
      <w:pPr>
        <w:pStyle w:val="FirstParagraph"/>
      </w:pPr>
      <w:r>
        <w:rPr>
          <w:b/>
          <w:bCs/>
        </w:rPr>
        <w:t xml:space="preserve">Stop if</w:t>
      </w:r>
      <w:r>
        <w:t xml:space="preserve"> </w:t>
      </w:r>
      <w:r>
        <w:t xml:space="preserve">the source or assumptions are unapproved, a formula/pivot/handoff</w:t>
      </w:r>
      <w:r>
        <w:t xml:space="preserve"> </w:t>
      </w:r>
      <w:r>
        <w:t xml:space="preserve">cannot be traced, or differences exceed the agreed tolerance. A successful</w:t>
      </w:r>
      <w:r>
        <w:t xml:space="preserve"> </w:t>
      </w:r>
      <w:r>
        <w:t xml:space="preserve">command or refresh does not mean the return is complete.</w:t>
      </w:r>
    </w:p>
    <w:bookmarkEnd w:id="25"/>
    <w:bookmarkEnd w:id="2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2"/>
  </w:num>
  <w:num w:numId="1008">
    <w:abstractNumId w:val="992"/>
  </w:num>
  <w:num w:numId="1009">
    <w:abstractNumId w:val="992"/>
  </w:num>
  <w:num w:numId="1010">
    <w:abstractNumId w:val="992"/>
  </w:num>
  <w:num w:numId="1011">
    <w:abstractNumId w:val="992"/>
  </w:num>
  <w:num w:numId="1012">
    <w:abstractNumId w:val="992"/>
  </w:num>
  <w:num w:numId="1013">
    <w:abstractNumId w:val="992"/>
  </w:num>
  <w:num w:numId="1014">
    <w:abstractNumId w:val="992"/>
  </w:num>
  <w:num w:numId="1015">
    <w:abstractNumId w:val="992"/>
  </w:num>
  <w:num w:numId="1016">
    <w:abstractNumId w:val="992"/>
  </w:num>
  <w:num w:numId="1017">
    <w:abstractNumId w:val="992"/>
  </w:num>
  <w:num w:numId="1018">
    <w:abstractNumId w:val="992"/>
  </w:num>
  <w:num w:numId="1019">
    <w:abstractNumId w:val="992"/>
  </w:num>
  <w:num w:numId="1020">
    <w:abstractNumId w:val="992"/>
  </w:num>
  <w:num w:numId="1021">
    <w:abstractNumId w:val="992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../../README.md" TargetMode="External" /><Relationship Type="http://schemas.openxmlformats.org/officeDocument/2006/relationships/hyperlink" Id="rId18" Target="../decisions.md#lloyds-01" TargetMode="External" /><Relationship Type="http://schemas.openxmlformats.org/officeDocument/2006/relationships/hyperlink" Id="rId22" Target="../llm-instructions.md#detailed-run-controls" TargetMode="External" /><Relationship Type="http://schemas.openxmlformats.org/officeDocument/2006/relationships/hyperlink" Id="rId19" Target="../lloyds/handoff.md" TargetMode="External" /><Relationship Type="http://schemas.openxmlformats.org/officeDocument/2006/relationships/hyperlink" Id="rId10" Target="../lloyds/technical-contract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../../README.md" TargetMode="External" /><Relationship Type="http://schemas.openxmlformats.org/officeDocument/2006/relationships/hyperlink" Id="rId18" Target="../decisions.md#lloyds-01" TargetMode="External" /><Relationship Type="http://schemas.openxmlformats.org/officeDocument/2006/relationships/hyperlink" Id="rId22" Target="../llm-instructions.md#detailed-run-controls" TargetMode="External" /><Relationship Type="http://schemas.openxmlformats.org/officeDocument/2006/relationships/hyperlink" Id="rId19" Target="../lloyds/handoff.md" TargetMode="External" /><Relationship Type="http://schemas.openxmlformats.org/officeDocument/2006/relationships/hyperlink" Id="rId10" Target="../lloyds/technical-contract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Lloyd’s/RDS Supplementary Runbook</dc:title>
  <dc:creator/>
  <cp:keywords/>
  <dcterms:created xsi:type="dcterms:W3CDTF">2026-09-14T22:08:32Z</dcterms:created>
  <dcterms:modified xsi:type="dcterms:W3CDTF">2026-09-14T22:08:32Z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January 2026</vt:lpwstr>
  </property>
</Properties>
</file>