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bookmarkStart w:id="11" w:name="pra-runbook-pra-sql-and-excel"/>
    <w:p>
      <w:pPr>
        <w:pStyle w:val="Heading1"/>
      </w:pPr>
      <w:r>
        <w:t xml:space="preserve">PRA — SQL and Excel</w:t>
      </w:r>
    </w:p>
    <w:bookmarkStart w:id="9" w:name="pra-runbook-earthquake"/>
    <w:p>
      <w:pPr>
        <w:pStyle w:val="Heading2"/>
      </w:pPr>
      <w:r>
        <w:t xml:space="preserve">Earthquake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pra/sql/pra-earthquake.sql</w:t>
      </w:r>
      <w:r>
        <w:t xml:space="preserve"> </w:t>
      </w:r>
      <w:r>
        <w:t xml:space="preserve">against the correct EDM database with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Export the results as a CSV with these headers:</w:t>
      </w:r>
      <w:r>
        <w:t xml:space="preserve"> </w:t>
      </w:r>
      <w:r>
        <w:rPr>
          <w:rStyle w:val="VerbatimChar"/>
        </w:rPr>
        <w:t xml:space="preserve">pml, state, userid1, cntrycode, uwritrname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 a working copy of</w:t>
      </w:r>
      <w:r>
        <w:t xml:space="preserve"> </w:t>
      </w: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Clear the old data in A:E below row 1, leaving formulas F:M and the report areas untouched.</w:t>
      </w:r>
    </w:p>
    <w:p>
      <w:pPr>
        <w:pStyle w:val="Compact"/>
        <w:numPr>
          <w:ilvl w:val="0"/>
          <w:numId w:val="1001"/>
        </w:numPr>
      </w:pPr>
      <w:r>
        <w:t xml:space="preserve">Paste the CSV contents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filling A:E only.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Table Design → Resize Table</w:t>
      </w:r>
      <w:r>
        <w:t xml:space="preserve"> </w:t>
      </w:r>
      <w:r>
        <w:t xml:space="preserve">to extend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from A1 through column M to the last pasted row.</w:t>
      </w:r>
    </w:p>
    <w:p>
      <w:pPr>
        <w:pStyle w:val="Compact"/>
        <w:numPr>
          <w:ilvl w:val="0"/>
          <w:numId w:val="1001"/>
        </w:numPr>
      </w:pPr>
      <w:r>
        <w:t xml:space="preserve">Select F2:M through the last pasted row and press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to fill the correct first-row formulas down.</w:t>
      </w:r>
    </w:p>
    <w:p>
      <w:pPr>
        <w:pStyle w:val="Compact"/>
        <w:numPr>
          <w:ilvl w:val="0"/>
          <w:numId w:val="1001"/>
        </w:numPr>
      </w:pPr>
      <w:r>
        <w:t xml:space="preserve">Check that the input row count and column A total match the SQL results, and resolve any formula errors.</w:t>
      </w:r>
    </w:p>
    <w:p>
      <w:pPr>
        <w:pStyle w:val="Compact"/>
        <w:numPr>
          <w:ilvl w:val="0"/>
          <w:numId w:val="1001"/>
        </w:numPr>
      </w:pPr>
      <w:r>
        <w:t xml:space="preserve">Click each earthquake PivotTable, choose</w:t>
      </w:r>
      <w:r>
        <w:t xml:space="preserve"> </w:t>
      </w:r>
      <w:r>
        <w:rPr>
          <w:b/>
          <w:bCs/>
        </w:rPr>
        <w:t xml:space="preserve">PivotTable Analyze → Change Data Source</w:t>
      </w:r>
      <w:r>
        <w:t xml:space="preserve">, and set it to</w:t>
      </w:r>
      <w:r>
        <w:t xml:space="preserve"> </w:t>
      </w:r>
      <w:r>
        <w:rPr>
          <w:rStyle w:val="VerbatimChar"/>
          <w:b/>
          <w:bCs/>
        </w:rPr>
        <w:t xml:space="preserve">Table32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the pivot value field and currency, then right-click each earthquake PivotTable and select</w:t>
      </w:r>
      <w:r>
        <w:t xml:space="preserve"> </w:t>
      </w:r>
      <w:r>
        <w:rPr>
          <w:b/>
          <w:bCs/>
        </w:rPr>
        <w:t xml:space="preserve">Refresh</w:t>
      </w:r>
      <w:r>
        <w:t xml:space="preserve">—not Refresh All.</w:t>
      </w:r>
    </w:p>
    <w:p>
      <w:pPr>
        <w:pStyle w:val="Compact"/>
        <w:numPr>
          <w:ilvl w:val="0"/>
          <w:numId w:val="1001"/>
        </w:numPr>
      </w:pPr>
      <w:r>
        <w:t xml:space="preserve">Check the pivot totals against the corresponding input totals and save the workbook with the CSV.</w:t>
      </w:r>
    </w:p>
    <w:bookmarkEnd w:id="9"/>
    <w:bookmarkStart w:id="10" w:name="pra-runbook-all-peril"/>
    <w:p>
      <w:pPr>
        <w:pStyle w:val="Heading2"/>
      </w:pPr>
      <w:r>
        <w:t xml:space="preserve">All-peril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only with a separately confirmed all-peril export; follow the same paste, formula-fill and total checks.</w:t>
      </w:r>
      <w:r>
        <w:t xml:space="preserve"> </w:t>
      </w:r>
      <w:r>
        <w:t xml:space="preserve">Do not copy the earthquake results into this sheet or guess the all-peril query codes.</w:t>
      </w:r>
    </w:p>
    <w:p>
      <w:pPr>
        <w:pStyle w:val="BodyText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find the final PRA submission template; this workbook contains the calculated aggregates, not the submission form.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2026-09-14T22:08:31Z</dcterms:created>
  <dcterms:modified xsi:type="dcterms:W3CDTF">2026-09-14T22:08:31Z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