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BSCR Schedule X Runbook</w:t>
      </w:r>
    </w:p>
    <w:p>
      <w:pPr>
        <w:pStyle w:val="Subtitle"/>
      </w:pPr>
      <w:r>
        <w:rPr>
          <w:b w:val="0"/>
          <w:i w:val="0"/>
        </w:rPr>
        <w:t>January 2026</w:t>
      </w:r>
    </w:p>
    <w:p>
      <w:r>
        <w:br w:type="page"/>
      </w:r>
    </w:p>
    <w:p>
      <w:bookmarkStart w:id="1" w:name="bm_bscr_runbook_bscr_populate_the_schedules"/>
      <w:pPr>
        <w:pStyle w:val="Heading1"/>
        <w:keepNext/>
      </w:pPr>
      <w:r>
        <w:rPr>
          <w:b w:val="0"/>
          <w:i w:val="0"/>
        </w:rPr>
        <w:t>BSCR — populate the schedules</w:t>
      </w:r>
      <w:bookmarkEnd w:id="1"/>
    </w:p>
    <w:p>
      <w:hyperlink r:id="rId9">
        <w:r>
          <w:rPr>
            <w:color w:val="0563C1"/>
            <w:u w:val="single"/>
          </w:rPr>
          <w:t>Back to reporting guides</w:t>
        </w:r>
      </w:hyperlink>
    </w:p>
    <w:p>
      <w:bookmarkStart w:id="2" w:name="bm_bscr_runbook_use_these_files"/>
      <w:pPr>
        <w:pStyle w:val="Heading2"/>
        <w:keepNext/>
      </w:pPr>
      <w:r>
        <w:rPr>
          <w:b w:val="0"/>
          <w:i w:val="0"/>
        </w:rPr>
        <w:t>Use these files</w:t>
      </w:r>
      <w:bookmarkEnd w:id="2"/>
    </w:p>
    <w:tbl>
      <w:tblPr>
        <w:tblStyle w:val="TableGrid"/>
        <w:tblW w:type="auto" w:w="0"/>
        <w:tblLook w:firstColumn="1" w:firstRow="1" w:lastColumn="0" w:lastRow="0" w:noHBand="0" w:noVBand="1" w:val="04A0"/>
      </w:tblPr>
      <w:tblGrid>
        <w:gridCol w:w="5040"/>
        <w:gridCol w:w="5040"/>
      </w:tblGrid>
      <w:tr>
        <w:tc>
          <w:tcPr>
            <w:tcW w:type="dxa" w:w="5040"/>
            <w:shd w:fill="D9EAF7"/>
          </w:tcPr>
          <w:p>
            <w:r>
              <w:rPr>
                <w:b/>
              </w:rPr>
            </w:r>
            <w:r>
              <w:rPr>
                <w:b/>
                <w:i w:val="0"/>
              </w:rPr>
              <w:t>Purpose</w:t>
            </w:r>
          </w:p>
        </w:tc>
        <w:tc>
          <w:tcPr>
            <w:tcW w:type="dxa" w:w="5040"/>
            <w:shd w:fill="D9EAF7"/>
          </w:tcPr>
          <w:p>
            <w:r>
              <w:rPr>
                <w:b/>
              </w:rPr>
            </w:r>
            <w:r>
              <w:rPr>
                <w:b/>
                <w:i w:val="0"/>
              </w:rPr>
              <w:t>File</w:t>
            </w:r>
          </w:p>
        </w:tc>
      </w:tr>
      <w:tr>
        <w:tc>
          <w:tcPr>
            <w:tcW w:type="dxa" w:w="5040"/>
          </w:tcPr>
          <w:p>
            <w:r/>
            <w:r>
              <w:rPr>
                <w:b w:val="0"/>
                <w:i w:val="0"/>
              </w:rPr>
              <w:t>Produce current results in SQL Server</w:t>
            </w:r>
          </w:p>
        </w:tc>
        <w:tc>
          <w:tcPr>
            <w:tcW w:type="dxa" w:w="5040"/>
          </w:tcPr>
          <w:p>
            <w:r/>
            <w:hyperlink r:id="rId10">
              <w:r>
                <w:rPr>
                  <w:color w:val="0563C1"/>
                  <w:u w:val="single"/>
                </w:rPr>
                <w:t>bscr-output.sql</w:t>
              </w:r>
            </w:hyperlink>
          </w:p>
        </w:tc>
      </w:tr>
      <w:tr>
        <w:tc>
          <w:tcPr>
            <w:tcW w:type="dxa" w:w="5040"/>
          </w:tcPr>
          <w:p>
            <w:r/>
            <w:r>
              <w:rPr>
                <w:b w:val="0"/>
                <w:i w:val="0"/>
              </w:rPr>
              <w:t>Populate the schedules in Excel</w:t>
            </w:r>
          </w:p>
        </w:tc>
        <w:tc>
          <w:tcPr>
            <w:tcW w:type="dxa" w:w="5040"/>
          </w:tcPr>
          <w:p>
            <w:r/>
            <w:hyperlink r:id="rId11">
              <w:r>
                <w:rPr>
                  <w:color w:val="0563C1"/>
                  <w:u w:val="single"/>
                </w:rPr>
                <w:t>BSCR_Auto_Population.xlsx</w:t>
              </w:r>
            </w:hyperlink>
          </w:p>
        </w:tc>
      </w:tr>
      <w:tr>
        <w:tc>
          <w:tcPr>
            <w:tcW w:type="dxa" w:w="5040"/>
          </w:tcPr>
          <w:p>
            <w:r/>
            <w:r>
              <w:rPr>
                <w:b w:val="0"/>
                <w:i w:val="0"/>
              </w:rPr>
              <w:t>Review old-versus-new evidence separately</w:t>
            </w:r>
          </w:p>
        </w:tc>
        <w:tc>
          <w:tcPr>
            <w:tcW w:type="dxa" w:w="5040"/>
          </w:tcPr>
          <w:p>
            <w:r/>
            <w:hyperlink r:id="rId12">
              <w:r>
                <w:rPr>
                  <w:color w:val="0563C1"/>
                  <w:u w:val="single"/>
                </w:rPr>
                <w:t>BSCR_Reconciliation.xlsx</w:t>
              </w:r>
            </w:hyperlink>
          </w:p>
        </w:tc>
      </w:tr>
    </w:tbl>
    <w:p/>
    <w:p>
      <w:r>
        <w:rPr>
          <w:b w:val="0"/>
          <w:i w:val="0"/>
        </w:rPr>
        <w:t xml:space="preserve">The population workbook needs Excel only: no Python, macros, database connection or external workbook links. Its seven tabs are </w:t>
      </w:r>
      <w:r>
        <w:rPr>
          <w:b/>
          <w:i w:val="0"/>
        </w:rPr>
        <w:t>Instructions</w:t>
      </w:r>
      <w:r>
        <w:rPr>
          <w:b w:val="0"/>
          <w:i w:val="0"/>
        </w:rPr>
        <w:t xml:space="preserve">, </w:t>
      </w:r>
      <w:r>
        <w:rPr>
          <w:b/>
          <w:i w:val="0"/>
        </w:rPr>
        <w:t>SQL input</w:t>
      </w:r>
      <w:r>
        <w:rPr>
          <w:b w:val="0"/>
          <w:i w:val="0"/>
        </w:rPr>
        <w:t xml:space="preserve">, </w:t>
      </w:r>
      <w:r>
        <w:rPr>
          <w:b/>
          <w:i w:val="0"/>
        </w:rPr>
        <w:t>33</w:t>
      </w:r>
      <w:r>
        <w:rPr>
          <w:b w:val="0"/>
          <w:i w:val="0"/>
        </w:rPr>
        <w:t xml:space="preserve">, </w:t>
      </w:r>
      <w:r>
        <w:rPr>
          <w:b/>
          <w:i w:val="0"/>
        </w:rPr>
        <w:t>3624</w:t>
      </w:r>
      <w:r>
        <w:rPr>
          <w:b w:val="0"/>
          <w:i w:val="0"/>
        </w:rPr>
        <w:t xml:space="preserve">, </w:t>
      </w:r>
      <w:r>
        <w:rPr>
          <w:b/>
          <w:i w:val="0"/>
        </w:rPr>
        <w:t>HIC</w:t>
      </w:r>
      <w:r>
        <w:rPr>
          <w:b w:val="0"/>
          <w:i w:val="0"/>
        </w:rPr>
        <w:t xml:space="preserve">, </w:t>
      </w:r>
      <w:r>
        <w:rPr>
          <w:b/>
          <w:i w:val="0"/>
        </w:rPr>
        <w:t>HIG</w:t>
      </w:r>
      <w:r>
        <w:rPr>
          <w:b w:val="0"/>
          <w:i w:val="0"/>
        </w:rPr>
        <w:t xml:space="preserve"> and </w:t>
      </w:r>
      <w:r>
        <w:rPr>
          <w:b/>
          <w:i w:val="0"/>
        </w:rPr>
        <w:t>HSA</w:t>
      </w:r>
      <w:r>
        <w:rPr>
          <w:b w:val="0"/>
          <w:i w:val="0"/>
        </w:rPr>
        <w:t>. Each entity tab contains Schedules X(a), X(b), X(c) and X(f), with navigation links and print breaks.</w:t>
      </w:r>
    </w:p>
    <w:p>
      <w:bookmarkStart w:id="3" w:name="bm_bscr_runbook_refresh_the_population_workbook"/>
      <w:pPr>
        <w:pStyle w:val="Heading2"/>
        <w:keepNext/>
      </w:pPr>
      <w:r>
        <w:rPr>
          <w:b w:val="0"/>
          <w:i w:val="0"/>
        </w:rPr>
        <w:t>Refresh the population workbook</w:t>
      </w:r>
      <w:bookmarkEnd w:id="3"/>
    </w:p>
    <w:p>
      <w:r>
        <w:rPr>
          <w:b w:val="0"/>
          <w:i w:val="0"/>
        </w:rPr>
        <w:t xml:space="preserve">1. Clear the old data on </w:t>
      </w:r>
      <w:r>
        <w:rPr>
          <w:b/>
          <w:i w:val="0"/>
        </w:rPr>
        <w:t>SQL input</w:t>
      </w:r>
      <w:r>
        <w:rPr>
          <w:b w:val="0"/>
          <w:i w:val="0"/>
        </w:rPr>
        <w:t>, keeping the header row and table.</w:t>
      </w:r>
    </w:p>
    <w:p>
      <w:r>
        <w:rPr>
          <w:b w:val="0"/>
          <w:i w:val="0"/>
        </w:rPr>
        <w:t xml:space="preserve">2. Paste the new eight-column results from </w:t>
      </w:r>
      <w:r>
        <w:rPr>
          <w:b/>
          <w:i w:val="0"/>
        </w:rPr>
        <w:t>bscr-output.sql</w:t>
      </w:r>
      <w:r>
        <w:rPr>
          <w:b w:val="0"/>
          <w:i w:val="0"/>
        </w:rPr>
        <w:t xml:space="preserve"> below the headers. The entity tabs populate automatically.</w:t>
      </w:r>
    </w:p>
    <w:p>
      <w:r>
        <w:rPr>
          <w:b w:val="0"/>
          <w:i w:val="0"/>
        </w:rPr>
        <w:t xml:space="preserve">Use the full output for all entities. Excel calculation must be automatic; if values do not refresh, use </w:t>
      </w:r>
      <w:r>
        <w:rPr>
          <w:b/>
          <w:i w:val="0"/>
        </w:rPr>
        <w:t>Calculate Now</w:t>
      </w:r>
      <w:r>
        <w:rPr>
          <w:b w:val="0"/>
          <w:i w:val="0"/>
        </w:rPr>
        <w:t>. Do not leave old data rows below a shorter replacement.</w:t>
      </w:r>
    </w:p>
    <w:p>
      <w:r>
        <w:rPr>
          <w:b w:val="0"/>
          <w:i w:val="0"/>
        </w:rPr>
        <w:t>The input columns, in order, are:</w:t>
      </w:r>
    </w:p>
    <w:p>
      <w:r>
        <w:rPr>
          <w:rFonts w:ascii="Courier New" w:hAnsi="Courier New"/>
          <w:b w:val="0"/>
          <w:i w:val="0"/>
          <w:sz w:val="18"/>
        </w:rPr>
        <w:t>cntrycode, bscr_entity, region, sum_pml, sum_net, count_policies, is_geocoded, peril_id</w:t>
      </w:r>
    </w:p>
    <w:p>
      <w:r>
        <w:rPr>
          <w:b w:val="0"/>
          <w:i w:val="0"/>
        </w:rPr>
        <w:t>There is no historical-check tab or legacy mode in this population workbook. Do not paste the legacy query's output into it as a historical comparison; use the separate reconciliation workbook for that evidence.</w:t>
      </w:r>
    </w:p>
    <w:p>
      <w:bookmarkStart w:id="4" w:name="bm_bscr_runbook_what_populates_automatically"/>
      <w:pPr>
        <w:pStyle w:val="Heading2"/>
        <w:keepNext/>
      </w:pPr>
      <w:r>
        <w:rPr>
          <w:b w:val="0"/>
          <w:i w:val="0"/>
        </w:rPr>
        <w:t>What populates automatically</w:t>
      </w:r>
      <w:bookmarkEnd w:id="4"/>
    </w:p>
    <w:p>
      <w:r>
        <w:rPr>
          <w:b w:val="0"/>
          <w:i w:val="0"/>
        </w:rPr>
        <w:t>Green cells are automatic and locked. Blue cells remain manual and start blank: premiums, EP/model losses, questionnaires and narratives. Blank does not mean zero. The workbook is a population aid, not a complete or approved regulatory return.</w:t>
      </w:r>
    </w:p>
    <w:tbl>
      <w:tblPr>
        <w:tblStyle w:val="TableGrid"/>
        <w:tblW w:type="auto" w:w="0"/>
        <w:tblLook w:firstColumn="1" w:firstRow="1" w:lastColumn="0" w:lastRow="0" w:noHBand="0" w:noVBand="1" w:val="04A0"/>
      </w:tblPr>
      <w:tblGrid>
        <w:gridCol w:w="5040"/>
        <w:gridCol w:w="5040"/>
      </w:tblGrid>
      <w:tr>
        <w:tc>
          <w:tcPr>
            <w:tcW w:type="dxa" w:w="5040"/>
            <w:shd w:fill="D9EAF7"/>
          </w:tcPr>
          <w:p>
            <w:r>
              <w:rPr>
                <w:b/>
              </w:rPr>
            </w:r>
            <w:r>
              <w:rPr>
                <w:b/>
                <w:i w:val="0"/>
              </w:rPr>
              <w:t>Population / measure</w:t>
            </w:r>
          </w:p>
        </w:tc>
        <w:tc>
          <w:tcPr>
            <w:tcW w:type="dxa" w:w="5040"/>
            <w:shd w:fill="D9EAF7"/>
          </w:tcPr>
          <w:p>
            <w:r>
              <w:rPr>
                <w:b/>
              </w:rPr>
            </w:r>
            <w:r>
              <w:rPr>
                <w:b/>
                <w:i w:val="0"/>
              </w:rPr>
              <w:t>Agreed mapping</w:t>
            </w:r>
          </w:p>
        </w:tc>
      </w:tr>
      <w:tr>
        <w:tc>
          <w:tcPr>
            <w:tcW w:type="dxa" w:w="5040"/>
          </w:tcPr>
          <w:p>
            <w:r/>
            <w:r>
              <w:rPr>
                <w:b w:val="0"/>
                <w:i w:val="0"/>
              </w:rPr>
              <w:t>Modellable / modelled / detailed exposure</w:t>
            </w:r>
          </w:p>
        </w:tc>
        <w:tc>
          <w:tcPr>
            <w:tcW w:type="dxa" w:w="5040"/>
          </w:tcPr>
          <w:p>
            <w:r/>
            <w:r>
              <w:rPr>
                <w:rFonts w:ascii="Courier New" w:hAnsi="Courier New"/>
                <w:b w:val="0"/>
                <w:i w:val="0"/>
                <w:sz w:val="18"/>
              </w:rPr>
              <w:t>is_geocoded = 1</w:t>
            </w:r>
          </w:p>
        </w:tc>
      </w:tr>
      <w:tr>
        <w:tc>
          <w:tcPr>
            <w:tcW w:type="dxa" w:w="5040"/>
          </w:tcPr>
          <w:p>
            <w:r/>
            <w:r>
              <w:rPr>
                <w:b w:val="0"/>
                <w:i w:val="0"/>
              </w:rPr>
              <w:t>Not modellable / not modelled / data deficient</w:t>
            </w:r>
          </w:p>
        </w:tc>
        <w:tc>
          <w:tcPr>
            <w:tcW w:type="dxa" w:w="5040"/>
          </w:tcPr>
          <w:p>
            <w:r/>
            <w:r>
              <w:rPr>
                <w:rFonts w:ascii="Courier New" w:hAnsi="Courier New"/>
                <w:b w:val="0"/>
                <w:i w:val="0"/>
                <w:sz w:val="18"/>
              </w:rPr>
              <w:t>is_geocoded = 0</w:t>
            </w:r>
          </w:p>
        </w:tc>
      </w:tr>
      <w:tr>
        <w:tc>
          <w:tcPr>
            <w:tcW w:type="dxa" w:w="5040"/>
          </w:tcPr>
          <w:p>
            <w:r/>
            <w:r>
              <w:rPr>
                <w:b w:val="0"/>
                <w:i w:val="0"/>
              </w:rPr>
              <w:t>US contracts in X(f)</w:t>
            </w:r>
          </w:p>
        </w:tc>
        <w:tc>
          <w:tcPr>
            <w:tcW w:type="dxa" w:w="5040"/>
          </w:tcPr>
          <w:p>
            <w:r/>
            <w:r>
              <w:rPr>
                <w:b w:val="0"/>
                <w:i w:val="0"/>
              </w:rPr>
              <w:t xml:space="preserve">Earthquake </w:t>
            </w:r>
            <w:r>
              <w:rPr>
                <w:rFonts w:ascii="Courier New" w:hAnsi="Courier New"/>
                <w:b w:val="0"/>
                <w:i w:val="0"/>
                <w:sz w:val="18"/>
              </w:rPr>
              <w:t>ALL</w:t>
            </w:r>
            <w:r>
              <w:rPr>
                <w:b w:val="0"/>
                <w:i w:val="0"/>
              </w:rPr>
              <w:t xml:space="preserve"> rows with </w:t>
            </w:r>
            <w:r>
              <w:rPr>
                <w:rFonts w:ascii="Courier New" w:hAnsi="Courier New"/>
                <w:b w:val="0"/>
                <w:i w:val="0"/>
                <w:sz w:val="18"/>
              </w:rPr>
              <w:t>cntrycode = 'US'</w:t>
            </w:r>
          </w:p>
        </w:tc>
      </w:tr>
      <w:tr>
        <w:tc>
          <w:tcPr>
            <w:tcW w:type="dxa" w:w="5040"/>
          </w:tcPr>
          <w:p>
            <w:r/>
            <w:r>
              <w:rPr>
                <w:b w:val="0"/>
                <w:i w:val="0"/>
              </w:rPr>
              <w:t>All other contracts in X(f)</w:t>
            </w:r>
          </w:p>
        </w:tc>
        <w:tc>
          <w:tcPr>
            <w:tcW w:type="dxa" w:w="5040"/>
          </w:tcPr>
          <w:p>
            <w:r/>
            <w:r>
              <w:rPr>
                <w:b w:val="0"/>
                <w:i w:val="0"/>
              </w:rPr>
              <w:t xml:space="preserve">Earthquake </w:t>
            </w:r>
            <w:r>
              <w:rPr>
                <w:rFonts w:ascii="Courier New" w:hAnsi="Courier New"/>
                <w:b w:val="0"/>
                <w:i w:val="0"/>
                <w:sz w:val="18"/>
              </w:rPr>
              <w:t>ALL</w:t>
            </w:r>
            <w:r>
              <w:rPr>
                <w:b w:val="0"/>
                <w:i w:val="0"/>
              </w:rPr>
              <w:t xml:space="preserve"> minus US, using the same geocode selection</w:t>
            </w:r>
          </w:p>
        </w:tc>
      </w:tr>
      <w:tr>
        <w:tc>
          <w:tcPr>
            <w:tcW w:type="dxa" w:w="5040"/>
          </w:tcPr>
          <w:p>
            <w:r/>
            <w:r>
              <w:rPr>
                <w:b w:val="0"/>
                <w:i w:val="0"/>
              </w:rPr>
              <w:t>Count</w:t>
            </w:r>
          </w:p>
        </w:tc>
        <w:tc>
          <w:tcPr>
            <w:tcW w:type="dxa" w:w="5040"/>
          </w:tcPr>
          <w:p>
            <w:r/>
            <w:r>
              <w:rPr>
                <w:b w:val="0"/>
                <w:i w:val="0"/>
              </w:rPr>
              <w:t xml:space="preserve">Sum the supplied </w:t>
            </w:r>
            <w:r>
              <w:rPr>
                <w:rFonts w:ascii="Courier New" w:hAnsi="Courier New"/>
                <w:b w:val="0"/>
                <w:i w:val="0"/>
                <w:sz w:val="18"/>
              </w:rPr>
              <w:t>count_policies</w:t>
            </w:r>
            <w:r>
              <w:rPr>
                <w:b w:val="0"/>
                <w:i w:val="0"/>
              </w:rPr>
              <w:t>; do not scale or apply FX</w:t>
            </w:r>
          </w:p>
        </w:tc>
      </w:tr>
      <w:tr>
        <w:tc>
          <w:tcPr>
            <w:tcW w:type="dxa" w:w="5040"/>
          </w:tcPr>
          <w:p>
            <w:r/>
            <w:r>
              <w:rPr>
                <w:b w:val="0"/>
                <w:i w:val="0"/>
              </w:rPr>
              <w:t>Gross / net exposure</w:t>
            </w:r>
          </w:p>
        </w:tc>
        <w:tc>
          <w:tcPr>
            <w:tcW w:type="dxa" w:w="5040"/>
          </w:tcPr>
          <w:p>
            <w:r/>
            <w:r>
              <w:rPr>
                <w:b w:val="0"/>
                <w:i w:val="0"/>
              </w:rPr>
              <w:t>Sum the relevant SQL gross/net values and divide by 1,000,000</w:t>
            </w:r>
          </w:p>
        </w:tc>
      </w:tr>
    </w:tbl>
    <w:p/>
    <w:p>
      <w:r>
        <w:rPr>
          <w:b w:val="0"/>
          <w:i w:val="0"/>
        </w:rPr>
        <w:t>The geocoding classification is the agreed workbook proxy. It does not reproduce April's separate manual reallocations. Other modelability categories are zero under this proxy. Repeated schedule presentations are intentional; do not sum all regions or schedules into a portfolio total.</w:t>
      </w:r>
    </w:p>
    <w:p>
      <w:r>
        <w:rPr>
          <w:b w:val="0"/>
          <w:i w:val="0"/>
        </w:rPr>
        <w:t xml:space="preserve">The automatic X(a)/X(b) exposure fields are the </w:t>
      </w:r>
      <w:r>
        <w:rPr>
          <w:b/>
          <w:i w:val="0"/>
        </w:rPr>
        <w:t>all-other-lines</w:t>
      </w:r>
      <w:r>
        <w:rPr>
          <w:b w:val="0"/>
          <w:i w:val="0"/>
        </w:rPr>
        <w:t xml:space="preserve"> limits, split between modelled and not modelled. Statutory property-catastrophe fields require separate manual inputs; the SQL does not identify that classification.</w:t>
      </w:r>
    </w:p>
    <w:p>
      <w:bookmarkStart w:id="5" w:name="bm_bscr_runbook_regional_limits_in_x_c"/>
      <w:pPr>
        <w:pStyle w:val="Heading3"/>
        <w:keepNext/>
      </w:pPr>
      <w:r>
        <w:rPr>
          <w:b w:val="0"/>
          <w:i w:val="0"/>
        </w:rPr>
        <w:t>Regional limits in X(c)</w:t>
      </w:r>
      <w:bookmarkEnd w:id="5"/>
    </w:p>
    <w:tbl>
      <w:tblPr>
        <w:tblStyle w:val="TableGrid"/>
        <w:tblW w:type="auto" w:w="0"/>
        <w:tblLook w:firstColumn="1" w:firstRow="1" w:lastColumn="0" w:lastRow="0" w:noHBand="0" w:noVBand="1" w:val="04A0"/>
      </w:tblPr>
      <w:tblGrid>
        <w:gridCol w:w="3360"/>
        <w:gridCol w:w="3360"/>
        <w:gridCol w:w="3360"/>
      </w:tblGrid>
      <w:tr>
        <w:tc>
          <w:tcPr>
            <w:tcW w:type="dxa" w:w="3360"/>
            <w:shd w:fill="D9EAF7"/>
          </w:tcPr>
          <w:p>
            <w:r>
              <w:rPr>
                <w:b/>
              </w:rPr>
            </w:r>
            <w:r>
              <w:rPr>
                <w:b/>
                <w:i w:val="0"/>
              </w:rPr>
              <w:t>Schedule region</w:t>
            </w:r>
          </w:p>
        </w:tc>
        <w:tc>
          <w:tcPr>
            <w:tcW w:type="dxa" w:w="3360"/>
            <w:shd w:fill="D9EAF7"/>
          </w:tcPr>
          <w:p>
            <w:r>
              <w:rPr>
                <w:b/>
              </w:rPr>
            </w:r>
            <w:r>
              <w:rPr>
                <w:b/>
                <w:i w:val="0"/>
              </w:rPr>
              <w:t>SQL region</w:t>
            </w:r>
          </w:p>
        </w:tc>
        <w:tc>
          <w:tcPr>
            <w:tcW w:type="dxa" w:w="3360"/>
            <w:shd w:fill="D9EAF7"/>
          </w:tcPr>
          <w:p>
            <w:r>
              <w:rPr>
                <w:b/>
              </w:rPr>
            </w:r>
            <w:r>
              <w:rPr>
                <w:b/>
                <w:i w:val="0"/>
              </w:rPr>
              <w:t>Peril</w:t>
            </w:r>
          </w:p>
        </w:tc>
      </w:tr>
      <w:tr>
        <w:tc>
          <w:tcPr>
            <w:tcW w:type="dxa" w:w="3360"/>
          </w:tcPr>
          <w:p>
            <w:r/>
            <w:r>
              <w:rPr>
                <w:b w:val="0"/>
                <w:i w:val="0"/>
              </w:rPr>
              <w:t>Atlantic hurricane</w:t>
            </w:r>
          </w:p>
        </w:tc>
        <w:tc>
          <w:tcPr>
            <w:tcW w:type="dxa" w:w="3360"/>
          </w:tcPr>
          <w:p>
            <w:r/>
            <w:r>
              <w:rPr>
                <w:rFonts w:ascii="Courier New" w:hAnsi="Courier New"/>
                <w:b w:val="0"/>
                <w:i w:val="0"/>
                <w:sz w:val="18"/>
              </w:rPr>
              <w:t>is_nahu</w:t>
            </w:r>
          </w:p>
        </w:tc>
        <w:tc>
          <w:tcPr>
            <w:tcW w:type="dxa" w:w="3360"/>
          </w:tcPr>
          <w:p>
            <w:r/>
            <w:r>
              <w:rPr>
                <w:b w:val="0"/>
                <w:i w:val="0"/>
              </w:rPr>
              <w:t>Wind, 2</w:t>
            </w:r>
          </w:p>
        </w:tc>
      </w:tr>
      <w:tr>
        <w:tc>
          <w:tcPr>
            <w:tcW w:type="dxa" w:w="3360"/>
          </w:tcPr>
          <w:p>
            <w:r/>
            <w:r>
              <w:rPr>
                <w:b w:val="0"/>
                <w:i w:val="0"/>
              </w:rPr>
              <w:t>North American earthquake</w:t>
            </w:r>
          </w:p>
        </w:tc>
        <w:tc>
          <w:tcPr>
            <w:tcW w:type="dxa" w:w="3360"/>
          </w:tcPr>
          <w:p>
            <w:r/>
            <w:r>
              <w:rPr>
                <w:rFonts w:ascii="Courier New" w:hAnsi="Courier New"/>
                <w:b w:val="0"/>
                <w:i w:val="0"/>
                <w:sz w:val="18"/>
              </w:rPr>
              <w:t>is_na_eq</w:t>
            </w:r>
          </w:p>
        </w:tc>
        <w:tc>
          <w:tcPr>
            <w:tcW w:type="dxa" w:w="3360"/>
          </w:tcPr>
          <w:p>
            <w:r/>
            <w:r>
              <w:rPr>
                <w:b w:val="0"/>
                <w:i w:val="0"/>
              </w:rPr>
              <w:t>Earthquake, 1</w:t>
            </w:r>
          </w:p>
        </w:tc>
      </w:tr>
      <w:tr>
        <w:tc>
          <w:tcPr>
            <w:tcW w:type="dxa" w:w="3360"/>
          </w:tcPr>
          <w:p>
            <w:r/>
            <w:r>
              <w:rPr>
                <w:b w:val="0"/>
                <w:i w:val="0"/>
              </w:rPr>
              <w:t>European windstorm</w:t>
            </w:r>
          </w:p>
        </w:tc>
        <w:tc>
          <w:tcPr>
            <w:tcW w:type="dxa" w:w="3360"/>
          </w:tcPr>
          <w:p>
            <w:r/>
            <w:r>
              <w:rPr>
                <w:rFonts w:ascii="Courier New" w:hAnsi="Courier New"/>
                <w:b w:val="0"/>
                <w:i w:val="0"/>
                <w:sz w:val="18"/>
              </w:rPr>
              <w:t>is_eu</w:t>
            </w:r>
          </w:p>
        </w:tc>
        <w:tc>
          <w:tcPr>
            <w:tcW w:type="dxa" w:w="3360"/>
          </w:tcPr>
          <w:p>
            <w:r/>
            <w:r>
              <w:rPr>
                <w:b w:val="0"/>
                <w:i w:val="0"/>
              </w:rPr>
              <w:t>Wind, 2</w:t>
            </w:r>
          </w:p>
        </w:tc>
      </w:tr>
      <w:tr>
        <w:tc>
          <w:tcPr>
            <w:tcW w:type="dxa" w:w="3360"/>
          </w:tcPr>
          <w:p>
            <w:r/>
            <w:r>
              <w:rPr>
                <w:b w:val="0"/>
                <w:i w:val="0"/>
              </w:rPr>
              <w:t>Japanese earthquake</w:t>
            </w:r>
          </w:p>
        </w:tc>
        <w:tc>
          <w:tcPr>
            <w:tcW w:type="dxa" w:w="3360"/>
          </w:tcPr>
          <w:p>
            <w:r/>
            <w:r>
              <w:rPr>
                <w:rFonts w:ascii="Courier New" w:hAnsi="Courier New"/>
                <w:b w:val="0"/>
                <w:i w:val="0"/>
                <w:sz w:val="18"/>
              </w:rPr>
              <w:t>is_jp_eq</w:t>
            </w:r>
          </w:p>
        </w:tc>
        <w:tc>
          <w:tcPr>
            <w:tcW w:type="dxa" w:w="3360"/>
          </w:tcPr>
          <w:p>
            <w:r/>
            <w:r>
              <w:rPr>
                <w:b w:val="0"/>
                <w:i w:val="0"/>
              </w:rPr>
              <w:t>Earthquake, 1</w:t>
            </w:r>
          </w:p>
        </w:tc>
      </w:tr>
      <w:tr>
        <w:tc>
          <w:tcPr>
            <w:tcW w:type="dxa" w:w="3360"/>
          </w:tcPr>
          <w:p>
            <w:r/>
            <w:r>
              <w:rPr>
                <w:b w:val="0"/>
                <w:i w:val="0"/>
              </w:rPr>
              <w:t>Japanese typhoon</w:t>
            </w:r>
          </w:p>
        </w:tc>
        <w:tc>
          <w:tcPr>
            <w:tcW w:type="dxa" w:w="3360"/>
          </w:tcPr>
          <w:p>
            <w:r/>
            <w:r>
              <w:rPr>
                <w:rFonts w:ascii="Courier New" w:hAnsi="Courier New"/>
                <w:b w:val="0"/>
                <w:i w:val="0"/>
                <w:sz w:val="18"/>
              </w:rPr>
              <w:t>is_jp</w:t>
            </w:r>
          </w:p>
        </w:tc>
        <w:tc>
          <w:tcPr>
            <w:tcW w:type="dxa" w:w="3360"/>
          </w:tcPr>
          <w:p>
            <w:r/>
            <w:r>
              <w:rPr>
                <w:b w:val="0"/>
                <w:i w:val="0"/>
              </w:rPr>
              <w:t>Wind, 2</w:t>
            </w:r>
          </w:p>
        </w:tc>
      </w:tr>
    </w:tbl>
    <w:p/>
    <w:p>
      <w:r>
        <w:rPr>
          <w:rFonts w:ascii="Courier New" w:hAnsi="Courier New"/>
          <w:b w:val="0"/>
          <w:i w:val="0"/>
          <w:sz w:val="18"/>
        </w:rPr>
        <w:t>ALL</w:t>
      </w:r>
      <w:r>
        <w:rPr>
          <w:b w:val="0"/>
          <w:i w:val="0"/>
        </w:rPr>
        <w:t xml:space="preserve"> is earthquake only. Regional populations overlap. Canada is included in NA earthquake, alongside the selected US states in the current query. NA hurricane currently includes all US exposure.</w:t>
      </w:r>
    </w:p>
    <w:p>
      <w:bookmarkStart w:id="6" w:name="bm_bscr_runbook_currency_and_the_preloaded_input"/>
      <w:pPr>
        <w:pStyle w:val="Heading2"/>
        <w:keepNext/>
      </w:pPr>
      <w:r>
        <w:rPr>
          <w:b w:val="0"/>
          <w:i w:val="0"/>
        </w:rPr>
        <w:t>Currency and the preloaded input</w:t>
      </w:r>
      <w:bookmarkEnd w:id="6"/>
    </w:p>
    <w:p>
      <w:r>
        <w:rPr>
          <w:b w:val="0"/>
          <w:i w:val="0"/>
        </w:rPr>
        <w:t xml:space="preserve">The SQL assumes source GBP and applies </w:t>
      </w:r>
      <w:r>
        <w:rPr>
          <w:rFonts w:ascii="Courier New" w:hAnsi="Courier New"/>
          <w:b w:val="0"/>
          <w:i w:val="0"/>
          <w:sz w:val="18"/>
        </w:rPr>
        <w:t>@gbp_to_usd</w:t>
      </w:r>
      <w:r>
        <w:rPr>
          <w:b w:val="0"/>
          <w:i w:val="0"/>
        </w:rPr>
        <w:t xml:space="preserve"> once in its final SELECT (default </w:t>
      </w:r>
      <w:r>
        <w:rPr>
          <w:b/>
          <w:i w:val="0"/>
        </w:rPr>
        <w:t>1.35</w:t>
      </w:r>
      <w:r>
        <w:rPr>
          <w:b w:val="0"/>
          <w:i w:val="0"/>
        </w:rPr>
        <w:t xml:space="preserve">). It returns </w:t>
      </w:r>
      <w:r>
        <w:rPr>
          <w:b/>
          <w:i w:val="0"/>
        </w:rPr>
        <w:t>full USD</w:t>
      </w:r>
      <w:r>
        <w:rPr>
          <w:b w:val="0"/>
          <w:i w:val="0"/>
        </w:rPr>
        <w:t xml:space="preserve">, not USD millions. The population workbook divides monetary amounts by one million and does </w:t>
      </w:r>
      <w:r>
        <w:rPr>
          <w:b/>
          <w:i w:val="0"/>
        </w:rPr>
        <w:t>not</w:t>
      </w:r>
      <w:r>
        <w:rPr>
          <w:b w:val="0"/>
          <w:i w:val="0"/>
        </w:rPr>
        <w:t xml:space="preserve"> apply FX again.</w:t>
      </w:r>
    </w:p>
    <w:p>
      <w:r>
        <w:rPr>
          <w:b w:val="0"/>
          <w:i w:val="0"/>
        </w:rPr>
        <w:t xml:space="preserve">The initial 737 input rows were copied from the uploaded </w:t>
      </w:r>
      <w:hyperlink r:id="rId13">
        <w:r>
          <w:rPr>
            <w:color w:val="0563C1"/>
            <w:u w:val="single"/>
          </w:rPr>
          <w:t>bscr_output_wseq.csv</w:t>
        </w:r>
      </w:hyperlink>
      <w:r>
        <w:rPr>
          <w:b w:val="0"/>
          <w:i w:val="0"/>
        </w:rPr>
        <w:t>. They are not sample data or a live query result. We reproduced all 737 rows from the uploaded EDM tables, with exact counts and monetary differences below one cent. The initial filename is recorded in the SQL input header comment; it does not change automatically when new results are pasted.</w:t>
      </w:r>
    </w:p>
    <w:p>
      <w:r>
        <w:rPr>
          <w:b w:val="0"/>
          <w:i w:val="0"/>
        </w:rPr>
        <w:t xml:space="preserve">Two supplied GB wind rows have no recognized entity. They are retained in the input but not assigned to one of the five entity tabs. Their gross/net exposure totals approximately USD 26.353bn; this is separate from earthquake </w:t>
      </w:r>
      <w:r>
        <w:rPr>
          <w:rFonts w:ascii="Courier New" w:hAnsi="Courier New"/>
          <w:b w:val="0"/>
          <w:i w:val="0"/>
          <w:sz w:val="18"/>
        </w:rPr>
        <w:t>ALL</w:t>
      </w:r>
      <w:r>
        <w:rPr>
          <w:b w:val="0"/>
          <w:i w:val="0"/>
        </w:rPr>
        <w:t>.</w:t>
      </w:r>
    </w:p>
    <w:p>
      <w:bookmarkStart w:id="7" w:name="bm_bscr_runbook_reconciliation_evidence"/>
      <w:pPr>
        <w:pStyle w:val="Heading2"/>
        <w:keepNext/>
      </w:pPr>
      <w:r>
        <w:rPr>
          <w:b w:val="0"/>
          <w:i w:val="0"/>
        </w:rPr>
        <w:t>Reconciliation evidence</w:t>
      </w:r>
      <w:bookmarkEnd w:id="7"/>
    </w:p>
    <w:p>
      <w:hyperlink r:id="rId12">
        <w:r>
          <w:rPr>
            <w:color w:val="0563C1"/>
            <w:u w:val="single"/>
          </w:rPr>
          <w:t>BSCR_Reconciliation.xlsx</w:t>
        </w:r>
      </w:hyperlink>
      <w:r>
        <w:rPr>
          <w:b w:val="0"/>
          <w:i w:val="0"/>
        </w:rPr>
        <w:t xml:space="preserve"> has five tabs: </w:t>
      </w:r>
      <w:r>
        <w:rPr>
          <w:b/>
          <w:i w:val="0"/>
        </w:rPr>
        <w:t>What this tests</w:t>
      </w:r>
      <w:r>
        <w:rPr>
          <w:b w:val="0"/>
          <w:i w:val="0"/>
        </w:rPr>
        <w:t xml:space="preserve">, </w:t>
      </w:r>
      <w:r>
        <w:rPr>
          <w:b/>
          <w:i w:val="0"/>
        </w:rPr>
        <w:t>Schedule X(f)</w:t>
      </w:r>
      <w:r>
        <w:rPr>
          <w:b w:val="0"/>
          <w:i w:val="0"/>
        </w:rPr>
        <w:t xml:space="preserve">, </w:t>
      </w:r>
      <w:r>
        <w:rPr>
          <w:b/>
          <w:i w:val="0"/>
        </w:rPr>
        <w:t>Counts</w:t>
      </w:r>
      <w:r>
        <w:rPr>
          <w:b w:val="0"/>
          <w:i w:val="0"/>
        </w:rPr>
        <w:t xml:space="preserve">, </w:t>
      </w:r>
      <w:r>
        <w:rPr>
          <w:b/>
          <w:i w:val="0"/>
        </w:rPr>
        <w:t>Gross exposure</w:t>
      </w:r>
      <w:r>
        <w:rPr>
          <w:b w:val="0"/>
          <w:i w:val="0"/>
        </w:rPr>
        <w:t xml:space="preserve"> and </w:t>
      </w:r>
      <w:r>
        <w:rPr>
          <w:b/>
          <w:i w:val="0"/>
        </w:rPr>
        <w:t>Net exposure</w:t>
      </w:r>
      <w:r>
        <w:rPr>
          <w:b w:val="0"/>
          <w:i w:val="0"/>
        </w:rPr>
        <w:t>. It keeps reconciliation separate from routine population.</w:t>
      </w:r>
    </w:p>
    <w:p>
      <w:r>
        <w:rPr>
          <w:b w:val="0"/>
          <w:i w:val="0"/>
        </w:rPr>
        <w:t>The evidence chain is:</w:t>
      </w:r>
    </w:p>
    <w:p>
      <w:r>
        <w:rPr>
          <w:b/>
          <w:i w:val="0"/>
        </w:rPr>
        <w:t>Corrected February templates → old saved output → legacy query → corrected query → new saved output.</w:t>
      </w:r>
    </w:p>
    <w:p>
      <w:r>
        <w:rPr>
          <w:b w:val="0"/>
          <w:i w:val="0"/>
        </w:rPr>
        <w:t xml:space="preserve">• The template check uses the </w:t>
      </w:r>
      <w:r>
        <w:rPr>
          <w:b/>
          <w:i w:val="0"/>
        </w:rPr>
        <w:t>33 original</w:t>
      </w:r>
      <w:r>
        <w:rPr>
          <w:b w:val="0"/>
          <w:i w:val="0"/>
        </w:rPr>
        <w:t xml:space="preserve"> and </w:t>
      </w:r>
      <w:r>
        <w:rPr>
          <w:b/>
          <w:i w:val="0"/>
        </w:rPr>
        <w:t>3624/HIC/HIG/HSA v2</w:t>
      </w:r>
      <w:r>
        <w:rPr>
          <w:b w:val="0"/>
          <w:i w:val="0"/>
        </w:rPr>
        <w:t xml:space="preserve"> files in </w:t>
      </w:r>
      <w:r>
        <w:rPr>
          <w:rFonts w:ascii="Courier New" w:hAnsi="Courier New"/>
          <w:b w:val="0"/>
          <w:i w:val="0"/>
          <w:sz w:val="18"/>
        </w:rPr>
        <w:t>bscr/reconcile/filled in templates/</w:t>
      </w:r>
      <w:r>
        <w:rPr>
          <w:b w:val="0"/>
          <w:i w:val="0"/>
        </w:rPr>
        <w:t>. All 528 populated count/exposure cells tested in the selected X(f) blocks match the old pre-FX output and legacy query within rounding. Other fields are not certified by that test.</w:t>
      </w:r>
    </w:p>
    <w:p>
      <w:r>
        <w:rPr>
          <w:b w:val="0"/>
          <w:i w:val="0"/>
        </w:rPr>
        <w:t xml:space="preserve">• Those saved February monetary values are </w:t>
      </w:r>
      <w:r>
        <w:rPr>
          <w:b/>
          <w:i w:val="0"/>
        </w:rPr>
        <w:t>pre-FX amounts divided by 1,000</w:t>
      </w:r>
      <w:r>
        <w:rPr>
          <w:b w:val="0"/>
          <w:i w:val="0"/>
        </w:rPr>
        <w:t xml:space="preserve">, despite USD headings. The later workings' </w:t>
      </w:r>
      <w:r>
        <w:rPr>
          <w:b/>
          <w:i w:val="0"/>
        </w:rPr>
        <w:t>1.35 USD conversion was missing</w:t>
      </w:r>
      <w:r>
        <w:rPr>
          <w:b w:val="0"/>
          <w:i w:val="0"/>
        </w:rPr>
        <w:t xml:space="preserve">. Currency and thousand/million scaling are separate issues. The reconciliation shows the saved value, USD conversion at the same scale, and USD millions. Green </w:t>
      </w:r>
      <w:r>
        <w:rPr>
          <w:rFonts w:ascii="Courier New" w:hAnsi="Courier New"/>
          <w:b w:val="0"/>
          <w:i w:val="0"/>
          <w:sz w:val="18"/>
        </w:rPr>
        <w:t>MATCH</w:t>
      </w:r>
      <w:r>
        <w:rPr>
          <w:b w:val="0"/>
          <w:i w:val="0"/>
        </w:rPr>
        <w:t xml:space="preserve"> means agreement </w:t>
      </w:r>
      <w:r>
        <w:rPr>
          <w:b/>
          <w:i w:val="0"/>
        </w:rPr>
        <w:t>after the stated conversion</w:t>
      </w:r>
      <w:r>
        <w:rPr>
          <w:b w:val="0"/>
          <w:i w:val="0"/>
        </w:rPr>
        <w:t>, not that the original template was already in USD. Counts never receive FX.</w:t>
      </w:r>
    </w:p>
    <w:p>
      <w:r>
        <w:rPr>
          <w:b w:val="0"/>
          <w:i w:val="0"/>
        </w:rPr>
        <w:t xml:space="preserve">• The original SQL and Python aggregation reproduce all </w:t>
      </w:r>
      <w:r>
        <w:rPr>
          <w:b/>
          <w:i w:val="0"/>
        </w:rPr>
        <w:t>452 historical CSV rows</w:t>
      </w:r>
      <w:r>
        <w:rPr>
          <w:b w:val="0"/>
          <w:i w:val="0"/>
        </w:rPr>
        <w:t xml:space="preserve">. The retained legacy SQL also matches the </w:t>
      </w:r>
      <w:r>
        <w:rPr>
          <w:b/>
          <w:i w:val="0"/>
        </w:rPr>
        <w:t>49 groups</w:t>
      </w:r>
      <w:r>
        <w:rPr>
          <w:b w:val="0"/>
          <w:i w:val="0"/>
        </w:rPr>
        <w:t xml:space="preserve"> in the later March USD workings. Counts are exact and monetary residuals are below one cent.</w:t>
      </w:r>
    </w:p>
    <w:p>
      <w:r>
        <w:rPr>
          <w:b w:val="0"/>
          <w:i w:val="0"/>
        </w:rPr>
        <w:t xml:space="preserve">• Fixing only the geocode join explains the whole earthquake </w:t>
      </w:r>
      <w:r>
        <w:rPr>
          <w:rFonts w:ascii="Courier New" w:hAnsi="Courier New"/>
          <w:b w:val="0"/>
          <w:i w:val="0"/>
          <w:sz w:val="18"/>
        </w:rPr>
        <w:t>ALL</w:t>
      </w:r>
      <w:r>
        <w:rPr>
          <w:b w:val="0"/>
          <w:i w:val="0"/>
        </w:rPr>
        <w:t xml:space="preserve"> reduction: </w:t>
      </w:r>
      <w:r>
        <w:rPr>
          <w:b/>
          <w:i w:val="0"/>
        </w:rPr>
        <w:t>USD 4.813bn gross, USD 3.051bn net and 285 grouped rows</w:t>
      </w:r>
      <w:r>
        <w:rPr>
          <w:b w:val="0"/>
          <w:i w:val="0"/>
        </w:rPr>
        <w:t xml:space="preserve">, across </w:t>
      </w:r>
      <w:r>
        <w:rPr>
          <w:b/>
          <w:i w:val="0"/>
        </w:rPr>
        <w:t>184 accounts</w:t>
      </w:r>
      <w:r>
        <w:rPr>
          <w:b w:val="0"/>
          <w:i w:val="0"/>
        </w:rPr>
        <w:t xml:space="preserve"> with both geocode flags. The old join duplicated exposure between buckets; source policies were not deleted.</w:t>
      </w:r>
    </w:p>
    <w:p>
      <w:r>
        <w:rPr>
          <w:b w:val="0"/>
          <w:i w:val="0"/>
        </w:rPr>
        <w:t>• Policy-ID grouping has no material effect on this snapshot because no account has multiple type-1 policies. This is not a rule for other datasets.</w:t>
      </w:r>
    </w:p>
    <w:p>
      <w:r>
        <w:rPr>
          <w:b w:val="0"/>
          <w:i w:val="0"/>
        </w:rPr>
        <w:t>• All five April total counts and all 46 populated regional gross/net limits match the later historical workings (regional money within USD 1). Rounded overall amounts and manually reallocated classification splits can differ.</w:t>
      </w:r>
    </w:p>
    <w:p>
      <w:r>
        <w:rPr>
          <w:b w:val="0"/>
          <w:i w:val="0"/>
        </w:rPr>
        <w:t>These checks were local DuckDB replays against saved outputs, not live SQL Server executions. Case-insensitive source comparisons and legacy Python's case-sensitive geographic comparisons were distinguished. File dates do not prove submission.</w:t>
      </w:r>
    </w:p>
    <w:p>
      <w:bookmarkStart w:id="8" w:name="bm_bscr_runbook_legacy_query_and_reference_workbooks"/>
      <w:pPr>
        <w:pStyle w:val="Heading2"/>
        <w:keepNext/>
      </w:pPr>
      <w:r>
        <w:rPr>
          <w:b w:val="0"/>
          <w:i w:val="0"/>
        </w:rPr>
        <w:t>Legacy query and reference workbooks</w:t>
      </w:r>
      <w:bookmarkEnd w:id="8"/>
    </w:p>
    <w:p>
      <w:r>
        <w:rPr>
          <w:b w:val="0"/>
          <w:i w:val="0"/>
        </w:rPr>
        <w:t>Only two SQL scripts are retained:</w:t>
      </w:r>
    </w:p>
    <w:tbl>
      <w:tblPr>
        <w:tblStyle w:val="TableGrid"/>
        <w:tblW w:type="auto" w:w="0"/>
        <w:tblLook w:firstColumn="1" w:firstRow="1" w:lastColumn="0" w:lastRow="0" w:noHBand="0" w:noVBand="1" w:val="04A0"/>
      </w:tblPr>
      <w:tblGrid>
        <w:gridCol w:w="5040"/>
        <w:gridCol w:w="5040"/>
      </w:tblGrid>
      <w:tr>
        <w:tc>
          <w:tcPr>
            <w:tcW w:type="dxa" w:w="5040"/>
            <w:shd w:fill="D9EAF7"/>
          </w:tcPr>
          <w:p>
            <w:r>
              <w:rPr>
                <w:b/>
              </w:rPr>
            </w:r>
            <w:r>
              <w:rPr>
                <w:b/>
                <w:i w:val="0"/>
              </w:rPr>
              <w:t>Script</w:t>
            </w:r>
          </w:p>
        </w:tc>
        <w:tc>
          <w:tcPr>
            <w:tcW w:type="dxa" w:w="5040"/>
            <w:shd w:fill="D9EAF7"/>
          </w:tcPr>
          <w:p>
            <w:r>
              <w:rPr>
                <w:b/>
              </w:rPr>
            </w:r>
            <w:r>
              <w:rPr>
                <w:b/>
                <w:i w:val="0"/>
              </w:rPr>
              <w:t>Role</w:t>
            </w:r>
          </w:p>
        </w:tc>
      </w:tr>
      <w:tr>
        <w:tc>
          <w:tcPr>
            <w:tcW w:type="dxa" w:w="5040"/>
          </w:tcPr>
          <w:p>
            <w:r/>
            <w:r>
              <w:rPr>
                <w:rFonts w:ascii="Courier New" w:hAnsi="Courier New"/>
                <w:b w:val="0"/>
                <w:i w:val="0"/>
                <w:sz w:val="18"/>
              </w:rPr>
              <w:t>bscr-output.sql</w:t>
            </w:r>
          </w:p>
        </w:tc>
        <w:tc>
          <w:tcPr>
            <w:tcW w:type="dxa" w:w="5040"/>
          </w:tcPr>
          <w:p>
            <w:r/>
            <w:r>
              <w:rPr>
                <w:b w:val="0"/>
                <w:i w:val="0"/>
              </w:rPr>
              <w:t>Current calculation and input to the population workbook</w:t>
            </w:r>
          </w:p>
        </w:tc>
      </w:tr>
      <w:tr>
        <w:tc>
          <w:tcPr>
            <w:tcW w:type="dxa" w:w="5040"/>
          </w:tcPr>
          <w:p>
            <w:r/>
            <w:hyperlink r:id="rId14">
              <w:r>
                <w:rPr>
                  <w:color w:val="0563C1"/>
                  <w:u w:val="single"/>
                </w:rPr>
                <w:t>bscr-extract-legacy.sql</w:t>
              </w:r>
            </w:hyperlink>
          </w:p>
        </w:tc>
        <w:tc>
          <w:tcPr>
            <w:tcW w:type="dxa" w:w="5040"/>
          </w:tcPr>
          <w:p>
            <w:r/>
            <w:r>
              <w:rPr>
                <w:b w:val="0"/>
                <w:i w:val="0"/>
              </w:rPr>
              <w:t>Full historical aggregate, despite its name; diagnostic only</w:t>
            </w:r>
          </w:p>
        </w:tc>
      </w:tr>
    </w:tbl>
    <w:p/>
    <w:p>
      <w:r>
        <w:rPr>
          <w:b w:val="0"/>
          <w:i w:val="0"/>
        </w:rPr>
        <w:t>The legacy query intentionally retains old geocode duplication, cap grouping without policy ID, earthquake/policy type 1 for every region, and Python-style case-sensitive geography. Both queries return eight columns and default to full USD at FX 1.35. Set legacy FX to 1 only to compare directly with the old unconverted CSV. The queries differ in more than geocoding; the controlled reconciliation isolated each change rather than attributing every region's difference to the join.</w:t>
      </w:r>
    </w:p>
    <w:p>
      <w:r>
        <w:rPr>
          <w:rFonts w:ascii="Courier New" w:hAnsi="Courier New"/>
          <w:b w:val="0"/>
          <w:i w:val="0"/>
          <w:sz w:val="18"/>
        </w:rPr>
        <w:t>workings_old_report.xlsx</w:t>
      </w:r>
      <w:r>
        <w:rPr>
          <w:b w:val="0"/>
          <w:i w:val="0"/>
        </w:rPr>
        <w:t xml:space="preserve"> is identical to </w:t>
      </w:r>
      <w:r>
        <w:rPr>
          <w:rFonts w:ascii="Courier New" w:hAnsi="Courier New"/>
          <w:b w:val="0"/>
          <w:i w:val="0"/>
          <w:sz w:val="18"/>
        </w:rPr>
        <w:t>Workings_with_geocodingFW.xlsx</w:t>
      </w:r>
      <w:r>
        <w:rPr>
          <w:b w:val="0"/>
          <w:i w:val="0"/>
        </w:rPr>
        <w:t xml:space="preserve">. The earlier workings divide by 1,000; FW divides by 1,000,000. The later </w:t>
      </w:r>
      <w:r>
        <w:rPr>
          <w:rFonts w:ascii="Courier New" w:hAnsi="Courier New"/>
          <w:b w:val="0"/>
          <w:i w:val="0"/>
          <w:sz w:val="18"/>
        </w:rPr>
        <w:t>Workings_with_geocodingFW - Including blanks USD.xlsx</w:t>
      </w:r>
      <w:r>
        <w:rPr>
          <w:b w:val="0"/>
          <w:i w:val="0"/>
        </w:rPr>
        <w:t xml:space="preserve"> applies FX and restores US exposure to NA hurricane. Do not reproduce the earlier workbook's US omission in the current calculation.</w:t>
      </w:r>
    </w:p>
    <w:p>
      <w:r>
        <w:rPr>
          <w:b w:val="0"/>
          <w:i w:val="0"/>
        </w:rPr>
        <w:t xml:space="preserve">The older </w:t>
      </w:r>
      <w:r>
        <w:rPr>
          <w:rFonts w:ascii="Courier New" w:hAnsi="Courier New"/>
          <w:b w:val="0"/>
          <w:i w:val="0"/>
          <w:sz w:val="18"/>
        </w:rPr>
        <w:t>bscr/workbooks/BSCR_Workings.xlsx</w:t>
      </w:r>
      <w:r>
        <w:rPr>
          <w:b w:val="0"/>
          <w:i w:val="0"/>
        </w:rPr>
        <w:t xml:space="preserve"> is </w:t>
      </w:r>
      <w:r>
        <w:rPr>
          <w:b/>
          <w:i w:val="0"/>
        </w:rPr>
        <w:t>not the current population workbook</w:t>
      </w:r>
      <w:r>
        <w:rPr>
          <w:b w:val="0"/>
          <w:i w:val="0"/>
        </w:rPr>
        <w:t xml:space="preserve">. Its fixed key/pivot ranges, reversed Japanese peril references and hard-coded workbook FX are documented historical-workbook risks, not descriptions of </w:t>
      </w:r>
      <w:r>
        <w:rPr>
          <w:rFonts w:ascii="Courier New" w:hAnsi="Courier New"/>
          <w:b w:val="0"/>
          <w:i w:val="0"/>
          <w:sz w:val="18"/>
        </w:rPr>
        <w:t>BSCR_Auto_Population.xlsx</w:t>
      </w:r>
      <w:r>
        <w:rPr>
          <w:b w:val="0"/>
          <w:i w:val="0"/>
        </w:rPr>
        <w:t>. Do not follow its A:G loading route for the new workbook, which takes all eight columns in its Excel table.</w:t>
      </w:r>
    </w:p>
    <w:p>
      <w:r>
        <w:rPr>
          <w:b w:val="0"/>
          <w:i w:val="0"/>
        </w:rPr>
        <w:t xml:space="preserve">The original Marimo script remains in </w:t>
      </w:r>
      <w:r>
        <w:rPr>
          <w:rFonts w:ascii="Courier New" w:hAnsi="Courier New"/>
          <w:b w:val="0"/>
          <w:i w:val="0"/>
          <w:sz w:val="18"/>
        </w:rPr>
        <w:t>BSCR_UKEU_original.py</w:t>
      </w:r>
      <w:r>
        <w:rPr>
          <w:b w:val="0"/>
          <w:i w:val="0"/>
        </w:rPr>
        <w:t xml:space="preserve"> and </w:t>
      </w:r>
      <w:r>
        <w:rPr>
          <w:rFonts w:ascii="Courier New" w:hAnsi="Courier New"/>
          <w:b w:val="0"/>
          <w:i w:val="0"/>
          <w:sz w:val="18"/>
        </w:rPr>
        <w:t>old-process/</w:t>
      </w:r>
      <w:r>
        <w:rPr>
          <w:b w:val="0"/>
          <w:i w:val="0"/>
        </w:rPr>
        <w:t xml:space="preserve">. The separate </w:t>
      </w:r>
      <w:r>
        <w:rPr>
          <w:rFonts w:ascii="Courier New" w:hAnsi="Courier New"/>
          <w:b w:val="0"/>
          <w:i w:val="0"/>
          <w:sz w:val="18"/>
        </w:rPr>
        <w:t>BSCR_UKEU.py</w:t>
      </w:r>
      <w:r>
        <w:rPr>
          <w:b w:val="0"/>
          <w:i w:val="0"/>
        </w:rPr>
        <w:t xml:space="preserve"> is an older seven-column CSV workflow and is not the current producer. Source templates, raw workbooks and historical CSVs remain unchanged as evidence; their cached errors, external links and placeholders do not constitute approved current inputs.</w:t>
      </w:r>
    </w:p>
    <w:p>
      <w:bookmarkStart w:id="9" w:name="bm_bscr_runbook_raw_source_data_and_verification_limits"/>
      <w:pPr>
        <w:pStyle w:val="Heading2"/>
        <w:keepNext/>
      </w:pPr>
      <w:r>
        <w:rPr>
          <w:b w:val="0"/>
          <w:i w:val="0"/>
        </w:rPr>
        <w:t>Raw source data and verification limits</w:t>
      </w:r>
      <w:bookmarkEnd w:id="9"/>
    </w:p>
    <w:p>
      <w:r>
        <w:rPr>
          <w:b w:val="0"/>
          <w:i w:val="0"/>
        </w:rPr>
        <w:t xml:space="preserve">The six uploaded files in </w:t>
      </w:r>
      <w:r>
        <w:rPr>
          <w:rFonts w:ascii="Courier New" w:hAnsi="Courier New"/>
          <w:b w:val="0"/>
          <w:i w:val="0"/>
          <w:sz w:val="18"/>
        </w:rPr>
        <w:t>bscr/sql/edm-parquet/</w:t>
      </w:r>
      <w:r>
        <w:rPr>
          <w:b w:val="0"/>
          <w:i w:val="0"/>
        </w:rPr>
        <w:t xml:space="preserve"> are </w:t>
      </w:r>
      <w:r>
        <w:rPr>
          <w:b/>
          <w:i w:val="0"/>
        </w:rPr>
        <w:t>CSV</w:t>
      </w:r>
      <w:r>
        <w:rPr>
          <w:b w:val="0"/>
          <w:i w:val="0"/>
        </w:rPr>
        <w:t>, despite the folder name:</w:t>
      </w:r>
    </w:p>
    <w:tbl>
      <w:tblPr>
        <w:tblStyle w:val="TableGrid"/>
        <w:tblW w:type="auto" w:w="0"/>
        <w:tblLook w:firstColumn="1" w:firstRow="1" w:lastColumn="0" w:lastRow="0" w:noHBand="0" w:noVBand="1" w:val="04A0"/>
      </w:tblPr>
      <w:tblGrid>
        <w:gridCol w:w="5040"/>
        <w:gridCol w:w="5040"/>
      </w:tblGrid>
      <w:tr>
        <w:tc>
          <w:tcPr>
            <w:tcW w:type="dxa" w:w="5040"/>
            <w:shd w:fill="D9EAF7"/>
          </w:tcPr>
          <w:p>
            <w:r>
              <w:rPr>
                <w:b/>
              </w:rPr>
            </w:r>
            <w:r>
              <w:rPr>
                <w:b/>
                <w:i w:val="0"/>
              </w:rPr>
              <w:t>File</w:t>
            </w:r>
          </w:p>
        </w:tc>
        <w:tc>
          <w:tcPr>
            <w:tcW w:type="dxa" w:w="5040"/>
            <w:shd w:fill="D9EAF7"/>
          </w:tcPr>
          <w:p>
            <w:r>
              <w:rPr>
                <w:b/>
              </w:rPr>
            </w:r>
            <w:r>
              <w:rPr>
                <w:b/>
                <w:i w:val="0"/>
              </w:rPr>
              <w:t>Verified rows / content</w:t>
            </w:r>
          </w:p>
        </w:tc>
      </w:tr>
      <w:tr>
        <w:tc>
          <w:tcPr>
            <w:tcW w:type="dxa" w:w="5040"/>
          </w:tcPr>
          <w:p>
            <w:r/>
            <w:r>
              <w:rPr>
                <w:rFonts w:ascii="Courier New" w:hAnsi="Courier New"/>
                <w:b w:val="0"/>
                <w:i w:val="0"/>
                <w:sz w:val="18"/>
              </w:rPr>
              <w:t>01_accgrp.csv</w:t>
            </w:r>
          </w:p>
        </w:tc>
        <w:tc>
          <w:tcPr>
            <w:tcW w:type="dxa" w:w="5040"/>
          </w:tcPr>
          <w:p>
            <w:r/>
            <w:r>
              <w:rPr>
                <w:b w:val="0"/>
                <w:i w:val="0"/>
              </w:rPr>
              <w:t>354,830</w:t>
            </w:r>
          </w:p>
        </w:tc>
      </w:tr>
      <w:tr>
        <w:tc>
          <w:tcPr>
            <w:tcW w:type="dxa" w:w="5040"/>
          </w:tcPr>
          <w:p>
            <w:r/>
            <w:r>
              <w:rPr>
                <w:rFonts w:ascii="Courier New" w:hAnsi="Courier New"/>
                <w:b w:val="0"/>
                <w:i w:val="0"/>
                <w:sz w:val="18"/>
              </w:rPr>
              <w:t>02_policy.csv</w:t>
            </w:r>
          </w:p>
        </w:tc>
        <w:tc>
          <w:tcPr>
            <w:tcW w:type="dxa" w:w="5040"/>
          </w:tcPr>
          <w:p>
            <w:r/>
            <w:r>
              <w:rPr>
                <w:b w:val="0"/>
                <w:i w:val="0"/>
              </w:rPr>
              <w:t>662,306</w:t>
            </w:r>
          </w:p>
        </w:tc>
      </w:tr>
      <w:tr>
        <w:tc>
          <w:tcPr>
            <w:tcW w:type="dxa" w:w="5040"/>
          </w:tcPr>
          <w:p>
            <w:r/>
            <w:r>
              <w:rPr>
                <w:rFonts w:ascii="Courier New" w:hAnsi="Courier New"/>
                <w:b w:val="0"/>
                <w:i w:val="0"/>
                <w:sz w:val="18"/>
              </w:rPr>
              <w:t>03_loc.csv</w:t>
            </w:r>
          </w:p>
        </w:tc>
        <w:tc>
          <w:tcPr>
            <w:tcW w:type="dxa" w:w="5040"/>
          </w:tcPr>
          <w:p>
            <w:r/>
            <w:r>
              <w:rPr>
                <w:b w:val="0"/>
                <w:i w:val="0"/>
              </w:rPr>
              <w:t>1,008,151</w:t>
            </w:r>
          </w:p>
        </w:tc>
      </w:tr>
      <w:tr>
        <w:tc>
          <w:tcPr>
            <w:tcW w:type="dxa" w:w="5040"/>
          </w:tcPr>
          <w:p>
            <w:r/>
            <w:r>
              <w:rPr>
                <w:rFonts w:ascii="Courier New" w:hAnsi="Courier New"/>
                <w:b w:val="0"/>
                <w:i w:val="0"/>
                <w:sz w:val="18"/>
              </w:rPr>
              <w:t>04_loccvg.csv</w:t>
            </w:r>
          </w:p>
        </w:tc>
        <w:tc>
          <w:tcPr>
            <w:tcW w:type="dxa" w:w="5040"/>
          </w:tcPr>
          <w:p>
            <w:r/>
            <w:r>
              <w:rPr>
                <w:b w:val="0"/>
                <w:i w:val="0"/>
              </w:rPr>
              <w:t>1,053,391</w:t>
            </w:r>
          </w:p>
        </w:tc>
      </w:tr>
      <w:tr>
        <w:tc>
          <w:tcPr>
            <w:tcW w:type="dxa" w:w="5040"/>
          </w:tcPr>
          <w:p>
            <w:r/>
            <w:r>
              <w:rPr>
                <w:rFonts w:ascii="Courier New" w:hAnsi="Courier New"/>
                <w:b w:val="0"/>
                <w:i w:val="0"/>
                <w:sz w:val="18"/>
              </w:rPr>
              <w:t>source_metadata.csv</w:t>
            </w:r>
          </w:p>
        </w:tc>
        <w:tc>
          <w:tcPr>
            <w:tcW w:type="dxa" w:w="5040"/>
          </w:tcPr>
          <w:p>
            <w:r/>
            <w:r>
              <w:rPr>
                <w:b w:val="0"/>
                <w:i w:val="0"/>
              </w:rPr>
              <w:t>Database, time, collation and row counts</w:t>
            </w:r>
          </w:p>
        </w:tc>
      </w:tr>
      <w:tr>
        <w:tc>
          <w:tcPr>
            <w:tcW w:type="dxa" w:w="5040"/>
          </w:tcPr>
          <w:p>
            <w:r/>
            <w:r>
              <w:rPr>
                <w:rFonts w:ascii="Courier New" w:hAnsi="Courier New"/>
                <w:b w:val="0"/>
                <w:i w:val="0"/>
                <w:sz w:val="18"/>
              </w:rPr>
              <w:t>06_schema.csv</w:t>
            </w:r>
          </w:p>
        </w:tc>
        <w:tc>
          <w:tcPr>
            <w:tcW w:type="dxa" w:w="5040"/>
          </w:tcPr>
          <w:p>
            <w:r/>
            <w:r>
              <w:rPr>
                <w:b w:val="0"/>
                <w:i w:val="0"/>
              </w:rPr>
              <w:t>Source column definitions</w:t>
            </w:r>
          </w:p>
        </w:tc>
      </w:tr>
    </w:tbl>
    <w:p/>
    <w:p>
      <w:r>
        <w:rPr>
          <w:b w:val="0"/>
          <w:i w:val="0"/>
        </w:rPr>
        <w:t xml:space="preserve">All four source counts match the metadata for </w:t>
      </w:r>
      <w:r>
        <w:rPr>
          <w:rFonts w:ascii="Courier New" w:hAnsi="Courier New"/>
          <w:b w:val="0"/>
          <w:i w:val="0"/>
          <w:sz w:val="18"/>
        </w:rPr>
        <w:t>HISCO_UKEU_01JAN26_010126_ROLLUP_ByLOB_GC_EDM</w:t>
      </w:r>
      <w:r>
        <w:rPr>
          <w:b w:val="0"/>
          <w:i w:val="0"/>
        </w:rPr>
        <w:t xml:space="preserve">. Preserve duplicates, native values and empty strings versus NULL representations. Do not apply FX or resave the raw CSVs in Excel. The 30 literal </w:t>
      </w:r>
      <w:r>
        <w:rPr>
          <w:rFonts w:ascii="Courier New" w:hAnsi="Courier New"/>
          <w:b w:val="0"/>
          <w:i w:val="0"/>
          <w:sz w:val="18"/>
        </w:rPr>
        <w:t>NULL</w:t>
      </w:r>
      <w:r>
        <w:rPr>
          <w:b w:val="0"/>
          <w:i w:val="0"/>
        </w:rPr>
        <w:t xml:space="preserve"> state markers occur in French/German locations; raw lexical values were preserved during inspection.</w:t>
      </w:r>
    </w:p>
    <w:p>
      <w:r>
        <w:rPr>
          <w:b w:val="0"/>
          <w:i w:val="0"/>
        </w:rPr>
        <w:t xml:space="preserve">The local builder </w:t>
      </w:r>
      <w:r>
        <w:rPr>
          <w:rFonts w:ascii="Courier New" w:hAnsi="Courier New"/>
          <w:b w:val="0"/>
          <w:i w:val="0"/>
          <w:sz w:val="18"/>
        </w:rPr>
        <w:t>bscr/tools/build_population_workbook.py</w:t>
      </w:r>
      <w:r>
        <w:rPr>
          <w:b w:val="0"/>
          <w:i w:val="0"/>
        </w:rPr>
        <w:t xml:space="preserve"> verifies </w:t>
      </w:r>
      <w:r>
        <w:rPr>
          <w:b/>
          <w:i w:val="0"/>
        </w:rPr>
        <w:t>630 automatic mappings</w:t>
      </w:r>
      <w:r>
        <w:rPr>
          <w:b w:val="0"/>
          <w:i w:val="0"/>
        </w:rPr>
        <w:t xml:space="preserve"> with an independent Excel-function engine and writes cached formula results. Input-change tests covered counts, gross/net, US subtraction, wind routing and missing-entity warnings. Native Excel rendering/recalculation was not available locally; the work-laptop review remains necessary.</w:t>
      </w:r>
    </w:p>
    <w:p>
      <w:r>
        <w:rPr>
          <w:b w:val="0"/>
          <w:i w:val="0"/>
        </w:rPr>
        <w:t xml:space="preserve">Remaining controls include the source currency/rate for each new run, policy-cap allocation grain, grouped-row versus distinct-contract counts, unmapped entities, manual supplemental inputs and final-template approval. The agreed geocode proxy is implemented; it is not a claim that all April manual classifications were reproduced. See </w:t>
      </w:r>
      <w:hyperlink r:id="rId15">
        <w:r>
          <w:rPr>
            <w:color w:val="0563C1"/>
            <w:u w:val="single"/>
          </w:rPr>
          <w:t>decisions</w:t>
        </w:r>
      </w:hyperlink>
      <w:r>
        <w:rPr>
          <w:b w:val="0"/>
          <w:i w:val="0"/>
        </w:rPr>
        <w:t xml:space="preserve"> and the </w:t>
      </w:r>
      <w:hyperlink r:id="rId16">
        <w:r>
          <w:rPr>
            <w:color w:val="0563C1"/>
            <w:u w:val="single"/>
          </w:rPr>
          <w:t>discrepancy register</w:t>
        </w:r>
      </w:hyperlink>
      <w:r>
        <w:rPr>
          <w:b w:val="0"/>
          <w:i w:val="0"/>
        </w:rPr>
        <w:t>.</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README.md" TargetMode="External"/><Relationship Id="rId10" Type="http://schemas.openxmlformats.org/officeDocument/2006/relationships/hyperlink" Target="../../bscr/sql/bscr-output.sql" TargetMode="External"/><Relationship Id="rId11" Type="http://schemas.openxmlformats.org/officeDocument/2006/relationships/hyperlink" Target="../../bscr/workbooks/BSCR_Auto_Population.xlsx" TargetMode="External"/><Relationship Id="rId12" Type="http://schemas.openxmlformats.org/officeDocument/2006/relationships/hyperlink" Target="../../bscr/reconcile/results/BSCR_Reconciliation.xlsx" TargetMode="External"/><Relationship Id="rId13" Type="http://schemas.openxmlformats.org/officeDocument/2006/relationships/hyperlink" Target="../../bscr/reconcile/bscr_output_wseq.csv" TargetMode="External"/><Relationship Id="rId14" Type="http://schemas.openxmlformats.org/officeDocument/2006/relationships/hyperlink" Target="../../bscr/sql/bscr-extract-legacy.sql" TargetMode="External"/><Relationship Id="rId15" Type="http://schemas.openxmlformats.org/officeDocument/2006/relationships/hyperlink" Target="../decisions.md#bscr-01" TargetMode="External"/><Relationship Id="rId16" Type="http://schemas.openxmlformats.org/officeDocument/2006/relationships/hyperlink" Target="../calculation-discrepancies.md#bscr-schedule-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