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Lloyd's/RDS Supplementary Runbook</w:t>
      </w:r>
    </w:p>
    <w:p>
      <w:pPr>
        <w:pStyle w:val="Subtitle"/>
      </w:pPr>
      <w:r>
        <w:rPr>
          <w:b w:val="0"/>
          <w:i w:val="0"/>
        </w:rPr>
        <w:t>January 2026</w:t>
      </w:r>
    </w:p>
    <w:p>
      <w:r>
        <w:br w:type="page"/>
      </w:r>
    </w:p>
    <w:p>
      <w:pPr>
        <w:spacing w:after="40"/>
      </w:pPr>
      <w:r>
        <w:t>―</w:t>
      </w:r>
    </w:p>
    <w:p>
      <w:r>
        <w:rPr>
          <w:b w:val="0"/>
          <w:i w:val="0"/>
        </w:rPr>
        <w:t>Report: RDS Time: 3d ---</w:t>
      </w:r>
    </w:p>
    <w:p>
      <w:bookmarkStart w:id="1" w:name="bm_lloyds_runbook_lloyd_s_rds_and_supplementary_reports"/>
      <w:pPr>
        <w:pStyle w:val="Heading1"/>
        <w:keepNext/>
      </w:pPr>
      <w:r>
        <w:rPr>
          <w:b w:val="0"/>
          <w:i w:val="0"/>
        </w:rPr>
        <w:t>Lloyd's — RDS and supplementary reports</w:t>
      </w:r>
      <w:bookmarkEnd w:id="1"/>
    </w:p>
    <w:p>
      <w:hyperlink r:id="rId9">
        <w:r>
          <w:rPr>
            <w:color w:val="0563C1"/>
            <w:u w:val="single"/>
          </w:rPr>
          <w:t>Back to reporting guides</w:t>
        </w:r>
      </w:hyperlink>
    </w:p>
    <w:p>
      <w:bookmarkStart w:id="2" w:name="bm_lloyds_runbook_rds_events"/>
      <w:pPr>
        <w:pStyle w:val="Heading2"/>
        <w:keepNext/>
      </w:pPr>
      <w:r>
        <w:rPr>
          <w:b w:val="0"/>
          <w:i w:val="0"/>
        </w:rPr>
        <w:t>RDS events</w:t>
      </w:r>
      <w:bookmarkEnd w:id="2"/>
    </w:p>
    <w:p>
      <w:bookmarkStart w:id="3" w:name="bm_lloyds_runbook_1_open_the_event_list_and_reporting_workbook"/>
      <w:pPr>
        <w:pStyle w:val="Heading3"/>
        <w:keepNext/>
      </w:pPr>
      <w:r>
        <w:rPr>
          <w:b w:val="0"/>
          <w:i w:val="0"/>
        </w:rPr>
        <w:t>1. Open the event list and reporting workbook</w:t>
      </w:r>
      <w:bookmarkEnd w:id="3"/>
    </w:p>
    <w:p>
      <w:r>
        <w:rPr>
          <w:b w:val="0"/>
          <w:i w:val="0"/>
        </w:rPr>
        <w:t xml:space="preserve">• </w:t>
      </w:r>
      <w:hyperlink r:id="rId10">
        <w:r>
          <w:rPr>
            <w:color w:val="0563C1"/>
            <w:u w:val="single"/>
          </w:rPr>
          <w:t>Event IDs</w:t>
        </w:r>
      </w:hyperlink>
      <w:r>
        <w:rPr>
          <w:b w:val="0"/>
          <w:i w:val="0"/>
        </w:rPr>
        <w:t xml:space="preserve"> — which model events to extract.</w:t>
      </w:r>
    </w:p>
    <w:p>
      <w:r>
        <w:rPr>
          <w:b w:val="0"/>
          <w:i w:val="0"/>
        </w:rPr>
        <w:t xml:space="preserve">• </w:t>
      </w:r>
      <w:hyperlink r:id="rId11">
        <w:r>
          <w:rPr>
            <w:color w:val="0563C1"/>
            <w:u w:val="single"/>
          </w:rPr>
          <w:t>RDS workbook</w:t>
        </w:r>
      </w:hyperlink>
      <w:r>
        <w:rPr>
          <w:b w:val="0"/>
          <w:i w:val="0"/>
        </w:rPr>
        <w:t xml:space="preserve"> — where the results go.</w:t>
      </w:r>
    </w:p>
    <w:p>
      <w:r>
        <w:rPr>
          <w:b w:val="0"/>
          <w:i w:val="0"/>
        </w:rPr>
        <w:t xml:space="preserve">Choose the correct period: the workbook contains </w:t>
      </w:r>
      <w:r>
        <w:rPr>
          <w:rFonts w:ascii="Courier New" w:hAnsi="Courier New"/>
          <w:b/>
          <w:i w:val="0"/>
          <w:sz w:val="18"/>
        </w:rPr>
        <w:t>1.1.26 RDS Input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/>
          <w:i w:val="0"/>
          <w:sz w:val="18"/>
        </w:rPr>
        <w:t>1.4.2026 RDS Input</w:t>
      </w:r>
      <w:r>
        <w:rPr>
          <w:b w:val="0"/>
          <w:i w:val="0"/>
        </w:rPr>
        <w:t xml:space="preserve"> tabs. Do not overwrite another period.</w:t>
      </w:r>
    </w:p>
    <w:p>
      <w:bookmarkStart w:id="4" w:name="bm_lloyds_runbook_2_extract_the_model_losses"/>
      <w:pPr>
        <w:pStyle w:val="Heading3"/>
        <w:keepNext/>
      </w:pPr>
      <w:r>
        <w:rPr>
          <w:b w:val="0"/>
          <w:i w:val="0"/>
        </w:rPr>
        <w:t>2. Extract the model losses</w:t>
      </w:r>
      <w:bookmarkEnd w:id="4"/>
    </w:p>
    <w:p>
      <w:r>
        <w:rPr>
          <w:b w:val="0"/>
          <w:i w:val="0"/>
        </w:rPr>
        <w:t>Use the approved reporting-period ELTs and portfolios/classes.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Model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Selection key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Verisk / AIR / Touchstone</w:t>
            </w:r>
          </w:p>
        </w:tc>
        <w:tc>
          <w:tcPr>
            <w:tcW w:type="dxa" w:w="5040"/>
          </w:tcPr>
          <w:p>
            <w:r/>
            <w:r>
              <w:rPr>
                <w:b/>
                <w:i w:val="0"/>
              </w:rPr>
              <w:t>Event AND Year</w:t>
            </w:r>
            <w:r>
              <w:rPr>
                <w:b w:val="0"/>
                <w:i w:val="0"/>
              </w:rPr>
              <w:t xml:space="preserve"> from the event list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RMS / Risklink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The corresponding RMS event ID</w:t>
            </w:r>
          </w:p>
        </w:tc>
      </w:tr>
    </w:tbl>
    <w:p/>
    <w:p>
      <w:r>
        <w:rPr>
          <w:b w:val="0"/>
          <w:i w:val="0"/>
        </w:rPr>
        <w:t xml:space="preserve">Do not select AIR events by event number alone: numbers repeat across years. For example, the Northeast Hurricane selection is </w:t>
      </w:r>
      <w:r>
        <w:rPr>
          <w:b/>
          <w:i w:val="0"/>
        </w:rPr>
        <w:t>Event 1, Year 103</w:t>
      </w:r>
      <w:r>
        <w:rPr>
          <w:b w:val="0"/>
          <w:i w:val="0"/>
        </w:rPr>
        <w:t>. Confirm the event mapping applies to the model version being used.</w:t>
      </w:r>
    </w:p>
    <w:p>
      <w:r>
        <w:rPr>
          <w:b/>
          <w:i w:val="0"/>
        </w:rPr>
        <w:t>UK flood needs its selection supplied:</w:t>
      </w:r>
      <w:r>
        <w:rPr>
          <w:b w:val="0"/>
          <w:i w:val="0"/>
        </w:rPr>
        <w:t xml:space="preserve"> it is absent from the event-ID list, and its model-ID cells in </w:t>
      </w:r>
      <w:r>
        <w:rPr>
          <w:rFonts w:ascii="Courier New" w:hAnsi="Courier New"/>
          <w:b w:val="0"/>
          <w:i w:val="0"/>
          <w:sz w:val="18"/>
        </w:rPr>
        <w:t>EventDetails</w:t>
      </w:r>
      <w:r>
        <w:rPr>
          <w:b w:val="0"/>
          <w:i w:val="0"/>
        </w:rPr>
        <w:t xml:space="preserve"> are blank. The checked-in </w:t>
      </w:r>
      <w:r>
        <w:rPr>
          <w:rFonts w:ascii="Courier New" w:hAnsi="Courier New"/>
          <w:b w:val="0"/>
          <w:i w:val="0"/>
          <w:sz w:val="18"/>
        </w:rPr>
        <w:t>rds-event-select.sql</w:t>
      </w:r>
      <w:r>
        <w:rPr>
          <w:b w:val="0"/>
          <w:i w:val="0"/>
        </w:rPr>
        <w:t xml:space="preserve"> is also empty; it is not a runnable extraction query.</w:t>
      </w:r>
    </w:p>
    <w:p>
      <w:bookmarkStart w:id="5" w:name="bm_lloyds_runbook_3_apply_the_agreed_model_blend"/>
      <w:pPr>
        <w:pStyle w:val="Heading3"/>
        <w:keepNext/>
      </w:pPr>
      <w:r>
        <w:rPr>
          <w:b w:val="0"/>
          <w:i w:val="0"/>
        </w:rPr>
        <w:t>3. Apply the agreed model blend</w:t>
      </w:r>
      <w:bookmarkEnd w:id="5"/>
    </w:p>
    <w:p>
      <w:r>
        <w:rPr>
          <w:b w:val="0"/>
          <w:i w:val="0"/>
        </w:rPr>
        <w:t>Put model losses on the same class, financial-term and currency basis first. Where a blend applies, use:</w:t>
      </w:r>
    </w:p>
    <w:p>
      <w:r>
        <w:rPr>
          <w:b/>
          <w:i w:val="0"/>
        </w:rPr>
        <w:t>Blended loss = Verisk weight × Verisk loss + Risklink weight × Risklink loss.</w:t>
      </w:r>
    </w:p>
    <w:p>
      <w:r>
        <w:rPr>
          <w:b w:val="0"/>
          <w:i w:val="0"/>
        </w:rPr>
        <w:t xml:space="preserve">The recorded EU windstorm approach is </w:t>
      </w:r>
      <w:r>
        <w:rPr>
          <w:b/>
          <w:i w:val="0"/>
        </w:rPr>
        <w:t>100% Risklink</w:t>
      </w:r>
      <w:r>
        <w:rPr>
          <w:b w:val="0"/>
          <w:i w:val="0"/>
        </w:rPr>
        <w:t>: use the Risklink loss. For other perils, obtain the agreed weights; do not assume 50/50 or add both models at full weight. The January 2026 notes say only EU windstorm and UK flood were refreshed then—do not assume the other cached events are current.</w:t>
      </w:r>
    </w:p>
    <w:p>
      <w:bookmarkStart w:id="6" w:name="bm_lloyds_runbook_4_update_and_check_the_rds_rows"/>
      <w:pPr>
        <w:pStyle w:val="Heading3"/>
        <w:keepNext/>
      </w:pPr>
      <w:r>
        <w:rPr>
          <w:b w:val="0"/>
          <w:i w:val="0"/>
        </w:rPr>
        <w:t>4. Update and check the RDS rows</w:t>
      </w:r>
      <w:bookmarkEnd w:id="6"/>
    </w:p>
    <w:p>
      <w:r>
        <w:rPr>
          <w:b w:val="0"/>
          <w:i w:val="0"/>
        </w:rPr>
        <w:t xml:space="preserve">Match each result to </w:t>
      </w:r>
      <w:r>
        <w:rPr>
          <w:b/>
          <w:i w:val="0"/>
        </w:rPr>
        <w:t>Event + Class</w:t>
      </w:r>
      <w:r>
        <w:rPr>
          <w:b w:val="0"/>
          <w:i w:val="0"/>
        </w:rPr>
        <w:t xml:space="preserve"> in the chosen </w:t>
      </w:r>
      <w:r>
        <w:rPr>
          <w:rFonts w:ascii="Courier New" w:hAnsi="Courier New"/>
          <w:b w:val="0"/>
          <w:i w:val="0"/>
          <w:sz w:val="18"/>
        </w:rPr>
        <w:t>RDS Input</w:t>
      </w:r>
      <w:r>
        <w:rPr>
          <w:b w:val="0"/>
          <w:i w:val="0"/>
        </w:rPr>
        <w:t xml:space="preserve"> tab. Enter losses under </w:t>
      </w:r>
      <w:r>
        <w:rPr>
          <w:b/>
          <w:i w:val="0"/>
        </w:rPr>
        <w:t>Gross Loss</w:t>
      </w:r>
      <w:r>
        <w:rPr>
          <w:b w:val="0"/>
          <w:i w:val="0"/>
        </w:rPr>
        <w:t xml:space="preserve">, check </w:t>
      </w:r>
      <w:r>
        <w:rPr>
          <w:b/>
          <w:i w:val="0"/>
        </w:rPr>
        <w:t>Currency</w:t>
      </w:r>
      <w:r>
        <w:rPr>
          <w:b w:val="0"/>
          <w:i w:val="0"/>
        </w:rPr>
        <w:t xml:space="preserve">, and keep </w:t>
      </w:r>
      <w:r>
        <w:rPr>
          <w:b/>
          <w:i w:val="0"/>
        </w:rPr>
        <w:t>Aggregate</w:t>
      </w:r>
      <w:r>
        <w:rPr>
          <w:b w:val="0"/>
          <w:i w:val="0"/>
        </w:rPr>
        <w:t xml:space="preserve"> (exposure) and </w:t>
      </w:r>
      <w:r>
        <w:rPr>
          <w:b/>
          <w:i w:val="0"/>
        </w:rPr>
        <w:t>Gross Reinstatement Premium Recoveries</w:t>
      </w:r>
      <w:r>
        <w:rPr>
          <w:b w:val="0"/>
          <w:i w:val="0"/>
        </w:rPr>
        <w:t xml:space="preserve"> separate. Do not paste losses into exposure columns or overwrite the scenario labels.</w:t>
      </w:r>
    </w:p>
    <w:p>
      <w:r>
        <w:rPr>
          <w:b w:val="0"/>
          <w:i w:val="0"/>
        </w:rPr>
        <w:t>Check every required event/class, currency and blend against the source extracts. Keep the extracts and weights with the completed working copy; obtain review before submission.</w:t>
      </w:r>
    </w:p>
    <w:p>
      <w:bookmarkStart w:id="7" w:name="bm_lloyds_runbook_supplementary_exposure_reports"/>
      <w:pPr>
        <w:pStyle w:val="Heading2"/>
        <w:keepNext/>
      </w:pPr>
      <w:r>
        <w:rPr>
          <w:b w:val="0"/>
          <w:i w:val="0"/>
        </w:rPr>
        <w:t>Supplementary exposure reports</w:t>
      </w:r>
      <w:bookmarkEnd w:id="7"/>
    </w:p>
    <w:p>
      <w:r>
        <w:rPr>
          <w:b w:val="0"/>
          <w:i w:val="0"/>
        </w:rPr>
        <w:t xml:space="preserve">Use working copies from </w:t>
      </w:r>
      <w:hyperlink r:id="rId12">
        <w:r>
          <w:rPr>
            <w:color w:val="0563C1"/>
            <w:u w:val="single"/>
          </w:rPr>
          <w:t>lloyds/workbooks/</w:t>
        </w:r>
      </w:hyperlink>
      <w:r>
        <w:rPr>
          <w:b w:val="0"/>
          <w:i w:val="0"/>
        </w:rPr>
        <w:t xml:space="preserve">. SQL files are in </w:t>
      </w:r>
      <w:hyperlink r:id="rId13">
        <w:r>
          <w:rPr>
            <w:color w:val="0563C1"/>
            <w:u w:val="single"/>
          </w:rPr>
          <w:t>lloyds/sql/</w:t>
        </w:r>
      </w:hyperlink>
      <w:r>
        <w:rPr>
          <w:b w:val="0"/>
          <w:i w:val="0"/>
        </w:rPr>
        <w:t xml:space="preserve">. Confirm the database/report date before running them: they contain fixed database, peril and portfolio settings. Paste </w:t>
      </w:r>
      <w:r>
        <w:rPr>
          <w:b/>
          <w:i w:val="0"/>
        </w:rPr>
        <w:t>data only below existing headers</w:t>
      </w:r>
      <w:r>
        <w:rPr>
          <w:b w:val="0"/>
          <w:i w:val="0"/>
        </w:rPr>
        <w:t>, preserving helper columns.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Report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Source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Paste into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Preserve / report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South Africa</w:t>
            </w:r>
          </w:p>
        </w:tc>
        <w:tc>
          <w:tcPr>
            <w:tcW w:type="dxa" w:w="252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SouthAfrica_Aggs.sql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 xml:space="preserve">South Africa EQ workbook,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Core data!A2</w:t>
            </w:r>
            <w:r>
              <w:rPr>
                <w:b w:val="0"/>
                <w:i w:val="0"/>
              </w:rPr>
              <w:t xml:space="preserve"> (A:R)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 xml:space="preserve">S:U;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05 South Africa EQ Aggs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California</w:t>
            </w:r>
          </w:p>
        </w:tc>
        <w:tc>
          <w:tcPr>
            <w:tcW w:type="dxa" w:w="252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FA_California_Aggs.sql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 xml:space="preserve">California WF workbook,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Core data!A2</w:t>
            </w:r>
            <w:r>
              <w:rPr>
                <w:b w:val="0"/>
                <w:i w:val="0"/>
              </w:rPr>
              <w:t xml:space="preserve"> (A:M)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 xml:space="preserve">N;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06 California Wildfire Aggs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Rest of World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Separate EQ, FR, FL and WS extracts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 xml:space="preserve">ROW workbook, matching extract sheet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A2</w:t>
            </w:r>
            <w:r>
              <w:rPr>
                <w:b w:val="0"/>
                <w:i w:val="0"/>
              </w:rPr>
              <w:t xml:space="preserve"> (A:K)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 xml:space="preserve">L:M;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3. RoW Exposure Monitoring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Europe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Separate EQ and FL extracts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 xml:space="preserve">EU Cresta workbook,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Core data EQ!A2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Core data FL!A2</w:t>
            </w:r>
            <w:r>
              <w:rPr>
                <w:b w:val="0"/>
                <w:i w:val="0"/>
              </w:rPr>
              <w:t xml:space="preserve"> (A:R)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 xml:space="preserve">S:U; </w:t>
            </w:r>
            <w:r>
              <w:rPr>
                <w:rFonts w:ascii="Courier New" w:hAnsi="Courier New"/>
                <w:b w:val="0"/>
                <w:i w:val="0"/>
                <w:sz w:val="18"/>
              </w:rPr>
              <w:t>11 LIC EU CRESTA</w:t>
            </w:r>
          </w:p>
        </w:tc>
      </w:tr>
    </w:tbl>
    <w:p/>
    <w:p>
      <w:bookmarkStart w:id="8" w:name="bm_lloyds_runbook_resolve_these_before_using_the_reports"/>
      <w:pPr>
        <w:pStyle w:val="Heading3"/>
        <w:keepNext/>
      </w:pPr>
      <w:r>
        <w:rPr>
          <w:b w:val="0"/>
          <w:i w:val="0"/>
        </w:rPr>
        <w:t>Resolve these before using the reports</w:t>
      </w:r>
      <w:bookmarkEnd w:id="8"/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South Africa:</w:t>
      </w:r>
      <w:r>
        <w:rPr>
          <w:b w:val="0"/>
          <w:i w:val="0"/>
        </w:rPr>
        <w:t xml:space="preserve"> the SQL labels currency from </w:t>
      </w:r>
      <w:r>
        <w:rPr>
          <w:rFonts w:ascii="Courier New" w:hAnsi="Courier New"/>
          <w:b w:val="0"/>
          <w:i w:val="0"/>
          <w:sz w:val="18"/>
        </w:rPr>
        <w:t>VALUECUR</w:t>
      </w:r>
      <w:r>
        <w:rPr>
          <w:b w:val="0"/>
          <w:i w:val="0"/>
        </w:rPr>
        <w:t xml:space="preserve"> but joins FX on </w:t>
      </w:r>
      <w:r>
        <w:rPr>
          <w:rFonts w:ascii="Courier New" w:hAnsi="Courier New"/>
          <w:b w:val="0"/>
          <w:i w:val="0"/>
          <w:sz w:val="18"/>
        </w:rPr>
        <w:t>LIMITCUR</w:t>
      </w:r>
      <w:r>
        <w:rPr>
          <w:b w:val="0"/>
          <w:i w:val="0"/>
        </w:rPr>
        <w:t>. Confirm the currency/scaling basis and unmapped CRESTA treatment.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California:</w:t>
      </w:r>
      <w:r>
        <w:rPr>
          <w:b w:val="0"/>
          <w:i w:val="0"/>
        </w:rPr>
        <w:t xml:space="preserve"> confirm the wildfire proxy and as-of date; the cached report says 2025 while the SQL database is January 2026.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ROW:</w:t>
      </w:r>
      <w:r>
        <w:rPr>
          <w:b w:val="0"/>
          <w:i w:val="0"/>
        </w:rPr>
        <w:t xml:space="preserve"> the supplied query selects only peril/policy type </w:t>
      </w:r>
      <w:r>
        <w:rPr>
          <w:b/>
          <w:i w:val="0"/>
        </w:rPr>
        <w:t>3/3</w:t>
      </w:r>
      <w:r>
        <w:rPr>
          <w:b w:val="0"/>
          <w:i w:val="0"/>
        </w:rPr>
        <w:t xml:space="preserve">, not four perils. Existing </w:t>
      </w:r>
      <w:r>
        <w:rPr>
          <w:rFonts w:ascii="Courier New" w:hAnsi="Courier New"/>
          <w:b w:val="0"/>
          <w:i w:val="0"/>
          <w:sz w:val="18"/>
        </w:rPr>
        <w:t>M = I*L</w:t>
      </w:r>
      <w:r>
        <w:rPr>
          <w:b w:val="0"/>
          <w:i w:val="0"/>
        </w:rPr>
        <w:t xml:space="preserve"> uses source-currency net despite its USD label; USD-net is in K. Agree the measure before filling formulas.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Europe:</w:t>
      </w:r>
      <w:r>
        <w:rPr>
          <w:b w:val="0"/>
          <w:i w:val="0"/>
        </w:rPr>
        <w:t xml:space="preserve"> no producer query is supplied. Flood helpers mix source and USD measures, apply old FX and extend beyond the input rows. Resolve the formula and currency basis before refreshing.</w:t>
      </w:r>
    </w:p>
    <w:p>
      <w:r>
        <w:rPr>
          <w:b w:val="0"/>
          <w:i w:val="0"/>
        </w:rPr>
        <w:t xml:space="preserve">For each report, clear stale input rows, check helper/pivot coverage and unmapped geography, then reconcile totals before refreshing or transferring figures. Detailed defects are in the </w:t>
      </w:r>
      <w:hyperlink r:id="rId14">
        <w:r>
          <w:rPr>
            <w:color w:val="0563C1"/>
            <w:u w:val="single"/>
          </w:rPr>
          <w:t>discrepancy register</w:t>
        </w:r>
      </w:hyperlink>
      <w:r>
        <w:rPr>
          <w:b w:val="0"/>
          <w:i w:val="0"/>
        </w:rPr>
        <w:t>. Contingency/weather workbooks are a separate workflow, not covered here.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../README.md" TargetMode="External"/><Relationship Id="rId10" Type="http://schemas.openxmlformats.org/officeDocument/2006/relationships/hyperlink" Target="../../lloyds/rds/eventids_for_rds.xlsx" TargetMode="External"/><Relationship Id="rId11" Type="http://schemas.openxmlformats.org/officeDocument/2006/relationships/hyperlink" Target="../../lloyds/rds/2026%20Lloyds%20RDS%20UKEU%20Retail.xlsx" TargetMode="External"/><Relationship Id="rId12" Type="http://schemas.openxmlformats.org/officeDocument/2006/relationships/hyperlink" Target="../../lloyds/workbooks" TargetMode="External"/><Relationship Id="rId13" Type="http://schemas.openxmlformats.org/officeDocument/2006/relationships/hyperlink" Target="../../lloyds/sql" TargetMode="External"/><Relationship Id="rId14" Type="http://schemas.openxmlformats.org/officeDocument/2006/relationships/hyperlink" Target="../calculation-discrepancies.md#lloyds-supplementary-infor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