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6" w:name="Xf0bbf97d7b6fb9fef1744830da945e8638986bd"/>
    <w:p>
      <w:pPr>
        <w:pStyle w:val="Heading1"/>
      </w:pPr>
      <w:r>
        <w:t xml:space="preserve">Global Exposures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a CSV pack of exposure and estimated loss within event polygons.</w:t>
      </w:r>
      <w:r>
        <w:t xml:space="preserve"> </w:t>
      </w:r>
      <w:r>
        <w:t xml:space="preserve">There is no calculation workbook or Excel-loading step.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the owner must approve the source snapshot, event/PML</w:t>
      </w:r>
      <w:r>
        <w:t xml:space="preserve"> </w:t>
      </w:r>
      <w:r>
        <w:t xml:space="preserve">data, policy/portfolio rules and spatial controls. See</w:t>
      </w:r>
      <w:r>
        <w:t xml:space="preserve"> </w:t>
      </w:r>
      <w:hyperlink r:id="rId11">
        <w:r>
          <w:rPr>
            <w:rStyle w:val="Hyperlink"/>
          </w:rPr>
          <w:t xml:space="preserve">GLOBAL-01</w:t>
        </w:r>
      </w:hyperlink>
      <w:r>
        <w:t xml:space="preserve">. A successful command is not approval.</w:t>
      </w:r>
    </w:p>
    <w:bookmarkStart w:id="12" w:name="global-exposures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The script reads the annual EDM and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database tables—not spreadsheets. Confirm the server,</w:t>
      </w:r>
      <w:r>
        <w:t xml:space="preserve"> </w:t>
      </w:r>
      <w:r>
        <w:t xml:space="preserve">ODBC Driver 17 access and approved settings in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.</w:t>
      </w:r>
    </w:p>
    <w:p>
      <w:pPr>
        <w:pStyle w:val="BodyText"/>
      </w:pP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. Check event/polygon/PML</w:t>
      </w:r>
      <w:r>
        <w:t xml:space="preserve"> </w:t>
      </w:r>
      <w:r>
        <w:t xml:space="preserve">IDs, polygon validity, coordinates and independent EDM totals. Use a</w:t>
      </w:r>
      <w:r>
        <w:t xml:space="preserve"> </w:t>
      </w:r>
      <w:r>
        <w:rPr>
          <w:b/>
          <w:bCs/>
        </w:rPr>
        <w:t xml:space="preserve">new,</w:t>
      </w:r>
      <w:r>
        <w:rPr>
          <w:b/>
          <w:bCs/>
        </w:rPr>
        <w:t xml:space="preserve"> </w:t>
      </w:r>
      <w:r>
        <w:rPr>
          <w:b/>
          <w:bCs/>
        </w:rPr>
        <w:t xml:space="preserve">empty output folder</w:t>
      </w:r>
      <w:r>
        <w:t xml:space="preserve">: files are written individually, so reusing a folder can</w:t>
      </w:r>
      <w:r>
        <w:t xml:space="preserve"> </w:t>
      </w:r>
      <w:r>
        <w:t xml:space="preserve">mix results from different runs.</w:t>
      </w:r>
    </w:p>
    <w:bookmarkEnd w:id="12"/>
    <w:bookmarkStart w:id="13" w:name="Xc487381527629c5b15fdb5b1c0eebcad5867431"/>
    <w:p>
      <w:pPr>
        <w:pStyle w:val="Heading2"/>
      </w:pPr>
      <w:r>
        <w:t xml:space="preserve">2. Current operator boundary</w:t>
      </w:r>
    </w:p>
    <w:p>
      <w:pPr>
        <w:pStyle w:val="FirstParagraph"/>
      </w:pPr>
      <w:r>
        <w:t xml:space="preserve">There is currently no approved no-Python SQL/Excel route for the spatial</w:t>
      </w:r>
      <w:r>
        <w:t xml:space="preserve"> </w:t>
      </w:r>
      <w:r>
        <w:t xml:space="preserve">calculation. Do not install 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, and do not run this route as an</w:t>
      </w:r>
      <w:r>
        <w:t xml:space="preserve"> </w:t>
      </w:r>
      <w:r>
        <w:t xml:space="preserve">operator workflow. The checked-in implementation remains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 </w:t>
      </w:r>
      <w:r>
        <w:t xml:space="preserve">and is maintainer/developer-only pending an</w:t>
      </w:r>
      <w:r>
        <w:t xml:space="preserve"> </w:t>
      </w:r>
      <w:r>
        <w:t xml:space="preserve">approved SQL Server spatial implementation.</w:t>
      </w:r>
    </w:p>
    <w:p>
      <w:pPr>
        <w:pStyle w:val="BodyText"/>
      </w:pPr>
      <w:r>
        <w:t xml:space="preserve">Do not load or deliver Global Exposures results from the current repository</w:t>
      </w:r>
      <w:r>
        <w:t xml:space="preserve"> </w:t>
      </w:r>
      <w:r>
        <w:t xml:space="preserve">without that implementation, its validation evidence, and owner approval.</w:t>
      </w:r>
    </w:p>
    <w:bookmarkEnd w:id="13"/>
    <w:bookmarkStart w:id="14" w:name="X981ef1aa3ef8a8401d7d6287e39480df5403c01"/>
    <w:p>
      <w:pPr>
        <w:pStyle w:val="Heading2"/>
      </w:pPr>
      <w:r>
        <w:t xml:space="preserve">3. Check the CSV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to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*_summary.csv</w:t>
            </w:r>
          </w:p>
        </w:tc>
        <w:tc>
          <w:tcPr/>
          <w:p>
            <w:pPr>
              <w:pStyle w:val="Compact"/>
            </w:pPr>
            <w:r>
              <w:t xml:space="preserve">Overall status and event counts—not monetary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*_run_log.csv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*_error_log.csv</w:t>
            </w:r>
          </w:p>
        </w:tc>
        <w:tc>
          <w:tcPr/>
          <w:p>
            <w:pPr>
              <w:pStyle w:val="Compact"/>
            </w:pPr>
            <w:r>
              <w:t xml:space="preserve">Every selected event accounted for; investigate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*_location_rows.csv</w:t>
            </w:r>
          </w:p>
        </w:tc>
        <w:tc>
          <w:tcPr/>
          <w:p>
            <w:pPr>
              <w:pStyle w:val="Compact"/>
            </w:pPr>
            <w:r>
              <w:t xml:space="preserve">Impacted-location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*_account_breakdown.csv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*_location_breakout.csv</w:t>
            </w:r>
          </w:p>
        </w:tc>
        <w:tc>
          <w:tcPr/>
          <w:p>
            <w:pPr>
              <w:pStyle w:val="Compact"/>
            </w:pPr>
            <w:r>
              <w:t xml:space="preserve">Grouped totals reconcile to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edm_exposures.csv</w:t>
            </w:r>
          </w:p>
        </w:tc>
        <w:tc>
          <w:tcPr/>
          <w:p>
            <w:pPr>
              <w:pStyle w:val="Compact"/>
            </w:pPr>
            <w:r>
              <w:t xml:space="preserve">Extract reconciles to independent EDM controls</w:t>
            </w:r>
          </w:p>
        </w:tc>
      </w:tr>
    </w:tbl>
    <w:p>
      <w:pPr>
        <w:pStyle w:val="BodyText"/>
      </w:pPr>
      <w:r>
        <w:t xml:space="preserve">Investigate missing files/headers, join multiplication, invalid geometry/PML,</w:t>
      </w:r>
      <w:r>
        <w:t xml:space="preserve"> </w:t>
      </w:r>
      <w:r>
        <w:t xml:space="preserve">missing policy factors and every zero/no-impact result. A zero is acceptable</w:t>
      </w:r>
      <w:r>
        <w:t xml:space="preserve"> </w:t>
      </w:r>
      <w:r>
        <w:t xml:space="preserve">only with independent evidence that there was genuinely no impact. Do not sum</w:t>
      </w:r>
      <w:r>
        <w:t xml:space="preserve"> </w:t>
      </w:r>
      <w:r>
        <w:t xml:space="preserve">across overlapping events without an approved rule.</w:t>
      </w:r>
    </w:p>
    <w:bookmarkEnd w:id="14"/>
    <w:bookmarkStart w:id="15" w:name="X149e081a552d45d14360ea567bbb5a7e2776f6d"/>
    <w:p>
      <w:pPr>
        <w:pStyle w:val="Heading2"/>
      </w:pPr>
      <w:r>
        <w:t xml:space="preserve">4. Review and deliver</w:t>
      </w:r>
    </w:p>
    <w:p>
      <w:pPr>
        <w:pStyle w:val="FirstParagraph"/>
      </w:pPr>
      <w:r>
        <w:t xml:space="preserve">Retain the full CSV pack, command, configuration/source snapshot, counts,</w:t>
      </w:r>
      <w:r>
        <w:t xml:space="preserve"> </w:t>
      </w:r>
      <w:r>
        <w:t xml:space="preserve">reconciliations and reviewer sign-off. Stop if any selected event or unexplained</w:t>
      </w:r>
      <w:r>
        <w:t xml:space="preserve"> </w:t>
      </w:r>
      <w:r>
        <w:t xml:space="preserve">exception remains unresolved.</w:t>
      </w:r>
    </w:p>
    <w:p>
      <w:pPr>
        <w:pStyle w:val="BodyText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 </w:t>
      </w:r>
      <w:r>
        <w:t xml:space="preserve">describes exact SQL, spatial</w:t>
      </w:r>
      <w:r>
        <w:t xml:space="preserve"> </w:t>
      </w:r>
      <w:r>
        <w:t xml:space="preserve">selection, status behavior and detailed validation requirements.</w:t>
      </w:r>
    </w:p>
    <w:bookmarkEnd w:id="15"/>
    <w:bookmarkEnd w:id="16"/>
    <w:bookmarkStart w:id="22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2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3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4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5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6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07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08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09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0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1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2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3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4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5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Start w:id="2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16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ca6a2330f80faae748db89fc7160bcd90fc90543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16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1437fab170f5c71a3ed62a84a3505227ae3f043edb2dca53bc3ba73a413dbcfb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bd070a3f8dd013caf3c8c2e8b150be62bb8a769899562d9a6fe257a4a10f7e17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docs/global-exposures/runbook.md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3d6c09da6f8390ab7167728e33b01b75b4e621ce1403b23d58ce505307b31994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2026-09-14T20:06:38Z</dcterms:created>
  <dcterms:modified xsi:type="dcterms:W3CDTF">2026-09-14T20:06:38Z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