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 and BSCR Runbook</w:t>
      </w:r>
    </w:p>
    <w:p>
      <w:pPr>
        <w:pStyle w:val="Subtitle"/>
      </w:pPr>
      <w:r>
        <w:t xml:space="preserve">January 2026</w:t>
      </w:r>
    </w:p>
    <w:p>
      <w:pPr>
        <w:pStyle w:val="BlockText"/>
      </w:pPr>
      <w:r>
        <w:t xml:space="preserve">Short operator guide. Detailed technical references are linked, not included. Markdown is the maintained source; use approved inputs and templates for the reporting cycle.</w:t>
      </w:r>
    </w:p>
    <w:bookmarkStart w:id="15" w:name="pra-runbook-pra-offline-runbook"/>
    <w:p>
      <w:pPr>
        <w:pStyle w:val="Heading1"/>
      </w:pPr>
      <w:r>
        <w:t xml:space="preserve">PRA offline runbook</w:t>
      </w:r>
    </w:p>
    <w:bookmarkStart w:id="9" w:name="pra-runbook-operator-steps"/>
    <w:p>
      <w:pPr>
        <w:pStyle w:val="Heading2"/>
      </w:pPr>
      <w:r>
        <w:t xml:space="preserve">Operator steps</w:t>
      </w:r>
    </w:p>
    <w:p>
      <w:pPr>
        <w:pStyle w:val="FirstParagraph"/>
      </w:pPr>
      <w:r>
        <w:t xml:space="preserve">Use Python 3.13+ on the calculation PC; it does not need SQL Server access, ODBC, Excel or</w:t>
      </w:r>
      <w:r>
        <w:t xml:space="preserve"> </w:t>
      </w:r>
      <w:r>
        <w:rPr>
          <w:rStyle w:val="VerbatimChar"/>
        </w:rPr>
        <w:t xml:space="preserve">uv</w:t>
      </w:r>
      <w:r>
        <w:t xml:space="preserve">.</w:t>
      </w:r>
    </w:p>
    <w:p>
      <w:pPr>
        <w:pStyle w:val="Compact"/>
        <w:numPr>
          <w:ilvl w:val="0"/>
          <w:numId w:val="1001"/>
        </w:numPr>
      </w:pPr>
      <w:r>
        <w:t xml:space="preserve">Create one input folder and one empty output folder for each approved snapshot and peril/policy selection, without mixing snapshots or scopes.</w:t>
      </w:r>
    </w:p>
    <w:p>
      <w:pPr>
        <w:pStyle w:val="Compact"/>
        <w:numPr>
          <w:ilvl w:val="0"/>
          <w:numId w:val="1001"/>
        </w:numPr>
      </w:pPr>
      <w:r>
        <w:t xml:space="preserve">On the approved SQL Server, run</w:t>
      </w:r>
      <w:r>
        <w:t xml:space="preserve"> </w:t>
      </w:r>
      <w:r>
        <w:rPr>
          <w:rStyle w:val="VerbatimChar"/>
        </w:rPr>
        <w:t xml:space="preserve">pra/sql/pra-raw.sql</w:t>
      </w:r>
      <w:r>
        <w:t xml:space="preserve"> </w:t>
      </w:r>
      <w:r>
        <w:t xml:space="preserve">with the recorded PRA defaults</w:t>
      </w:r>
      <w:r>
        <w:t xml:space="preserve"> </w:t>
      </w:r>
      <w:r>
        <w:rPr>
          <w:rStyle w:val="VerbatimChar"/>
        </w:rPr>
        <w:t xml:space="preserve">@peril = 2</w:t>
      </w:r>
      <w:r>
        <w:t xml:space="preserve"> </w:t>
      </w:r>
      <w:r>
        <w:t xml:space="preserve">and</w:t>
      </w:r>
      <w:r>
        <w:t xml:space="preserve"> </w:t>
      </w:r>
      <w:r>
        <w:rPr>
          <w:rStyle w:val="VerbatimChar"/>
        </w:rPr>
        <w:t xml:space="preserve">@policy_type = 2</w:t>
      </w:r>
      <w:r>
        <w:t xml:space="preserve"> </w:t>
      </w:r>
      <w:r>
        <w:t xml:space="preserve">unless the approved selection says otherwise.</w:t>
      </w:r>
    </w:p>
    <w:p>
      <w:pPr>
        <w:pStyle w:val="Compact"/>
        <w:numPr>
          <w:ilvl w:val="0"/>
          <w:numId w:val="1001"/>
        </w:numPr>
      </w:pPr>
      <w:r>
        <w:t xml:space="preserve">Export the SQL result, including its header, as</w:t>
      </w:r>
      <w:r>
        <w:t xml:space="preserve"> </w:t>
      </w:r>
      <w:r>
        <w:rPr>
          <w:rStyle w:val="VerbatimChar"/>
        </w:rPr>
        <w:t xml:space="preserve">&lt;input-dir&gt;/pra-source.csv</w:t>
      </w:r>
      <w:r>
        <w:t xml:space="preserve"> </w:t>
      </w:r>
      <w:r>
        <w:t xml:space="preserve">with exactly</w:t>
      </w:r>
      <w:r>
        <w:t xml:space="preserve"> </w:t>
      </w:r>
      <w:r>
        <w:rPr>
          <w:rStyle w:val="VerbatimChar"/>
        </w:rPr>
        <w:t xml:space="preserve">pml,accgrpid,uwritrname,state,userid1,branchname,cntrycode</w:t>
      </w:r>
      <w:r>
        <w:t xml:space="preserve"> </w:t>
      </w:r>
      <w:r>
        <w:t xml:space="preserve">in that order.</w:t>
      </w:r>
    </w:p>
    <w:p>
      <w:pPr>
        <w:pStyle w:val="Compact"/>
        <w:numPr>
          <w:ilvl w:val="0"/>
          <w:numId w:val="1001"/>
        </w:numPr>
      </w:pPr>
      <w:r>
        <w:t xml:space="preserve">On the calculation PC, create the one-time environment with</w:t>
      </w:r>
      <w:r>
        <w:t xml:space="preserve"> </w:t>
      </w:r>
      <w:r>
        <w:rPr>
          <w:rStyle w:val="VerbatimChar"/>
        </w:rPr>
        <w:t xml:space="preserve">python -m venv .venv</w:t>
      </w:r>
      <w:r>
        <w:t xml:space="preserve"> </w:t>
      </w:r>
      <w:r>
        <w:t xml:space="preserve">and, on Windows, install dependencies with</w:t>
      </w:r>
      <w:r>
        <w:t xml:space="preserve"> </w:t>
      </w:r>
      <w:r>
        <w:rPr>
          <w:rStyle w:val="VerbatimChar"/>
        </w:rPr>
        <w:t xml:space="preserve">.venv\Scripts\python -m pip install -r bscr/requirements.txt</w:t>
      </w:r>
      <w:r>
        <w:t xml:space="preserve">.</w:t>
      </w:r>
    </w:p>
    <w:p>
      <w:pPr>
        <w:pStyle w:val="Compact"/>
        <w:numPr>
          <w:ilvl w:val="0"/>
          <w:numId w:val="1001"/>
        </w:numPr>
      </w:pPr>
      <w:r>
        <w:t xml:space="preserve">From the repository root, run Windows with</w:t>
      </w:r>
      <w:r>
        <w:t xml:space="preserve"> </w:t>
      </w:r>
      <w:r>
        <w:rPr>
          <w:rStyle w:val="VerbatimChar"/>
        </w:rPr>
        <w:t xml:space="preserve">.venv\Scripts\python bscr/BSCR_UKEU.py --input-dir runs\eq\input --output-dir runs\eq\output --process pra</w:t>
      </w:r>
      <w:r>
        <w:t xml:space="preserve"> </w:t>
      </w:r>
      <w:r>
        <w:t xml:space="preserve">or run macOS/Linux with</w:t>
      </w:r>
      <w:r>
        <w:t xml:space="preserve"> </w:t>
      </w:r>
      <w:r>
        <w:rPr>
          <w:rStyle w:val="VerbatimChar"/>
        </w:rPr>
        <w:t xml:space="preserve">.venv/bin/python bscr/BSCR_UKEU.py --input-dir runs/eq/input --output-dir runs/eq/output --process pra</w:t>
      </w:r>
      <w:r>
        <w:t xml:space="preserve">.</w:t>
      </w:r>
    </w:p>
    <w:p>
      <w:pPr>
        <w:pStyle w:val="Compact"/>
        <w:numPr>
          <w:ilvl w:val="0"/>
          <w:numId w:val="1001"/>
        </w:numPr>
      </w:pPr>
      <w:r>
        <w:t xml:space="preserve">Confirm that the output directory was absent or empty before the run and that it now contains exactly</w:t>
      </w:r>
      <w:r>
        <w:t xml:space="preserve"> </w:t>
      </w:r>
      <w:r>
        <w:rPr>
          <w:rStyle w:val="VerbatimChar"/>
        </w:rPr>
        <w:t xml:space="preserve">pra-raw.csv</w:t>
      </w:r>
      <w:r>
        <w:t xml:space="preserve"> </w:t>
      </w:r>
      <w:r>
        <w:t xml:space="preserve">and</w:t>
      </w:r>
      <w:r>
        <w:t xml:space="preserve"> </w:t>
      </w:r>
      <w:r>
        <w:rPr>
          <w:rStyle w:val="VerbatimChar"/>
        </w:rPr>
        <w:t xml:space="preserve">pra-aggregate.csv</w:t>
      </w:r>
      <w:r>
        <w:t xml:space="preserve"> </w:t>
      </w:r>
      <w:r>
        <w:t xml:space="preserve">for a PRA-only run.</w:t>
      </w:r>
    </w:p>
    <w:p>
      <w:pPr>
        <w:pStyle w:val="Compact"/>
        <w:numPr>
          <w:ilvl w:val="0"/>
          <w:numId w:val="1001"/>
        </w:numPr>
      </w:pPr>
      <w:r>
        <w:t xml:space="preserve">Check</w:t>
      </w:r>
      <w:r>
        <w:t xml:space="preserve"> </w:t>
      </w:r>
      <w:r>
        <w:rPr>
          <w:rStyle w:val="VerbatimChar"/>
        </w:rPr>
        <w:t xml:space="preserve">pra-raw.csv</w:t>
      </w:r>
      <w:r>
        <w:t xml:space="preserve"> </w:t>
      </w:r>
      <w:r>
        <w:t xml:space="preserve">as the seven-column raw file and</w:t>
      </w:r>
      <w:r>
        <w:t xml:space="preserve"> </w:t>
      </w:r>
      <w:r>
        <w:rPr>
          <w:rStyle w:val="VerbatimChar"/>
        </w:rPr>
        <w:t xml:space="preserve">pra-aggregate.csv</w:t>
      </w:r>
      <w:r>
        <w:t xml:space="preserve"> </w:t>
      </w:r>
      <w:r>
        <w:t xml:space="preserve">as the five-column file</w:t>
      </w:r>
      <w:r>
        <w:t xml:space="preserve"> </w:t>
      </w:r>
      <w:r>
        <w:rPr>
          <w:rStyle w:val="VerbatimChar"/>
        </w:rPr>
        <w:t xml:space="preserve">pml,state,userid1,cntrycode,uwritrname</w:t>
      </w:r>
      <w:r>
        <w:t xml:space="preserve">, then reconcile row counts, headers, totals, and approved tolerances.</w:t>
      </w:r>
    </w:p>
    <w:p>
      <w:pPr>
        <w:pStyle w:val="Compact"/>
        <w:numPr>
          <w:ilvl w:val="0"/>
          <w:numId w:val="1001"/>
        </w:numPr>
      </w:pPr>
      <w:r>
        <w:t xml:space="preserve">Retain the SQL export, both output files, snapshot/peril/policy metadata, script and query revisions, mappings, and the reconciliation record before review.</w:t>
      </w:r>
    </w:p>
    <w:p>
      <w:pPr>
        <w:pStyle w:val="Compact"/>
        <w:numPr>
          <w:ilvl w:val="0"/>
          <w:numId w:val="1001"/>
        </w:numPr>
      </w:pPr>
      <w:r>
        <w:t xml:space="preserve">Treat unexplained differences, partial files, malformed headers, mapping errors, currency or unit uncertainty, and policy-join cardinality or cross-product risk as stops.</w:t>
      </w:r>
    </w:p>
    <w:p>
      <w:pPr>
        <w:pStyle w:val="Compact"/>
        <w:numPr>
          <w:ilvl w:val="0"/>
          <w:numId w:val="1001"/>
        </w:numPr>
      </w:pPr>
      <w:r>
        <w:t xml:space="preserve">Treat these files as reviewed internal calculation candidates only: no checked-in template or approved source-to-destination map establishes a final PRA return.</w:t>
      </w:r>
    </w:p>
    <w:bookmarkEnd w:id="9"/>
    <w:bookmarkStart w:id="10" w:name="pra-runbook-column-boundary"/>
    <w:p>
      <w:pPr>
        <w:pStyle w:val="Heading2"/>
      </w:pPr>
      <w:r>
        <w:t xml:space="preserve">Column boundary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Columns</w:t>
            </w:r>
          </w:p>
        </w:tc>
        <w:tc>
          <w:tcPr/>
          <w:p>
            <w:pPr>
              <w:pStyle w:val="Compact"/>
            </w:pPr>
            <w:r>
              <w:t xml:space="preserve">Use</w:t>
            </w:r>
          </w:p>
        </w:tc>
      </w:tr>
      <w:tr>
        <w:tc>
          <w:tcPr/>
          <w:p>
            <w:pPr>
              <w:pStyle w:val="Compact"/>
            </w:pPr>
            <w:r>
              <w:rPr>
                <w:rStyle w:val="VerbatimChar"/>
              </w:rPr>
              <w:t xml:space="preserve">pra-source.csv</w:t>
            </w:r>
          </w:p>
        </w:tc>
        <w:tc>
          <w:tcPr/>
          <w:p>
            <w:pPr>
              <w:pStyle w:val="Compact"/>
            </w:pPr>
            <w:r>
              <w:rPr>
                <w:rStyle w:val="VerbatimChar"/>
              </w:rPr>
              <w:t xml:space="preserve">pml,accgrpid,uwritrname,state,userid1,branchname,cntrycode</w:t>
            </w:r>
            <w:r>
              <w:t xml:space="preserve"> </w:t>
            </w:r>
            <w:r>
              <w:t xml:space="preserve">(7)</w:t>
            </w:r>
          </w:p>
        </w:tc>
        <w:tc>
          <w:tcPr/>
          <w:p>
            <w:pPr>
              <w:pStyle w:val="Compact"/>
            </w:pPr>
            <w:r>
              <w:t xml:space="preserve">Input exported by</w:t>
            </w:r>
            <w:r>
              <w:t xml:space="preserve"> </w:t>
            </w:r>
            <w:r>
              <w:rPr>
                <w:rStyle w:val="VerbatimChar"/>
              </w:rPr>
              <w:t xml:space="preserve">pra/sql/pra-raw.sql</w:t>
            </w:r>
          </w:p>
        </w:tc>
      </w:tr>
      <w:tr>
        <w:tc>
          <w:tcPr/>
          <w:p>
            <w:pPr>
              <w:pStyle w:val="Compact"/>
            </w:pPr>
            <w:r>
              <w:rPr>
                <w:rStyle w:val="VerbatimChar"/>
              </w:rPr>
              <w:t xml:space="preserve">pra-raw.csv</w:t>
            </w:r>
          </w:p>
        </w:tc>
        <w:tc>
          <w:tcPr/>
          <w:p>
            <w:pPr>
              <w:pStyle w:val="Compact"/>
            </w:pPr>
            <w:r>
              <w:t xml:space="preserve">Same seven columns</w:t>
            </w:r>
          </w:p>
        </w:tc>
        <w:tc>
          <w:tcPr/>
          <w:p>
            <w:pPr>
              <w:pStyle w:val="Compact"/>
            </w:pPr>
            <w:r>
              <w:t xml:space="preserve">Offline raw output and evidence</w:t>
            </w:r>
          </w:p>
        </w:tc>
      </w:tr>
      <w:tr>
        <w:tc>
          <w:tcPr/>
          <w:p>
            <w:pPr>
              <w:pStyle w:val="Compact"/>
            </w:pPr>
            <w:r>
              <w:rPr>
                <w:rStyle w:val="VerbatimChar"/>
              </w:rPr>
              <w:t xml:space="preserve">pra-aggregate.csv</w:t>
            </w:r>
          </w:p>
        </w:tc>
        <w:tc>
          <w:tcPr/>
          <w:p>
            <w:pPr>
              <w:pStyle w:val="Compact"/>
            </w:pPr>
            <w:r>
              <w:rPr>
                <w:rStyle w:val="VerbatimChar"/>
              </w:rPr>
              <w:t xml:space="preserve">pml,state,userid1,cntrycode,uwritrname</w:t>
            </w:r>
            <w:r>
              <w:t xml:space="preserve"> </w:t>
            </w:r>
            <w:r>
              <w:t xml:space="preserve">(5)</w:t>
            </w:r>
          </w:p>
        </w:tc>
        <w:tc>
          <w:tcPr/>
          <w:p>
            <w:pPr>
              <w:pStyle w:val="Compact"/>
            </w:pPr>
            <w:r>
              <w:t xml:space="preserve">Offline aggregate output</w:t>
            </w:r>
          </w:p>
        </w:tc>
      </w:tr>
    </w:tbl>
    <w:p>
      <w:pPr>
        <w:pStyle w:val="BodyText"/>
      </w:pPr>
      <w:r>
        <w:t xml:space="preserve">Do not substitute an eight-column BSCR source for</w:t>
      </w:r>
      <w:r>
        <w:t xml:space="preserve"> </w:t>
      </w:r>
      <w:r>
        <w:rPr>
          <w:rStyle w:val="VerbatimChar"/>
        </w:rPr>
        <w:t xml:space="preserve">pra-source.csv</w:t>
      </w:r>
      <w:r>
        <w:t xml:space="preserve">, and do not paste a five-column aggregate where the script requires the seven-column raw input.</w:t>
      </w:r>
    </w:p>
    <w:bookmarkEnd w:id="10"/>
    <w:bookmarkStart w:id="11" w:name="pra-runbook-all-peril-runs"/>
    <w:p>
      <w:pPr>
        <w:pStyle w:val="Heading2"/>
      </w:pPr>
      <w:r>
        <w:t xml:space="preserve">All-peril runs</w:t>
      </w:r>
    </w:p>
    <w:p>
      <w:pPr>
        <w:pStyle w:val="Compact"/>
        <w:numPr>
          <w:ilvl w:val="0"/>
          <w:numId w:val="1002"/>
        </w:numPr>
      </w:pPr>
      <w:r>
        <w:t xml:space="preserve">Put every separately approved all-peril export in its own directory, such as</w:t>
      </w:r>
      <w:r>
        <w:t xml:space="preserve"> </w:t>
      </w:r>
      <w:r>
        <w:rPr>
          <w:rStyle w:val="VerbatimChar"/>
        </w:rPr>
        <w:t xml:space="preserve">runs/all-peril-&lt;scope&gt;/input/pra-source.csv</w:t>
      </w:r>
      <w:r>
        <w:t xml:space="preserve">, with a matching empty output directory.</w:t>
      </w:r>
    </w:p>
    <w:p>
      <w:pPr>
        <w:pStyle w:val="Compact"/>
        <w:numPr>
          <w:ilvl w:val="0"/>
          <w:numId w:val="1002"/>
        </w:numPr>
      </w:pPr>
      <w:r>
        <w:t xml:space="preserve">Keep the all-peril producer, population, peril code, policy code, currency, mappings, and approval evidence with that directory rather than combining it with the earthquake run.</w:t>
      </w:r>
    </w:p>
    <w:p>
      <w:pPr>
        <w:pStyle w:val="Compact"/>
        <w:numPr>
          <w:ilvl w:val="0"/>
          <w:numId w:val="1002"/>
        </w:numPr>
      </w:pPr>
      <w:r>
        <w:t xml:space="preserve">Do not promote</w:t>
      </w:r>
      <w:r>
        <w:t xml:space="preserve"> </w:t>
      </w:r>
      <w:r>
        <w:rPr>
          <w:rStyle w:val="VerbatimChar"/>
        </w:rPr>
        <w:t xml:space="preserve">1/1</w:t>
      </w:r>
      <w:r>
        <w:t xml:space="preserve"> </w:t>
      </w:r>
      <w:r>
        <w:t xml:space="preserve">or</w:t>
      </w:r>
      <w:r>
        <w:t xml:space="preserve"> </w:t>
      </w:r>
      <w:r>
        <w:rPr>
          <w:rStyle w:val="VerbatimChar"/>
        </w:rPr>
        <w:t xml:space="preserve">4/4</w:t>
      </w:r>
      <w:r>
        <w:t xml:space="preserve"> </w:t>
      </w:r>
      <w:r>
        <w:t xml:space="preserve">to an approved all-peril scope: the repository does not resolve which population or scope those codes represent.</w:t>
      </w:r>
    </w:p>
    <w:p>
      <w:pPr>
        <w:pStyle w:val="Compact"/>
        <w:numPr>
          <w:ilvl w:val="0"/>
          <w:numId w:val="1002"/>
        </w:numPr>
      </w:pPr>
      <w:r>
        <w:t xml:space="preserve">Run the same offline command with that folder’s paths only after the source selection is established, and apply the same exact-file and reconciliation checks.</w:t>
      </w:r>
    </w:p>
    <w:bookmarkEnd w:id="11"/>
    <w:bookmarkStart w:id="12" w:name="Xc2a35ba08bcd9c6de0cb1ded52bb837af890852"/>
    <w:p>
      <w:pPr>
        <w:pStyle w:val="Heading2"/>
      </w:pPr>
      <w:r>
        <w:t xml:space="preserve">Optional current workbook review</w:t>
      </w:r>
    </w:p>
    <w:p>
      <w:pPr>
        <w:pStyle w:val="FirstParagraph"/>
      </w:pPr>
      <w:r>
        <w:rPr>
          <w:rStyle w:val="VerbatimChar"/>
        </w:rPr>
        <w:t xml:space="preserve">pra/workbooks/PRA_Aggs.xlsx</w:t>
      </w:r>
      <w:r>
        <w:t xml:space="preserve"> </w:t>
      </w:r>
      <w:r>
        <w:t xml:space="preserve">is optional: it has only the two aggregate sheets and their three mapping sheets, not the former raw-data, BSCR-panel or SQL tabs.</w:t>
      </w:r>
    </w:p>
    <w:p>
      <w:pPr>
        <w:pStyle w:val="Compact"/>
        <w:numPr>
          <w:ilvl w:val="0"/>
          <w:numId w:val="1003"/>
        </w:numPr>
      </w:pPr>
      <w:r>
        <w:t xml:space="preserve">Choose</w:t>
      </w:r>
      <w:r>
        <w:t xml:space="preserve"> </w:t>
      </w:r>
      <w:r>
        <w:rPr>
          <w:rStyle w:val="VerbatimChar"/>
        </w:rPr>
        <w:t xml:space="preserve">pivot_eq</w:t>
      </w:r>
      <w:r>
        <w:t xml:space="preserve"> </w:t>
      </w:r>
      <w:r>
        <w:t xml:space="preserve">for earthquake or</w:t>
      </w:r>
      <w:r>
        <w:t xml:space="preserve"> </w:t>
      </w:r>
      <w:r>
        <w:rPr>
          <w:rStyle w:val="VerbatimChar"/>
        </w:rPr>
        <w:t xml:space="preserve">pivot_allperil</w:t>
      </w:r>
      <w:r>
        <w:t xml:space="preserve"> </w:t>
      </w:r>
      <w:r>
        <w:t xml:space="preserve">for a separately confirmed all-peril input.</w:t>
      </w:r>
    </w:p>
    <w:p>
      <w:pPr>
        <w:pStyle w:val="Compact"/>
        <w:numPr>
          <w:ilvl w:val="0"/>
          <w:numId w:val="1003"/>
        </w:numPr>
      </w:pPr>
      <w:r>
        <w:t xml:space="preserve">Clear old A:E data below row 1 and paste the five-column aggregate</w:t>
      </w:r>
      <w:r>
        <w:t xml:space="preserve"> </w:t>
      </w:r>
      <w:r>
        <w:rPr>
          <w:b/>
          <w:bCs/>
        </w:rPr>
        <w:t xml:space="preserve">with headers into A1</w:t>
      </w:r>
      <w:r>
        <w:t xml:space="preserve">, leaving F:M and the report areas untouched.</w:t>
      </w:r>
    </w:p>
    <w:p>
      <w:pPr>
        <w:pStyle w:val="Compact"/>
        <w:numPr>
          <w:ilvl w:val="0"/>
          <w:numId w:val="1003"/>
        </w:numPr>
      </w:pPr>
      <w:r>
        <w:t xml:space="preserve">Resize</w:t>
      </w:r>
      <w:r>
        <w:t xml:space="preserve"> </w:t>
      </w:r>
      <w:r>
        <w:rPr>
          <w:rStyle w:val="VerbatimChar"/>
        </w:rPr>
        <w:t xml:space="preserve">Table32</w:t>
      </w:r>
      <w:r>
        <w:t xml:space="preserve"> </w:t>
      </w:r>
      <w:r>
        <w:t xml:space="preserve">(earthquake) or</w:t>
      </w:r>
      <w:r>
        <w:t xml:space="preserve"> </w:t>
      </w:r>
      <w:r>
        <w:rPr>
          <w:rStyle w:val="VerbatimChar"/>
        </w:rPr>
        <w:t xml:space="preserve">Table3</w:t>
      </w:r>
      <w:r>
        <w:t xml:space="preserve"> </w:t>
      </w:r>
      <w:r>
        <w:t xml:space="preserve">(all-peril) through column M to the last pasted row and fill the correct F:M formulas down.</w:t>
      </w:r>
    </w:p>
    <w:p>
      <w:pPr>
        <w:pStyle w:val="Compact"/>
        <w:numPr>
          <w:ilvl w:val="0"/>
          <w:numId w:val="1003"/>
        </w:numPr>
      </w:pPr>
      <w:r>
        <w:t xml:space="preserve">Set every earthquake pivot source to</w:t>
      </w:r>
      <w:r>
        <w:t xml:space="preserve"> </w:t>
      </w:r>
      <w:r>
        <w:rPr>
          <w:rStyle w:val="VerbatimChar"/>
        </w:rPr>
        <w:t xml:space="preserve">Table32</w:t>
      </w:r>
      <w:r>
        <w:t xml:space="preserve">—the retained cache initially points to</w:t>
      </w:r>
      <w:r>
        <w:t xml:space="preserve"> </w:t>
      </w:r>
      <w:r>
        <w:rPr>
          <w:rStyle w:val="VerbatimChar"/>
        </w:rPr>
        <w:t xml:space="preserve">Table3</w:t>
      </w:r>
      <w:r>
        <w:t xml:space="preserve">—and every all-peril pivot source to</w:t>
      </w:r>
      <w:r>
        <w:t xml:space="preserve"> </w:t>
      </w:r>
      <w:r>
        <w:rPr>
          <w:rStyle w:val="VerbatimChar"/>
        </w:rPr>
        <w:t xml:space="preserve">Table3</w:t>
      </w:r>
      <w:r>
        <w:t xml:space="preserve">, then check value fields, refresh those pivots and reconcile totals.</w:t>
      </w:r>
    </w:p>
    <w:p>
      <w:pPr>
        <w:pStyle w:val="FirstParagraph"/>
      </w:pPr>
      <w:r>
        <w:t xml:space="preserve">The four pivot titles are</w:t>
      </w:r>
      <w:r>
        <w:t xml:space="preserve"> </w:t>
      </w:r>
      <w:r>
        <w:rPr>
          <w:b/>
          <w:bCs/>
        </w:rPr>
        <w:t xml:space="preserve">Total PML / Fine Art</w:t>
      </w:r>
      <w:r>
        <w:t xml:space="preserve">,</w:t>
      </w:r>
      <w:r>
        <w:t xml:space="preserve"> </w:t>
      </w:r>
      <w:r>
        <w:rPr>
          <w:b/>
          <w:bCs/>
        </w:rPr>
        <w:t xml:space="preserve">Portfolio / country / Fine Art</w:t>
      </w:r>
      <w:r>
        <w:t xml:space="preserve">,</w:t>
      </w:r>
      <w:r>
        <w:t xml:space="preserve"> </w:t>
      </w:r>
      <w:r>
        <w:rPr>
          <w:b/>
          <w:bCs/>
        </w:rPr>
        <w:t xml:space="preserve">Country / Fine Art</w:t>
      </w:r>
      <w:r>
        <w:t xml:space="preserve">, and</w:t>
      </w:r>
      <w:r>
        <w:t xml:space="preserve"> </w:t>
      </w:r>
      <w:r>
        <w:rPr>
          <w:b/>
          <w:bCs/>
        </w:rPr>
        <w:t xml:space="preserve">CDS class</w:t>
      </w:r>
      <w:r>
        <w:t xml:space="preserve">; the banner identifies the peril and makes clear that</w:t>
      </w:r>
      <w:r>
        <w:t xml:space="preserve"> </w:t>
      </w:r>
      <w:r>
        <w:rPr>
          <w:rStyle w:val="VerbatimChar"/>
        </w:rPr>
        <w:t xml:space="preserve">pml</w:t>
      </w:r>
      <w:r>
        <w:t xml:space="preserve"> </w:t>
      </w:r>
      <w:r>
        <w:t xml:space="preserve">is not automatically USD-converted.</w:t>
      </w:r>
    </w:p>
    <w:bookmarkEnd w:id="12"/>
    <w:bookmarkStart w:id="13" w:name="pra-runbook-former-workbook-reference"/>
    <w:p>
      <w:pPr>
        <w:pStyle w:val="Heading2"/>
      </w:pPr>
      <w:r>
        <w:t xml:space="preserve">Former workbook reference</w:t>
      </w:r>
    </w:p>
    <w:p>
      <w:pPr>
        <w:pStyle w:val="FirstParagraph"/>
      </w:pPr>
      <w:r>
        <w:t xml:space="preserve">The former</w:t>
      </w:r>
      <w:r>
        <w:t xml:space="preserve"> </w:t>
      </w:r>
      <w:r>
        <w:rPr>
          <w:rStyle w:val="VerbatimChar"/>
        </w:rPr>
        <w:t xml:space="preserve">PRA_BSCR_Aggs.xlsx</w:t>
      </w:r>
      <w:r>
        <w:t xml:space="preserve"> </w:t>
      </w:r>
      <w:r>
        <w:t xml:space="preserve">is available in repository history only; its raw sheet, SQL tab and BSCR panels were removed from the renamed workbook, and raw CSVs now remain separate audit files.</w:t>
      </w:r>
    </w:p>
    <w:bookmarkEnd w:id="13"/>
    <w:bookmarkStart w:id="14" w:name="pra-runbook-financial-caveats"/>
    <w:p>
      <w:pPr>
        <w:pStyle w:val="Heading2"/>
      </w:pPr>
      <w:r>
        <w:t xml:space="preserve">Financial caveats</w:t>
      </w:r>
    </w:p>
    <w:p>
      <w:pPr>
        <w:pStyle w:val="FirstParagraph"/>
      </w:pPr>
      <w:r>
        <w:t xml:space="preserve">The SQL logic zeroes grouped value below</w:t>
      </w:r>
      <w:r>
        <w:t xml:space="preserve"> </w:t>
      </w:r>
      <w:r>
        <w:rPr>
          <w:rStyle w:val="VerbatimChar"/>
        </w:rPr>
        <w:t xml:space="preserve">deductamt</w:t>
      </w:r>
      <w:r>
        <w:t xml:space="preserve"> </w:t>
      </w:r>
      <w:r>
        <w:t xml:space="preserve">without subtracting the deductible, retains equality, groups deductible and limit currencies without conversion, and has unresolved null/negative deductible, currency, limit, policy-join, and cross-product behaviour. Python’s existing BSCR retention and geography discrepancies remain unchanged: the removed raw-sheet formulas used 33% SRP versus 0.3333 in Python. The optional PRA workbook still requires review of CDS/PRA-region</w:t>
      </w:r>
      <w:r>
        <w:t xml:space="preserve"> </w:t>
      </w:r>
      <w:r>
        <w:rPr>
          <w:rStyle w:val="VerbatimChar"/>
        </w:rPr>
        <w:t xml:space="preserve">#N/A</w:t>
      </w:r>
      <w:r>
        <w:t xml:space="preserve">,</w:t>
      </w:r>
      <w:r>
        <w:t xml:space="preserve"> </w:t>
      </w:r>
      <w:r>
        <w:rPr>
          <w:rStyle w:val="VerbatimChar"/>
        </w:rPr>
        <w:t xml:space="preserve">Agg_USD = pml * 1.25</w:t>
      </w:r>
      <w:r>
        <w:t xml:space="preserve">, and whether pivots should sum</w:t>
      </w:r>
      <w:r>
        <w:t xml:space="preserve"> </w:t>
      </w:r>
      <w:r>
        <w:rPr>
          <w:rStyle w:val="VerbatimChar"/>
        </w:rPr>
        <w:t xml:space="preserve">pml</w:t>
      </w:r>
      <w:r>
        <w:t xml:space="preserve"> </w:t>
      </w:r>
      <w:r>
        <w:t xml:space="preserve">or</w:t>
      </w:r>
      <w:r>
        <w:t xml:space="preserve"> </w:t>
      </w:r>
      <w:r>
        <w:rPr>
          <w:rStyle w:val="VerbatimChar"/>
        </w:rPr>
        <w:t xml:space="preserve">Agg_USD</w:t>
      </w:r>
      <w:r>
        <w:t xml:space="preserve">.</w:t>
      </w:r>
    </w:p>
    <w:bookmarkEnd w:id="14"/>
    <w:bookmarkEnd w:id="15"/>
    <w:bookmarkStart w:id="21" w:name="X303ccac7b492492bb67a8351f4c88d254864801"/>
    <w:p>
      <w:pPr>
        <w:pStyle w:val="Heading1"/>
      </w:pPr>
      <w:r>
        <w:t xml:space="preserve">BSCR Schedule X — offline operator guide</w:t>
      </w:r>
    </w:p>
    <w:bookmarkStart w:id="16" w:name="bscr-runbook-scope-and-result"/>
    <w:p>
      <w:pPr>
        <w:pStyle w:val="Heading2"/>
      </w:pPr>
      <w:r>
        <w:t xml:space="preserve">Scope and result</w:t>
      </w:r>
    </w:p>
    <w:p>
      <w:pPr>
        <w:pStyle w:val="FirstParagraph"/>
      </w:pPr>
      <w:r>
        <w:t xml:space="preserve">This guide runs the BSCR calculation from an approved SQL export and produces reviewed exposure files; it does</w:t>
      </w:r>
      <w:r>
        <w:t xml:space="preserve"> </w:t>
      </w:r>
      <w:r>
        <w:rPr>
          <w:b/>
          <w:bCs/>
        </w:rPr>
        <w:t xml:space="preserve">not</w:t>
      </w:r>
      <w:r>
        <w:t xml:space="preserve"> </w:t>
      </w:r>
      <w:r>
        <w:t xml:space="preserve">produce a complete Schedule X return, final-cell submission, EP curves, premiums, narratives, model classifications, or distinct-contract counts.</w:t>
      </w:r>
    </w:p>
    <w:p>
      <w:pPr>
        <w:pStyle w:val="BodyText"/>
      </w:pPr>
      <w:r>
        <w:t xml:space="preserve">The calculation PC needs Python 3.13+ and the repository only; Excel,</w:t>
      </w:r>
      <w:r>
        <w:t xml:space="preserve"> </w:t>
      </w:r>
      <w:r>
        <w:rPr>
          <w:rStyle w:val="VerbatimChar"/>
        </w:rPr>
        <w:t xml:space="preserve">uv</w:t>
      </w:r>
      <w:r>
        <w:t xml:space="preserve">, ODBC, and a live database connection are not required. An approved SQL-export host remains responsible for producing the input CSV.</w:t>
      </w:r>
    </w:p>
    <w:bookmarkEnd w:id="16"/>
    <w:bookmarkStart w:id="17" w:name="bscr-runbook-files-and-contract"/>
    <w:p>
      <w:pPr>
        <w:pStyle w:val="Heading2"/>
      </w:pPr>
      <w:r>
        <w:t xml:space="preserve">Files and contract</w:t>
      </w:r>
    </w:p>
    <w:p>
      <w:pPr>
        <w:pStyle w:val="FirstParagraph"/>
      </w:pPr>
      <w:r>
        <w:t xml:space="preserve">All paths are relative to the repository root. Each input folder is one approved snapshot with one approved peril and policy selection.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Required contract</w:t>
            </w:r>
          </w:p>
        </w:tc>
      </w:tr>
      <w:tr>
        <w:tc>
          <w:tcPr/>
          <w:p>
            <w:pPr>
              <w:pStyle w:val="Compact"/>
            </w:pPr>
            <w:r>
              <w:rPr>
                <w:rStyle w:val="VerbatimChar"/>
              </w:rPr>
              <w:t xml:space="preserve">bscr-source.csv</w:t>
            </w:r>
          </w:p>
        </w:tc>
        <w:tc>
          <w:tcPr/>
          <w:p>
            <w:pPr>
              <w:pStyle w:val="Compact"/>
            </w:pPr>
            <w:r>
              <w:t xml:space="preserve">Input file, with this exact header and order:</w:t>
            </w:r>
            <w:r>
              <w:t xml:space="preserve"> </w:t>
            </w:r>
            <w:r>
              <w:rPr>
                <w:rStyle w:val="VerbatimChar"/>
              </w:rPr>
              <w:t xml:space="preserve">pml,accgrpid,uwritrname,state,userid1,branchname,cntrycode,is_geocoded</w:t>
            </w:r>
          </w:p>
        </w:tc>
      </w:tr>
      <w:tr>
        <w:tc>
          <w:tcPr/>
          <w:p>
            <w:pPr>
              <w:pStyle w:val="Compact"/>
            </w:pPr>
            <w:r>
              <w:rPr>
                <w:rStyle w:val="VerbatimChar"/>
              </w:rPr>
              <w:t xml:space="preserve">bscr-output.csv</w:t>
            </w:r>
          </w:p>
        </w:tc>
        <w:tc>
          <w:tcPr/>
          <w:p>
            <w:pPr>
              <w:pStyle w:val="Compact"/>
            </w:pPr>
            <w:r>
              <w:t xml:space="preserve">Script output, with this exact header and order:</w:t>
            </w:r>
            <w:r>
              <w:t xml:space="preserve"> </w:t>
            </w:r>
            <w:r>
              <w:rPr>
                <w:rStyle w:val="VerbatimChar"/>
              </w:rPr>
              <w:t xml:space="preserve">cntrycode,bscr_entity,region,sum_pml,sum_net,count_policies,is_geocoded</w:t>
            </w:r>
          </w:p>
        </w:tc>
      </w:tr>
      <w:tr>
        <w:tc>
          <w:tcPr/>
          <w:p>
            <w:pPr>
              <w:pStyle w:val="Compact"/>
            </w:pPr>
            <w:r>
              <w:rPr>
                <w:rStyle w:val="VerbatimChar"/>
              </w:rPr>
              <w:t xml:space="preserve">bscr/sql/bscr-extract.sql</w:t>
            </w:r>
          </w:p>
        </w:tc>
        <w:tc>
          <w:tcPr/>
          <w:p>
            <w:pPr>
              <w:pStyle w:val="Compact"/>
            </w:pPr>
            <w:r>
              <w:t xml:space="preserve">Separate SQL-export query; its defaults are</w:t>
            </w:r>
            <w:r>
              <w:t xml:space="preserve"> </w:t>
            </w:r>
            <w:r>
              <w:rPr>
                <w:rStyle w:val="VerbatimChar"/>
              </w:rPr>
              <w:t xml:space="preserve">@peril = 1</w:t>
            </w:r>
            <w:r>
              <w:t xml:space="preserve"> </w:t>
            </w:r>
            <w:r>
              <w:t xml:space="preserve">and</w:t>
            </w:r>
            <w:r>
              <w:t xml:space="preserve"> </w:t>
            </w:r>
            <w:r>
              <w:rPr>
                <w:rStyle w:val="VerbatimChar"/>
              </w:rPr>
              <w:t xml:space="preserve">@policy_type = 1</w:t>
            </w:r>
            <w:r>
              <w:t xml:space="preserve">, but the approved cycle values control the export</w:t>
            </w:r>
          </w:p>
        </w:tc>
      </w:tr>
    </w:tbl>
    <w:p>
      <w:pPr>
        <w:pStyle w:val="BodyText"/>
      </w:pPr>
      <w:r>
        <w:t xml:space="preserve">The checked-in workbooks</w:t>
      </w:r>
      <w:r>
        <w:t xml:space="preserve"> </w:t>
      </w:r>
      <w:r>
        <w:rPr>
          <w:rStyle w:val="VerbatimChar"/>
        </w:rPr>
        <w:t xml:space="preserve">bscr/workbooks/Workings_with_geocodingFW - Including blanks USD.xlsx</w:t>
      </w:r>
      <w:r>
        <w:t xml:space="preserve"> </w:t>
      </w:r>
      <w:r>
        <w:t xml:space="preserve">and</w:t>
      </w:r>
      <w:r>
        <w:t xml:space="preserve"> </w:t>
      </w:r>
      <w:r>
        <w:rPr>
          <w:rStyle w:val="VerbatimChar"/>
        </w:rPr>
        <w:t xml:space="preserve">bscr/workbooks/2026 BSCR - UKEU - HIC.xlsx</w:t>
      </w:r>
      <w:r>
        <w:t xml:space="preserve"> </w:t>
      </w:r>
      <w:r>
        <w:t xml:space="preserve">are historical/reference files only; they are not calculation inputs, and this runbook does not require opening or refreshing them.</w:t>
      </w:r>
    </w:p>
    <w:bookmarkEnd w:id="17"/>
    <w:bookmarkStart w:id="18" w:name="bscr-runbook-numbered-operator-steps"/>
    <w:p>
      <w:pPr>
        <w:pStyle w:val="Heading2"/>
      </w:pPr>
      <w:r>
        <w:t xml:space="preserve">Numbered operator steps</w:t>
      </w:r>
    </w:p>
    <w:p>
      <w:pPr>
        <w:pStyle w:val="Compact"/>
        <w:numPr>
          <w:ilvl w:val="0"/>
          <w:numId w:val="1004"/>
        </w:numPr>
      </w:pPr>
      <w:r>
        <w:t xml:space="preserve">Create an input folder for one snapshot and peril/policy selection, such as</w:t>
      </w:r>
      <w:r>
        <w:t xml:space="preserve"> </w:t>
      </w:r>
      <w:r>
        <w:rPr>
          <w:rStyle w:val="VerbatimChar"/>
        </w:rPr>
        <w:t xml:space="preserve">runs\eq\input</w:t>
      </w:r>
      <w:r>
        <w:t xml:space="preserve">.</w:t>
      </w:r>
    </w:p>
    <w:p>
      <w:pPr>
        <w:pStyle w:val="Compact"/>
        <w:numPr>
          <w:ilvl w:val="0"/>
          <w:numId w:val="1004"/>
        </w:numPr>
      </w:pPr>
      <w:r>
        <w:t xml:space="preserve">On the SQL-export host, run</w:t>
      </w:r>
      <w:r>
        <w:t xml:space="preserve"> </w:t>
      </w:r>
      <w:r>
        <w:rPr>
          <w:rStyle w:val="VerbatimChar"/>
        </w:rPr>
        <w:t xml:space="preserve">bscr/sql/bscr-extract.sql</w:t>
      </w:r>
      <w:r>
        <w:t xml:space="preserve"> </w:t>
      </w:r>
      <w:r>
        <w:t xml:space="preserve">with the approved peril and policy values and save the result with headers as</w:t>
      </w:r>
      <w:r>
        <w:t xml:space="preserve"> </w:t>
      </w:r>
      <w:r>
        <w:rPr>
          <w:rStyle w:val="VerbatimChar"/>
        </w:rPr>
        <w:t xml:space="preserve">bscr-source.csv</w:t>
      </w:r>
      <w:r>
        <w:t xml:space="preserve"> </w:t>
      </w:r>
      <w:r>
        <w:t xml:space="preserve">in that folder, retaining parameters and source totals.</w:t>
      </w:r>
    </w:p>
    <w:p>
      <w:pPr>
        <w:pStyle w:val="Compact"/>
        <w:numPr>
          <w:ilvl w:val="0"/>
          <w:numId w:val="1004"/>
        </w:numPr>
      </w:pPr>
      <w:r>
        <w:t xml:space="preserve">From the repository root on the calculation PC, create the one-time environment with</w:t>
      </w:r>
      <w:r>
        <w:t xml:space="preserve"> </w:t>
      </w:r>
      <w:r>
        <w:rPr>
          <w:rStyle w:val="VerbatimChar"/>
        </w:rPr>
        <w:t xml:space="preserve">python -m venv .venv</w:t>
      </w:r>
      <w:r>
        <w:t xml:space="preserve"> </w:t>
      </w:r>
      <w:r>
        <w:t xml:space="preserve">and Windows dependencies with</w:t>
      </w:r>
      <w:r>
        <w:t xml:space="preserve"> </w:t>
      </w:r>
      <w:r>
        <w:rPr>
          <w:rStyle w:val="VerbatimChar"/>
        </w:rPr>
        <w:t xml:space="preserve">.venv\Scripts\python -m pip install -r bscr\requirements.txt</w:t>
      </w:r>
      <w:r>
        <w:t xml:space="preserve">.</w:t>
      </w:r>
    </w:p>
    <w:p>
      <w:pPr>
        <w:pStyle w:val="Compact"/>
        <w:numPr>
          <w:ilvl w:val="0"/>
          <w:numId w:val="1004"/>
        </w:numPr>
      </w:pPr>
      <w:r>
        <w:t xml:space="preserve">Ensure the output directory is absent or empty before starting and do not reuse it for another snapshot.</w:t>
      </w:r>
    </w:p>
    <w:p>
      <w:pPr>
        <w:pStyle w:val="Compact"/>
        <w:numPr>
          <w:ilvl w:val="0"/>
          <w:numId w:val="1004"/>
        </w:numPr>
      </w:pPr>
      <w:r>
        <w:t xml:space="preserve">Run</w:t>
      </w:r>
      <w:r>
        <w:t xml:space="preserve"> </w:t>
      </w:r>
      <w:r>
        <w:rPr>
          <w:rStyle w:val="VerbatimChar"/>
        </w:rPr>
        <w:t xml:space="preserve">.venv\Scripts\python bscr/BSCR_UKEU.py --input-dir runs\eq\input --output-dir runs\eq\output --process bscr</w:t>
      </w:r>
      <w:r>
        <w:t xml:space="preserve"> </w:t>
      </w:r>
      <w:r>
        <w:t xml:space="preserve">using the actual input and output folders.</w:t>
      </w:r>
    </w:p>
    <w:p>
      <w:pPr>
        <w:pStyle w:val="Compact"/>
        <w:numPr>
          <w:ilvl w:val="0"/>
          <w:numId w:val="1004"/>
        </w:numPr>
      </w:pPr>
      <w:r>
        <w:t xml:space="preserve">Confirm that the run completes and that</w:t>
      </w:r>
      <w:r>
        <w:t xml:space="preserve"> </w:t>
      </w:r>
      <w:r>
        <w:rPr>
          <w:rStyle w:val="VerbatimChar"/>
        </w:rPr>
        <w:t xml:space="preserve">runs\eq\output\bscr-output.csv</w:t>
      </w:r>
      <w:r>
        <w:t xml:space="preserve"> </w:t>
      </w:r>
      <w:r>
        <w:t xml:space="preserve">has the exact seven-column header and non-partial contents.</w:t>
      </w:r>
    </w:p>
    <w:p>
      <w:pPr>
        <w:pStyle w:val="Compact"/>
        <w:numPr>
          <w:ilvl w:val="0"/>
          <w:numId w:val="1004"/>
        </w:numPr>
      </w:pPr>
      <w:r>
        <w:t xml:space="preserve">Reconcile source and output row counts, gross/net totals, entity and region totals, country/state frequencies, geocode splits, and unexplained nulls or unmapped values before review.</w:t>
      </w:r>
    </w:p>
    <w:p>
      <w:pPr>
        <w:pStyle w:val="Compact"/>
        <w:numPr>
          <w:ilvl w:val="0"/>
          <w:numId w:val="1004"/>
        </w:numPr>
      </w:pPr>
      <w:r>
        <w:t xml:space="preserve">Retain the input CSV, output CSV, query revision and parameters, source controls, run command, code revision, reconciliation, exceptions, and reviewer record together as the run evidence.</w:t>
      </w:r>
    </w:p>
    <w:p>
      <w:pPr>
        <w:pStyle w:val="FirstParagraph"/>
      </w:pPr>
      <w:r>
        <w:t xml:space="preserve">For a combined run, use</w:t>
      </w:r>
      <w:r>
        <w:t xml:space="preserve"> </w:t>
      </w:r>
      <w:r>
        <w:rPr>
          <w:rStyle w:val="VerbatimChar"/>
        </w:rPr>
        <w:t xml:space="preserve">--process both</w:t>
      </w:r>
      <w:r>
        <w:t xml:space="preserve"> </w:t>
      </w:r>
      <w:r>
        <w:t xml:space="preserve">and provide both required source files;</w:t>
      </w:r>
      <w:r>
        <w:t xml:space="preserve"> </w:t>
      </w:r>
      <w:r>
        <w:rPr>
          <w:rStyle w:val="VerbatimChar"/>
        </w:rPr>
        <w:t xml:space="preserve">--process bscr</w:t>
      </w:r>
      <w:r>
        <w:t xml:space="preserve"> </w:t>
      </w:r>
      <w:r>
        <w:t xml:space="preserve">requires</w:t>
      </w:r>
      <w:r>
        <w:t xml:space="preserve"> </w:t>
      </w:r>
      <w:r>
        <w:rPr>
          <w:rStyle w:val="VerbatimChar"/>
        </w:rPr>
        <w:t xml:space="preserve">bscr-source.csv</w:t>
      </w:r>
      <w:r>
        <w:t xml:space="preserve">, while</w:t>
      </w:r>
      <w:r>
        <w:t xml:space="preserve"> </w:t>
      </w:r>
      <w:r>
        <w:rPr>
          <w:rStyle w:val="VerbatimChar"/>
        </w:rPr>
        <w:t xml:space="preserve">--process pra</w:t>
      </w:r>
      <w:r>
        <w:t xml:space="preserve"> </w:t>
      </w:r>
      <w:r>
        <w:t xml:space="preserve">is documented by the shared script contract and is not needed for a BSCR-only run.</w:t>
      </w:r>
    </w:p>
    <w:bookmarkEnd w:id="18"/>
    <w:bookmarkStart w:id="19" w:name="bscr-runbook-interpret-the-output-safely"/>
    <w:p>
      <w:pPr>
        <w:pStyle w:val="Heading2"/>
      </w:pPr>
      <w:r>
        <w:t xml:space="preserve">Interpret the output safely</w:t>
      </w:r>
    </w:p>
    <w:p>
      <w:pPr>
        <w:pStyle w:val="FirstParagraph"/>
      </w:pPr>
      <w:r>
        <w:rPr>
          <w:rStyle w:val="VerbatimChar"/>
        </w:rPr>
        <w:t xml:space="preserve">sum_pml</w:t>
      </w:r>
      <w:r>
        <w:t xml:space="preserve"> </w:t>
      </w:r>
      <w:r>
        <w:t xml:space="preserve">is gross source-currency exposure before retention,</w:t>
      </w:r>
      <w:r>
        <w:t xml:space="preserve"> </w:t>
      </w:r>
      <w:r>
        <w:rPr>
          <w:rStyle w:val="VerbatimChar"/>
        </w:rPr>
        <w:t xml:space="preserve">sum_net</w:t>
      </w:r>
      <w:r>
        <w:t xml:space="preserve"> </w:t>
      </w:r>
      <w:r>
        <w:t xml:space="preserve">applies the current Python retention logic, and</w:t>
      </w:r>
      <w:r>
        <w:t xml:space="preserve"> </w:t>
      </w:r>
      <w:r>
        <w:rPr>
          <w:rStyle w:val="VerbatimChar"/>
        </w:rPr>
        <w:t xml:space="preserve">count_policies</w:t>
      </w:r>
      <w:r>
        <w:t xml:space="preserve"> </w:t>
      </w:r>
      <w:r>
        <w:t xml:space="preserve">is a contributing grouped/source-row count rather than a guaranteed distinct policy or contract count.</w:t>
      </w:r>
      <w:r>
        <w:t xml:space="preserve"> </w:t>
      </w:r>
      <w:r>
        <w:rPr>
          <w:rStyle w:val="VerbatimChar"/>
        </w:rPr>
        <w:t xml:space="preserve">ALL</w:t>
      </w:r>
      <w:r>
        <w:t xml:space="preserve"> </w:t>
      </w:r>
      <w:r>
        <w:t xml:space="preserve">and regional rows are overlapping views, so never add regional rows together or treat them as separate peril extracts. A new peril selection requires its own approved SQL snapshot; changing a region filter is not a substitute for a separate peril extraction.</w:t>
      </w:r>
    </w:p>
    <w:p>
      <w:pPr>
        <w:pStyle w:val="BodyText"/>
      </w:pPr>
      <w:r>
        <w:t xml:space="preserve">Record source currency explicitly: Python does not convert currency, and a USD-labelled historical workbook view does not make a source-currency CSV USD. The historical workings workbook applied a hard-coded</w:t>
      </w:r>
      <w:r>
        <w:t xml:space="preserve"> </w:t>
      </w:r>
      <w:r>
        <w:rPr>
          <w:rStyle w:val="VerbatimChar"/>
        </w:rPr>
        <w:t xml:space="preserve">1.35</w:t>
      </w:r>
      <w:r>
        <w:t xml:space="preserve"> </w:t>
      </w:r>
      <w:r>
        <w:t xml:space="preserve">conversion and</w:t>
      </w:r>
      <w:r>
        <w:t xml:space="preserve"> </w:t>
      </w:r>
      <w:r>
        <w:rPr>
          <w:rStyle w:val="VerbatimChar"/>
        </w:rPr>
        <w:t xml:space="preserve">/1,000,000</w:t>
      </w:r>
      <w:r>
        <w:t xml:space="preserve"> </w:t>
      </w:r>
      <w:r>
        <w:t xml:space="preserve">scaling, but those workbook mechanics are not part of this offline CSV calculation.</w:t>
      </w:r>
    </w:p>
    <w:bookmarkEnd w:id="19"/>
    <w:bookmarkStart w:id="20" w:name="X6af4424e20da6c9bfc525781bd16911be77e23c"/>
    <w:p>
      <w:pPr>
        <w:pStyle w:val="Heading2"/>
      </w:pPr>
      <w:r>
        <w:t xml:space="preserve">Stop conditions and current blockers</w:t>
      </w:r>
    </w:p>
    <w:p>
      <w:pPr>
        <w:pStyle w:val="Compact"/>
        <w:numPr>
          <w:ilvl w:val="0"/>
          <w:numId w:val="1005"/>
        </w:numPr>
      </w:pPr>
      <w:r>
        <w:t xml:space="preserve">Stop for a missing, partial, reordered, or extra-header input; a non-empty output directory; a failed run; a missing output; unexplained control-total differences; or unexplained join multiplication.</w:t>
      </w:r>
    </w:p>
    <w:p>
      <w:pPr>
        <w:pStyle w:val="Compact"/>
        <w:numPr>
          <w:ilvl w:val="0"/>
          <w:numId w:val="1005"/>
        </w:numPr>
      </w:pPr>
      <w:r>
        <w:t xml:space="preserve">The policy join is not proven to be policy-grain safe because</w:t>
      </w:r>
      <w:r>
        <w:t xml:space="preserve"> </w:t>
      </w:r>
      <w:r>
        <w:rPr>
          <w:rStyle w:val="VerbatimChar"/>
        </w:rPr>
        <w:t xml:space="preserve">policyid</w:t>
      </w:r>
      <w:r>
        <w:t xml:space="preserve"> </w:t>
      </w:r>
      <w:r>
        <w:t xml:space="preserve">is omitted from downstream grouping; multiple policy/geography rows can multiply exposure, so review join diagnostics before relying on totals.</w:t>
      </w:r>
    </w:p>
    <w:p>
      <w:pPr>
        <w:pStyle w:val="Compact"/>
        <w:numPr>
          <w:ilvl w:val="0"/>
          <w:numId w:val="1005"/>
        </w:numPr>
      </w:pPr>
      <w:r>
        <w:t xml:space="preserve">The current</w:t>
      </w:r>
      <w:r>
        <w:t xml:space="preserve"> </w:t>
      </w:r>
      <w:r>
        <w:rPr>
          <w:rStyle w:val="VerbatimChar"/>
        </w:rPr>
        <w:t xml:space="preserve">is_nahu()</w:t>
      </w:r>
      <w:r>
        <w:t xml:space="preserve"> </w:t>
      </w:r>
      <w:r>
        <w:t xml:space="preserve">implementation classifies every US row as NAHU because its intended state allow-list is bypassed; do not describe this as approved coastal-state logic.</w:t>
      </w:r>
    </w:p>
    <w:p>
      <w:pPr>
        <w:pStyle w:val="Compact"/>
        <w:numPr>
          <w:ilvl w:val="0"/>
          <w:numId w:val="1005"/>
        </w:numPr>
      </w:pPr>
      <w:r>
        <w:t xml:space="preserve">Retention remains</w:t>
      </w:r>
      <w:r>
        <w:t xml:space="preserve"> </w:t>
      </w:r>
      <w:r>
        <w:rPr>
          <w:rStyle w:val="VerbatimChar"/>
        </w:rPr>
        <w:t xml:space="preserve">_QS = 0.50</w:t>
      </w:r>
      <w:r>
        <w:t xml:space="preserve">,</w:t>
      </w:r>
      <w:r>
        <w:t xml:space="preserve"> </w:t>
      </w:r>
      <w:r>
        <w:rPr>
          <w:rStyle w:val="VerbatimChar"/>
        </w:rPr>
        <w:t xml:space="preserve">_SRP = 0.3333</w:t>
      </w:r>
      <w:r>
        <w:t xml:space="preserve">, otherwise</w:t>
      </w:r>
      <w:r>
        <w:t xml:space="preserve"> </w:t>
      </w:r>
      <w:r>
        <w:rPr>
          <w:rStyle w:val="VerbatimChar"/>
        </w:rPr>
        <w:t xml:space="preserve">1.00</w:t>
      </w:r>
      <w:r>
        <w:t xml:space="preserve">, with</w:t>
      </w:r>
      <w:r>
        <w:t xml:space="preserve"> </w:t>
      </w:r>
      <w:r>
        <w:rPr>
          <w:rStyle w:val="VerbatimChar"/>
        </w:rPr>
        <w:t xml:space="preserve">_QS</w:t>
      </w:r>
      <w:r>
        <w:t xml:space="preserve"> </w:t>
      </w:r>
      <w:r>
        <w:t xml:space="preserve">taking precedence when both markers occur; source currency, FX direction, and annual rate approval remain open.</w:t>
      </w:r>
    </w:p>
    <w:p>
      <w:pPr>
        <w:pStyle w:val="Compact"/>
        <w:numPr>
          <w:ilvl w:val="0"/>
          <w:numId w:val="1005"/>
        </w:numPr>
      </w:pPr>
      <w:r>
        <w:t xml:space="preserve">Approval of all-peril codes and the final source snapshot is unresolved, so defaults are convenience values rather than cycle approval.</w:t>
      </w:r>
    </w:p>
    <w:p>
      <w:pPr>
        <w:pStyle w:val="Compact"/>
        <w:numPr>
          <w:ilvl w:val="0"/>
          <w:numId w:val="1005"/>
        </w:numPr>
      </w:pPr>
      <w:r>
        <w:t xml:space="preserve">The final HIC template has no approved source-to-cell map and cannot be inferred from labels, colours, cached values, or prior layouts; the checked-in template also contains documented formula/link defects.</w:t>
      </w:r>
    </w:p>
    <w:p>
      <w:pPr>
        <w:pStyle w:val="FirstParagraph"/>
      </w:pPr>
      <w:r>
        <w:t xml:space="preserve">The output is reviewed BSCR exposure input only. Historical workbooks may be used for comparison after the CSV reconciliation, but they are optional and do not convert this run into an approved final return.</w:t>
      </w:r>
    </w:p>
    <w:bookmarkEnd w:id="20"/>
    <w:bookmarkEnd w:id="21"/>
    <w:bookmarkStart w:id="28" w:name="operating-controls-run-checklist"/>
    <w:p>
      <w:pPr>
        <w:pStyle w:val="Heading1"/>
      </w:pPr>
      <w:r>
        <w:t xml:space="preserve">Run checklist</w:t>
      </w:r>
    </w:p>
    <w:p>
      <w:pPr>
        <w:pStyle w:val="FirstParagraph"/>
      </w:pPr>
      <w:hyperlink r:id="rId22">
        <w:r>
          <w:rPr>
            <w:rStyle w:val="Hyperlink"/>
          </w:rPr>
          <w:t xml:space="preserve">Start here</w:t>
        </w:r>
      </w:hyperlink>
      <w:r>
        <w:t xml:space="preserve"> </w:t>
      </w:r>
      <w:r>
        <w:t xml:space="preserve">·</w:t>
      </w:r>
      <w:r>
        <w:t xml:space="preserve"> </w:t>
      </w:r>
      <w:hyperlink r:id="rId23">
        <w:r>
          <w:rPr>
            <w:rStyle w:val="Hyperlink"/>
          </w:rPr>
          <w:t xml:space="preserve">Detailed controls for LLMs/reviewers</w:t>
        </w:r>
      </w:hyperlink>
    </w:p>
    <w:p>
      <w:pPr>
        <w:pStyle w:val="BodyText"/>
      </w:pPr>
      <w:r>
        <w:t xml:space="preserve">Use this alongside your process guide. Keep the evidence in a new, restricted</w:t>
      </w:r>
      <w:r>
        <w:t xml:space="preserve"> </w:t>
      </w:r>
      <w:r>
        <w:t xml:space="preserve">run folder—not in source control. Mark irrelevant checks N/A with a reason.</w:t>
      </w:r>
    </w:p>
    <w:bookmarkStart w:id="24" w:name="operating-controls-before-you-start"/>
    <w:p>
      <w:pPr>
        <w:pStyle w:val="Heading2"/>
      </w:pPr>
      <w:r>
        <w:t xml:space="preserve">Before you start</w:t>
      </w:r>
    </w:p>
    <w:p>
      <w:pPr>
        <w:pStyle w:val="Compact"/>
        <w:numPr>
          <w:ilvl w:val="0"/>
          <w:numId w:val="1006"/>
        </w:numPr>
      </w:pPr>
      <w:r>
        <w:t xml:space="preserve">Confirm the reporting period, source snapshot, scope and controlled template.</w:t>
      </w:r>
    </w:p>
    <w:p>
      <w:pPr>
        <w:pStyle w:val="Compact"/>
        <w:numPr>
          <w:ilvl w:val="0"/>
          <w:numId w:val="1007"/>
        </w:numPr>
      </w:pPr>
      <w:r>
        <w:t xml:space="preserve">Confirm the approved mappings, retention/proxy rules, scale factors, FX and units.</w:t>
      </w:r>
    </w:p>
    <w:p>
      <w:pPr>
        <w:pStyle w:val="Compact"/>
        <w:numPr>
          <w:ilvl w:val="0"/>
          <w:numId w:val="1008"/>
        </w:numPr>
      </w:pPr>
      <w:r>
        <w:t xml:space="preserve">Record the operator, reviewer, code version, exact command/query and output folder. Keep credentials out of the record.</w:t>
      </w:r>
    </w:p>
    <w:p>
      <w:pPr>
        <w:pStyle w:val="Compact"/>
        <w:numPr>
          <w:ilvl w:val="0"/>
          <w:numId w:val="1009"/>
        </w:numPr>
      </w:pPr>
      <w:r>
        <w:t xml:space="preserve">Agree independent control totals and acceptable differences with the reviewer.</w:t>
      </w:r>
    </w:p>
    <w:p>
      <w:pPr>
        <w:pStyle w:val="Compact"/>
        <w:numPr>
          <w:ilvl w:val="0"/>
          <w:numId w:val="1010"/>
        </w:numPr>
      </w:pPr>
      <w:r>
        <w:t xml:space="preserve">For Excel, work on a copy. Identify input ranges, formulas, tables, pivot sources and external links before changing anything.</w:t>
      </w:r>
    </w:p>
    <w:p>
      <w:pPr>
        <w:pStyle w:val="Compact"/>
        <w:numPr>
          <w:ilvl w:val="0"/>
          <w:numId w:val="1011"/>
        </w:numPr>
      </w:pPr>
      <w:r>
        <w:t xml:space="preserve">Resolve the blockers listed in your guide before doing the affected step.</w:t>
      </w:r>
    </w:p>
    <w:bookmarkEnd w:id="24"/>
    <w:bookmarkStart w:id="25" w:name="operating-controls-run-and-check"/>
    <w:p>
      <w:pPr>
        <w:pStyle w:val="Heading2"/>
      </w:pPr>
      <w:r>
        <w:t xml:space="preserve">Run and check</w:t>
      </w:r>
    </w:p>
    <w:p>
      <w:pPr>
        <w:pStyle w:val="Compact"/>
        <w:numPr>
          <w:ilvl w:val="0"/>
          <w:numId w:val="1012"/>
        </w:numPr>
      </w:pPr>
      <w:r>
        <w:t xml:space="preserve">Save the raw outputs, logs, parameters and row counts. Use a stable snapshot when running multiple queries.</w:t>
      </w:r>
    </w:p>
    <w:p>
      <w:pPr>
        <w:pStyle w:val="Compact"/>
        <w:numPr>
          <w:ilvl w:val="0"/>
          <w:numId w:val="1013"/>
        </w:numPr>
      </w:pPr>
      <w:r>
        <w:t xml:space="preserve">Check joins have not multiplied exposure; investigate missing mappings, geography, currency or other required values.</w:t>
      </w:r>
    </w:p>
    <w:p>
      <w:pPr>
        <w:pStyle w:val="Compact"/>
        <w:numPr>
          <w:ilvl w:val="0"/>
          <w:numId w:val="1014"/>
        </w:numPr>
      </w:pPr>
      <w:r>
        <w:t xml:space="preserve">Reconcile source → raw output → grouped output by relevant entity, peril and geography, including gross/net and FX movements.</w:t>
      </w:r>
    </w:p>
    <w:p>
      <w:pPr>
        <w:pStyle w:val="Compact"/>
        <w:numPr>
          <w:ilvl w:val="0"/>
          <w:numId w:val="1015"/>
        </w:numPr>
      </w:pPr>
      <w:r>
        <w:t xml:space="preserve">Before loading Excel, check headers/order, row counts, currency and units. Replace input rows only; preserve formulas and report areas.</w:t>
      </w:r>
    </w:p>
    <w:p>
      <w:pPr>
        <w:pStyle w:val="Compact"/>
        <w:numPr>
          <w:ilvl w:val="0"/>
          <w:numId w:val="1016"/>
        </w:numPr>
      </w:pPr>
      <w:r>
        <w:t xml:space="preserve">Extend approved formulas and table/pivot ranges to all new rows; remove stale input rows. Do not copy known inconsistent formulas or blindly refresh external links.</w:t>
      </w:r>
    </w:p>
    <w:p>
      <w:pPr>
        <w:pStyle w:val="Compact"/>
        <w:numPr>
          <w:ilvl w:val="0"/>
          <w:numId w:val="1017"/>
        </w:numPr>
      </w:pPr>
      <w:r>
        <w:t xml:space="preserve">Recalculate in Excel and reconcile report totals. Investigate errors, stale values and unexplained movements.</w:t>
      </w:r>
    </w:p>
    <w:bookmarkEnd w:id="25"/>
    <w:bookmarkStart w:id="26" w:name="operating-controls-finish"/>
    <w:p>
      <w:pPr>
        <w:pStyle w:val="Heading2"/>
      </w:pPr>
      <w:r>
        <w:t xml:space="preserve">Finish</w:t>
      </w:r>
    </w:p>
    <w:p>
      <w:pPr>
        <w:pStyle w:val="Compact"/>
        <w:numPr>
          <w:ilvl w:val="0"/>
          <w:numId w:val="1018"/>
        </w:numPr>
      </w:pPr>
      <w:r>
        <w:t xml:space="preserve">Use an approved source-to-destination map for any final-template transfer. Do not choose cells by colour or label alone.</w:t>
      </w:r>
    </w:p>
    <w:p>
      <w:pPr>
        <w:pStyle w:val="Compact"/>
        <w:numPr>
          <w:ilvl w:val="0"/>
          <w:numId w:val="1019"/>
        </w:numPr>
      </w:pPr>
      <w:r>
        <w:t xml:space="preserve">Log each transfer: source file/sheet/range, destination file/sheet/cell, value, measure, currency/unit, as-of date and assumption versions.</w:t>
      </w:r>
    </w:p>
    <w:p>
      <w:pPr>
        <w:pStyle w:val="Compact"/>
        <w:numPr>
          <w:ilvl w:val="0"/>
          <w:numId w:val="1020"/>
        </w:numPr>
      </w:pPr>
      <w:r>
        <w:t xml:space="preserve">Obtain reviewer sign-off and retain inputs, outputs, reconciliations, adjustments and final submission/delivery evidence together.</w:t>
      </w:r>
    </w:p>
    <w:p>
      <w:pPr>
        <w:pStyle w:val="FirstParagraph"/>
      </w:pPr>
      <w:r>
        <w:rPr>
          <w:b/>
          <w:bCs/>
        </w:rPr>
        <w:t xml:space="preserve">Stop if</w:t>
      </w:r>
      <w:r>
        <w:t xml:space="preserve"> </w:t>
      </w:r>
      <w:r>
        <w:t xml:space="preserve">the source or assumptions are unapproved, a formula/pivot/handoff</w:t>
      </w:r>
      <w:r>
        <w:t xml:space="preserve"> </w:t>
      </w:r>
      <w:r>
        <w:t xml:space="preserve">cannot be traced, or differences exceed the agreed tolerance. A successful</w:t>
      </w:r>
      <w:r>
        <w:t xml:space="preserve"> </w:t>
      </w:r>
      <w:r>
        <w:t xml:space="preserve">command or refresh does not mean the return is complete.</w:t>
      </w:r>
    </w:p>
    <w:bookmarkEnd w:id="26"/>
    <w:bookmarkStart w:id="27" w:name="source-identity"/>
    <w:p>
      <w:pPr>
        <w:pStyle w:val="Heading2"/>
      </w:pPr>
      <w:r>
        <w:t xml:space="preserve">Source identity</w:t>
      </w:r>
    </w:p>
    <w:p>
      <w:pPr>
        <w:pStyle w:val="Compact"/>
        <w:numPr>
          <w:ilvl w:val="0"/>
          <w:numId w:val="1021"/>
        </w:numPr>
      </w:pPr>
      <w:r>
        <w:t xml:space="preserve">Git revision:</w:t>
      </w:r>
      <w:r>
        <w:t xml:space="preserve"> </w:t>
      </w:r>
      <w:r>
        <w:rPr>
          <w:rStyle w:val="VerbatimChar"/>
        </w:rPr>
        <w:t xml:space="preserve">ca6a2330f80faae748db89fc7160bcd90fc90543</w:t>
      </w:r>
      <w:r>
        <w:t xml:space="preserve"> </w:t>
      </w:r>
      <w:r>
        <w:t xml:space="preserve">(the working tree may contain uncommitted changes).</w:t>
      </w:r>
    </w:p>
    <w:p>
      <w:pPr>
        <w:pStyle w:val="Compact"/>
        <w:numPr>
          <w:ilvl w:val="0"/>
          <w:numId w:val="1021"/>
        </w:numPr>
      </w:pPr>
      <w:r>
        <w:t xml:space="preserve">Builder SHA-256:</w:t>
      </w:r>
      <w:r>
        <w:t xml:space="preserve"> </w:t>
      </w:r>
      <w:r>
        <w:rPr>
          <w:rStyle w:val="VerbatimChar"/>
        </w:rPr>
        <w:t xml:space="preserve">1437fab170f5c71a3ed62a84a3505227ae3f043edb2dca53bc3ba73a413dbcfb</w:t>
      </w:r>
      <w:r>
        <w:t xml:space="preserve">.</w:t>
      </w:r>
    </w:p>
    <w:p>
      <w:pPr>
        <w:pStyle w:val="Compact"/>
        <w:numPr>
          <w:ilvl w:val="0"/>
          <w:numId w:val="1021"/>
        </w:numPr>
      </w:pPr>
      <w:r>
        <w:t xml:space="preserve">Assembly semantics:</w:t>
      </w:r>
      <w:r>
        <w:t xml:space="preserve"> </w:t>
      </w:r>
      <w:r>
        <w:rPr>
          <w:rStyle w:val="VerbatimChar"/>
        </w:rPr>
        <w:t xml:space="preserve">docx-source-manifest-v1; stable-heading-anchors-v1; generated-link-rebase-v1; human-guides-only-v2</w:t>
      </w:r>
      <w:r>
        <w:t xml:space="preserve">.</w:t>
      </w:r>
    </w:p>
    <w:p>
      <w:pPr>
        <w:pStyle w:val="Compact"/>
        <w:numPr>
          <w:ilvl w:val="0"/>
          <w:numId w:val="1021"/>
        </w:numPr>
      </w:pPr>
      <w:r>
        <w:t xml:space="preserve">Exact input-doc manifest SHA-256:</w:t>
      </w:r>
      <w:r>
        <w:t xml:space="preserve"> </w:t>
      </w:r>
      <w:r>
        <w:rPr>
          <w:rStyle w:val="VerbatimChar"/>
        </w:rPr>
        <w:t xml:space="preserve">f6bab96d0f6299520102528e1b095e36739e89b2ba7c0bf5fedd12a18ceead0f</w:t>
      </w:r>
      <w:r>
        <w:t xml:space="preserve">.</w:t>
      </w:r>
    </w:p>
    <w:p>
      <w:pPr>
        <w:pStyle w:val="FirstParagraph"/>
      </w:pPr>
      <w:r>
        <w:t xml:space="preserve">The per-file hashes below are computed from the current UTF-8 bytes, so uncommitted Markdown edits remain distinguishable even when the Git revision is unchanged: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Included source</w:t>
            </w:r>
          </w:p>
        </w:tc>
        <w:tc>
          <w:tcPr/>
          <w:p>
            <w:pPr>
              <w:pStyle w:val="Compact"/>
            </w:pPr>
            <w:r>
              <w:t xml:space="preserve">SHA-256</w:t>
            </w:r>
          </w:p>
        </w:tc>
      </w:tr>
      <w:tr>
        <w:tc>
          <w:tcPr/>
          <w:p>
            <w:pPr>
              <w:pStyle w:val="Compact"/>
            </w:pPr>
            <w:r>
              <w:rPr>
                <w:rStyle w:val="VerbatimChar"/>
              </w:rPr>
              <w:t xml:space="preserve">docs/pra/runbook.md</w:t>
            </w:r>
          </w:p>
        </w:tc>
        <w:tc>
          <w:tcPr/>
          <w:p>
            <w:pPr>
              <w:pStyle w:val="Compact"/>
            </w:pPr>
            <w:r>
              <w:rPr>
                <w:rStyle w:val="VerbatimChar"/>
              </w:rPr>
              <w:t xml:space="preserve">955680639b3559b9a0c61c8b9f42526ce6e6402a17afd59ba3f04996d3b785a2</w:t>
            </w:r>
          </w:p>
        </w:tc>
      </w:tr>
      <w:tr>
        <w:tc>
          <w:tcPr/>
          <w:p>
            <w:pPr>
              <w:pStyle w:val="Compact"/>
            </w:pPr>
            <w:r>
              <w:rPr>
                <w:rStyle w:val="VerbatimChar"/>
              </w:rPr>
              <w:t xml:space="preserve">docs/bscr/runbook.md</w:t>
            </w:r>
          </w:p>
        </w:tc>
        <w:tc>
          <w:tcPr/>
          <w:p>
            <w:pPr>
              <w:pStyle w:val="Compact"/>
            </w:pPr>
            <w:r>
              <w:rPr>
                <w:rStyle w:val="VerbatimChar"/>
              </w:rPr>
              <w:t xml:space="preserve">4e0f7a888aa63e898595a684c9e5b90acbb1c730984994250d0d754f405f02d0</w:t>
            </w:r>
          </w:p>
        </w:tc>
      </w:tr>
      <w:tr>
        <w:tc>
          <w:tcPr/>
          <w:p>
            <w:pPr>
              <w:pStyle w:val="Compact"/>
            </w:pPr>
            <w:r>
              <w:rPr>
                <w:rStyle w:val="VerbatimChar"/>
              </w:rPr>
              <w:t xml:space="preserve">docs/operating-controls.md</w:t>
            </w:r>
          </w:p>
        </w:tc>
        <w:tc>
          <w:tcPr/>
          <w:p>
            <w:pPr>
              <w:pStyle w:val="Compact"/>
            </w:pPr>
            <w:r>
              <w:rPr>
                <w:rStyle w:val="VerbatimChar"/>
              </w:rPr>
              <w:t xml:space="preserve">064cd9201e216d0f6c0258c9cc398782448e2f059ed7bbedc14be18691513a00</w:t>
            </w:r>
          </w:p>
        </w:tc>
      </w:tr>
    </w:tbl>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README.md" TargetMode="External" /><Relationship Type="http://schemas.openxmlformats.org/officeDocument/2006/relationships/hyperlink" Id="rId23" Target="../llm-instructions.md#detailed-run-controls" TargetMode="External" /></Relationships>
</file>

<file path=word/_rels/footnotes.xml.rels><?xml version="1.0" encoding="UTF-8"?><Relationships xmlns="http://schemas.openxmlformats.org/package/2006/relationships"><Relationship Type="http://schemas.openxmlformats.org/officeDocument/2006/relationships/hyperlink" Id="rId22" Target="../../README.md" TargetMode="External" /><Relationship Type="http://schemas.openxmlformats.org/officeDocument/2006/relationships/hyperlink" Id="rId23" Target="../llm-instructions.md#detailed-run-contr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 and BSCR Runbook</dc:title>
  <dc:creator/>
  <cp:keywords/>
  <dcterms:created xsi:type="dcterms:W3CDTF">2026-09-14T20:06:38Z</dcterms:created>
  <dcterms:modified xsi:type="dcterms:W3CDTF">2026-09-14T20:06:38Z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January 2026</vt:lpwstr>
  </property>
</Properties>
</file>