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Global Exposures Runbook</w:t>
      </w:r>
    </w:p>
    <w:p>
      <w:pPr>
        <w:pStyle w:val="Subtitle"/>
      </w:pPr>
      <w:r>
        <w:t xml:space="preserve">January 2026</w:t>
      </w:r>
    </w:p>
    <w:p>
      <w:pPr>
        <w:pStyle w:val="BlockText"/>
      </w:pPr>
      <w:r>
        <w:t xml:space="preserve">Short operator guide. Detailed technical references are linked, not included. Markdown is the maintained source; use approved inputs and templates for the reporting cycle.</w:t>
      </w:r>
    </w:p>
    <w:bookmarkStart w:id="16" w:name="Xf0bbf97d7b6fb9fef1744830da945e8638986bd"/>
    <w:p>
      <w:pPr>
        <w:pStyle w:val="Heading1"/>
      </w:pPr>
      <w:r>
        <w:t xml:space="preserve">Global Exposures</w:t>
      </w:r>
    </w:p>
    <w:p>
      <w:pPr>
        <w:pStyle w:val="FirstParagraph"/>
      </w:pPr>
      <w:hyperlink r:id="rId9">
        <w:r>
          <w:rPr>
            <w:rStyle w:val="Hyperlink"/>
          </w:rPr>
          <w:t xml:space="preserve">Start here</w:t>
        </w:r>
      </w:hyperlink>
      <w:r>
        <w:t xml:space="preserve"> </w:t>
      </w:r>
      <w:r>
        <w:t xml:space="preserve">·</w:t>
      </w:r>
      <w:r>
        <w:t xml:space="preserve"> </w:t>
      </w:r>
      <w:hyperlink w:anchor="operating-controls-run-checklist">
        <w:r>
          <w:rPr>
            <w:rStyle w:val="Hyperlink"/>
          </w:rPr>
          <w:t xml:space="preserve">Run checklist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Detailed LLM reference</w:t>
        </w:r>
      </w:hyperlink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a CSV pack of exposure and estimated loss within event polygons.</w:t>
      </w:r>
      <w:r>
        <w:t xml:space="preserve"> </w:t>
      </w:r>
      <w:r>
        <w:t xml:space="preserve">There is no calculation workbook or Excel-loading step.</w:t>
      </w:r>
    </w:p>
    <w:p>
      <w:pPr>
        <w:pStyle w:val="BodyText"/>
      </w:pPr>
      <w:r>
        <w:rPr>
          <w:b/>
          <w:bCs/>
        </w:rPr>
        <w:t xml:space="preserve">Before production:</w:t>
      </w:r>
      <w:r>
        <w:t xml:space="preserve"> </w:t>
      </w:r>
      <w:r>
        <w:t xml:space="preserve">the owner must approve the source snapshot, event/PML</w:t>
      </w:r>
      <w:r>
        <w:t xml:space="preserve"> </w:t>
      </w:r>
      <w:r>
        <w:t xml:space="preserve">data, policy/portfolio rules and spatial controls. See</w:t>
      </w:r>
      <w:r>
        <w:t xml:space="preserve"> </w:t>
      </w:r>
      <w:hyperlink r:id="rId11">
        <w:r>
          <w:rPr>
            <w:rStyle w:val="Hyperlink"/>
          </w:rPr>
          <w:t xml:space="preserve">GLOBAL-01</w:t>
        </w:r>
      </w:hyperlink>
      <w:r>
        <w:t xml:space="preserve">. A successful command is not approval.</w:t>
      </w:r>
    </w:p>
    <w:bookmarkStart w:id="12" w:name="global-exposures-runbook-1-get-ready"/>
    <w:p>
      <w:pPr>
        <w:pStyle w:val="Heading2"/>
      </w:pPr>
      <w:r>
        <w:t xml:space="preserve">1. Get ready</w:t>
      </w:r>
    </w:p>
    <w:p>
      <w:pPr>
        <w:pStyle w:val="FirstParagraph"/>
      </w:pPr>
      <w:r>
        <w:t xml:space="preserve">The script reads the annual EDM and</w:t>
      </w:r>
      <w:r>
        <w:t xml:space="preserve"> </w:t>
      </w:r>
      <w:r>
        <w:rPr>
          <w:rStyle w:val="VerbatimChar"/>
        </w:rPr>
        <w:t xml:space="preserve">GlobalExposures.data.Events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ShapeFiles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PML</w:t>
      </w:r>
      <w:r>
        <w:t xml:space="preserve"> </w:t>
      </w:r>
      <w:r>
        <w:t xml:space="preserve">database tables—not spreadsheets. Confirm the server,</w:t>
      </w:r>
      <w:r>
        <w:t xml:space="preserve"> </w:t>
      </w:r>
      <w:r>
        <w:t xml:space="preserve">ODBC Driver 17 access and approved settings in</w:t>
      </w:r>
      <w:r>
        <w:t xml:space="preserve"> </w:t>
      </w:r>
      <w:r>
        <w:rPr>
          <w:rStyle w:val="VerbatimChar"/>
        </w:rPr>
        <w:t xml:space="preserve">globalexposures/exposures.py</w:t>
      </w:r>
      <w:r>
        <w:t xml:space="preserve">.</w:t>
      </w:r>
    </w:p>
    <w:p>
      <w:pPr>
        <w:pStyle w:val="BodyText"/>
      </w:pPr>
      <w:r>
        <w:t xml:space="preserve">Complete the</w:t>
      </w:r>
      <w:r>
        <w:t xml:space="preserve"> </w:t>
      </w:r>
      <w:hyperlink w:anchor="operating-controls-run-checklist">
        <w:r>
          <w:rPr>
            <w:rStyle w:val="Hyperlink"/>
          </w:rPr>
          <w:t xml:space="preserve">run checklist</w:t>
        </w:r>
      </w:hyperlink>
      <w:r>
        <w:t xml:space="preserve">. Check event/polygon/PML</w:t>
      </w:r>
      <w:r>
        <w:t xml:space="preserve"> </w:t>
      </w:r>
      <w:r>
        <w:t xml:space="preserve">IDs, polygon validity, coordinates and independent EDM totals. Use a</w:t>
      </w:r>
      <w:r>
        <w:t xml:space="preserve"> </w:t>
      </w:r>
      <w:r>
        <w:rPr>
          <w:b/>
          <w:bCs/>
        </w:rPr>
        <w:t xml:space="preserve">new,</w:t>
      </w:r>
      <w:r>
        <w:rPr>
          <w:b/>
          <w:bCs/>
        </w:rPr>
        <w:t xml:space="preserve"> </w:t>
      </w:r>
      <w:r>
        <w:rPr>
          <w:b/>
          <w:bCs/>
        </w:rPr>
        <w:t xml:space="preserve">empty output folder</w:t>
      </w:r>
      <w:r>
        <w:t xml:space="preserve">: files are written individually, so reusing a folder can</w:t>
      </w:r>
      <w:r>
        <w:t xml:space="preserve"> </w:t>
      </w:r>
      <w:r>
        <w:t xml:space="preserve">mix results from different runs.</w:t>
      </w:r>
    </w:p>
    <w:bookmarkEnd w:id="12"/>
    <w:bookmarkStart w:id="13" w:name="Xc487381527629c5b15fdb5b1c0eebcad5867431"/>
    <w:p>
      <w:pPr>
        <w:pStyle w:val="Heading2"/>
      </w:pPr>
      <w:r>
        <w:t xml:space="preserve">2. Current operator boundary</w:t>
      </w:r>
    </w:p>
    <w:p>
      <w:pPr>
        <w:pStyle w:val="FirstParagraph"/>
      </w:pPr>
      <w:r>
        <w:t xml:space="preserve">There is currently no approved no-Python SQL/Excel route for the spatial</w:t>
      </w:r>
      <w:r>
        <w:t xml:space="preserve"> </w:t>
      </w:r>
      <w:r>
        <w:t xml:space="preserve">calculation. Do not install Python or</w:t>
      </w:r>
      <w:r>
        <w:t xml:space="preserve"> </w:t>
      </w:r>
      <w:r>
        <w:rPr>
          <w:rStyle w:val="VerbatimChar"/>
        </w:rPr>
        <w:t xml:space="preserve">uv</w:t>
      </w:r>
      <w:r>
        <w:t xml:space="preserve">, and do not run this route as an</w:t>
      </w:r>
      <w:r>
        <w:t xml:space="preserve"> </w:t>
      </w:r>
      <w:r>
        <w:t xml:space="preserve">operator workflow. The checked-in implementation remains</w:t>
      </w:r>
      <w:r>
        <w:t xml:space="preserve"> </w:t>
      </w:r>
      <w:r>
        <w:rPr>
          <w:rStyle w:val="VerbatimChar"/>
        </w:rPr>
        <w:t xml:space="preserve">globalexposures/exposures.py</w:t>
      </w:r>
      <w:r>
        <w:t xml:space="preserve"> </w:t>
      </w:r>
      <w:r>
        <w:t xml:space="preserve">and is maintainer/developer-only pending an</w:t>
      </w:r>
      <w:r>
        <w:t xml:space="preserve"> </w:t>
      </w:r>
      <w:r>
        <w:t xml:space="preserve">approved SQL Server spatial implementation.</w:t>
      </w:r>
    </w:p>
    <w:p>
      <w:pPr>
        <w:pStyle w:val="BodyText"/>
      </w:pPr>
      <w:r>
        <w:t xml:space="preserve">Do not load or deliver Global Exposures results from the current repository</w:t>
      </w:r>
      <w:r>
        <w:t xml:space="preserve"> </w:t>
      </w:r>
      <w:r>
        <w:t xml:space="preserve">without that implementation, its validation evidence, and owner approval.</w:t>
      </w:r>
    </w:p>
    <w:bookmarkEnd w:id="13"/>
    <w:bookmarkStart w:id="14" w:name="X981ef1aa3ef8a8401d7d6287e39480df5403c01"/>
    <w:p>
      <w:pPr>
        <w:pStyle w:val="Heading2"/>
      </w:pPr>
      <w:r>
        <w:t xml:space="preserve">3. Check the CSV pack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to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*_summary.csv</w:t>
            </w:r>
          </w:p>
        </w:tc>
        <w:tc>
          <w:tcPr/>
          <w:p>
            <w:pPr>
              <w:pStyle w:val="Compact"/>
            </w:pPr>
            <w:r>
              <w:t xml:space="preserve">Overall status and event counts—not monetary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*_run_log.csv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*_error_log.csv</w:t>
            </w:r>
          </w:p>
        </w:tc>
        <w:tc>
          <w:tcPr/>
          <w:p>
            <w:pPr>
              <w:pStyle w:val="Compact"/>
            </w:pPr>
            <w:r>
              <w:t xml:space="preserve">Every selected event accounted for; investigate 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*_location_rows.csv</w:t>
            </w:r>
          </w:p>
        </w:tc>
        <w:tc>
          <w:tcPr/>
          <w:p>
            <w:pPr>
              <w:pStyle w:val="Compact"/>
            </w:pPr>
            <w:r>
              <w:t xml:space="preserve">Impacted-location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*_account_breakdown.csv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*_location_breakout.csv</w:t>
            </w:r>
          </w:p>
        </w:tc>
        <w:tc>
          <w:tcPr/>
          <w:p>
            <w:pPr>
              <w:pStyle w:val="Compact"/>
            </w:pPr>
            <w:r>
              <w:t xml:space="preserve">Grouped totals reconcile to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edm_exposures.csv</w:t>
            </w:r>
          </w:p>
        </w:tc>
        <w:tc>
          <w:tcPr/>
          <w:p>
            <w:pPr>
              <w:pStyle w:val="Compact"/>
            </w:pPr>
            <w:r>
              <w:t xml:space="preserve">Extract reconciles to independent EDM controls</w:t>
            </w:r>
          </w:p>
        </w:tc>
      </w:tr>
    </w:tbl>
    <w:p>
      <w:pPr>
        <w:pStyle w:val="BodyText"/>
      </w:pPr>
      <w:r>
        <w:t xml:space="preserve">Investigate missing files/headers, join multiplication, invalid geometry/PML,</w:t>
      </w:r>
      <w:r>
        <w:t xml:space="preserve"> </w:t>
      </w:r>
      <w:r>
        <w:t xml:space="preserve">missing policy factors and every zero/no-impact result. A zero is acceptable</w:t>
      </w:r>
      <w:r>
        <w:t xml:space="preserve"> </w:t>
      </w:r>
      <w:r>
        <w:t xml:space="preserve">only with independent evidence that there was genuinely no impact. Do not sum</w:t>
      </w:r>
      <w:r>
        <w:t xml:space="preserve"> </w:t>
      </w:r>
      <w:r>
        <w:t xml:space="preserve">across overlapping events without an approved rule.</w:t>
      </w:r>
    </w:p>
    <w:bookmarkEnd w:id="14"/>
    <w:bookmarkStart w:id="15" w:name="X149e081a552d45d14360ea567bbb5a7e2776f6d"/>
    <w:p>
      <w:pPr>
        <w:pStyle w:val="Heading2"/>
      </w:pPr>
      <w:r>
        <w:t xml:space="preserve">4. Review and deliver</w:t>
      </w:r>
    </w:p>
    <w:p>
      <w:pPr>
        <w:pStyle w:val="FirstParagraph"/>
      </w:pPr>
      <w:r>
        <w:t xml:space="preserve">Retain the full CSV pack, command, configuration/source snapshot, counts,</w:t>
      </w:r>
      <w:r>
        <w:t xml:space="preserve"> </w:t>
      </w:r>
      <w:r>
        <w:t xml:space="preserve">reconciliations and reviewer sign-off. Stop if any selected event or unexplained</w:t>
      </w:r>
      <w:r>
        <w:t xml:space="preserve"> </w:t>
      </w:r>
      <w:r>
        <w:t xml:space="preserve">exception remains unresolved.</w:t>
      </w:r>
    </w:p>
    <w:p>
      <w:pPr>
        <w:pStyle w:val="BodyText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technical reference</w:t>
        </w:r>
      </w:hyperlink>
      <w:r>
        <w:t xml:space="preserve"> </w:t>
      </w:r>
      <w:r>
        <w:t xml:space="preserve">describes exact SQL, spatial</w:t>
      </w:r>
      <w:r>
        <w:t xml:space="preserve"> </w:t>
      </w:r>
      <w:r>
        <w:t xml:space="preserve">selection, status behavior and detailed validation requirements.</w:t>
      </w:r>
    </w:p>
    <w:bookmarkEnd w:id="15"/>
    <w:bookmarkEnd w:id="16"/>
    <w:bookmarkStart w:id="22" w:name="operating-controls-run-checklist"/>
    <w:p>
      <w:pPr>
        <w:pStyle w:val="Heading1"/>
      </w:pPr>
      <w:r>
        <w:t xml:space="preserve">Run checklist</w:t>
      </w:r>
    </w:p>
    <w:p>
      <w:pPr>
        <w:pStyle w:val="FirstParagraph"/>
      </w:pPr>
      <w:hyperlink r:id="rId9">
        <w:r>
          <w:rPr>
            <w:rStyle w:val="Hyperlink"/>
          </w:rPr>
          <w:t xml:space="preserve">Start here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Detailed controls for LLMs/reviewers</w:t>
        </w:r>
      </w:hyperlink>
    </w:p>
    <w:p>
      <w:pPr>
        <w:pStyle w:val="BodyText"/>
      </w:pPr>
      <w:r>
        <w:t xml:space="preserve">Use this alongside your process guide. Keep the evidence in a new, restricted</w:t>
      </w:r>
      <w:r>
        <w:t xml:space="preserve"> </w:t>
      </w:r>
      <w:r>
        <w:t xml:space="preserve">run folder—not in source control. Mark irrelevant checks N/A with a reason.</w:t>
      </w:r>
    </w:p>
    <w:bookmarkStart w:id="18" w:name="operating-controls-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1"/>
        </w:numPr>
      </w:pPr>
      <w:r>
        <w:t xml:space="preserve">Confirm the reporting period, source snapshot, scope and controlled template.</w:t>
      </w:r>
    </w:p>
    <w:p>
      <w:pPr>
        <w:pStyle w:val="Compact"/>
        <w:numPr>
          <w:ilvl w:val="0"/>
          <w:numId w:val="1002"/>
        </w:numPr>
      </w:pPr>
      <w:r>
        <w:t xml:space="preserve">Confirm the approved mappings, retention/proxy rules, scale factors, FX and units.</w:t>
      </w:r>
    </w:p>
    <w:p>
      <w:pPr>
        <w:pStyle w:val="Compact"/>
        <w:numPr>
          <w:ilvl w:val="0"/>
          <w:numId w:val="1003"/>
        </w:numPr>
      </w:pPr>
      <w:r>
        <w:t xml:space="preserve">Record the operator, reviewer, code version, exact command/query and output folder. Keep credentials out of the record.</w:t>
      </w:r>
    </w:p>
    <w:p>
      <w:pPr>
        <w:pStyle w:val="Compact"/>
        <w:numPr>
          <w:ilvl w:val="0"/>
          <w:numId w:val="1004"/>
        </w:numPr>
      </w:pPr>
      <w:r>
        <w:t xml:space="preserve">Agree independent control totals and acceptable differences with the reviewer.</w:t>
      </w:r>
    </w:p>
    <w:p>
      <w:pPr>
        <w:pStyle w:val="Compact"/>
        <w:numPr>
          <w:ilvl w:val="0"/>
          <w:numId w:val="1005"/>
        </w:numPr>
      </w:pPr>
      <w:r>
        <w:t xml:space="preserve">For Excel, work on a copy. Identify input ranges, formulas, tables, pivot sources and external links before changing anything.</w:t>
      </w:r>
    </w:p>
    <w:p>
      <w:pPr>
        <w:pStyle w:val="Compact"/>
        <w:numPr>
          <w:ilvl w:val="0"/>
          <w:numId w:val="1006"/>
        </w:numPr>
      </w:pPr>
      <w:r>
        <w:t xml:space="preserve">Resolve the blockers listed in your guide before doing the affected step.</w:t>
      </w:r>
    </w:p>
    <w:bookmarkEnd w:id="18"/>
    <w:bookmarkStart w:id="19" w:name="operating-controls-run-and-check"/>
    <w:p>
      <w:pPr>
        <w:pStyle w:val="Heading2"/>
      </w:pPr>
      <w:r>
        <w:t xml:space="preserve">Run and check</w:t>
      </w:r>
    </w:p>
    <w:p>
      <w:pPr>
        <w:pStyle w:val="Compact"/>
        <w:numPr>
          <w:ilvl w:val="0"/>
          <w:numId w:val="1007"/>
        </w:numPr>
      </w:pPr>
      <w:r>
        <w:t xml:space="preserve">Save the raw outputs, logs, parameters and row counts. Use a stable snapshot when running multiple queries.</w:t>
      </w:r>
    </w:p>
    <w:p>
      <w:pPr>
        <w:pStyle w:val="Compact"/>
        <w:numPr>
          <w:ilvl w:val="0"/>
          <w:numId w:val="1008"/>
        </w:numPr>
      </w:pPr>
      <w:r>
        <w:t xml:space="preserve">Check joins have not multiplied exposure; investigate missing mappings, geography, currency or other required values.</w:t>
      </w:r>
    </w:p>
    <w:p>
      <w:pPr>
        <w:pStyle w:val="Compact"/>
        <w:numPr>
          <w:ilvl w:val="0"/>
          <w:numId w:val="1009"/>
        </w:numPr>
      </w:pPr>
      <w:r>
        <w:t xml:space="preserve">Reconcile source → raw output → grouped output by relevant entity, peril and geography, including gross/net and FX movements.</w:t>
      </w:r>
    </w:p>
    <w:p>
      <w:pPr>
        <w:pStyle w:val="Compact"/>
        <w:numPr>
          <w:ilvl w:val="0"/>
          <w:numId w:val="1010"/>
        </w:numPr>
      </w:pPr>
      <w:r>
        <w:t xml:space="preserve">Before loading Excel, check headers/order, row counts, currency and units. Replace input rows only; preserve formulas and report areas.</w:t>
      </w:r>
    </w:p>
    <w:p>
      <w:pPr>
        <w:pStyle w:val="Compact"/>
        <w:numPr>
          <w:ilvl w:val="0"/>
          <w:numId w:val="1011"/>
        </w:numPr>
      </w:pPr>
      <w:r>
        <w:t xml:space="preserve">Extend approved formulas and table/pivot ranges to all new rows; remove stale input rows. Do not copy known inconsistent formulas or blindly refresh external links.</w:t>
      </w:r>
    </w:p>
    <w:p>
      <w:pPr>
        <w:pStyle w:val="Compact"/>
        <w:numPr>
          <w:ilvl w:val="0"/>
          <w:numId w:val="1012"/>
        </w:numPr>
      </w:pPr>
      <w:r>
        <w:t xml:space="preserve">Recalculate in Excel and reconcile report totals. Investigate errors, stale values and unexplained movements.</w:t>
      </w:r>
    </w:p>
    <w:bookmarkEnd w:id="19"/>
    <w:bookmarkStart w:id="20" w:name="operating-controls-finish"/>
    <w:p>
      <w:pPr>
        <w:pStyle w:val="Heading2"/>
      </w:pPr>
      <w:r>
        <w:t xml:space="preserve">Finish</w:t>
      </w:r>
    </w:p>
    <w:p>
      <w:pPr>
        <w:pStyle w:val="Compact"/>
        <w:numPr>
          <w:ilvl w:val="0"/>
          <w:numId w:val="1013"/>
        </w:numPr>
      </w:pPr>
      <w:r>
        <w:t xml:space="preserve">Use an approved source-to-destination map for any final-template transfer. Do not choose cells by colour or label alone.</w:t>
      </w:r>
    </w:p>
    <w:p>
      <w:pPr>
        <w:pStyle w:val="Compact"/>
        <w:numPr>
          <w:ilvl w:val="0"/>
          <w:numId w:val="1014"/>
        </w:numPr>
      </w:pPr>
      <w:r>
        <w:t xml:space="preserve">Log each transfer: source file/sheet/range, destination file/sheet/cell, value, measure, currency/unit, as-of date and assumption versions.</w:t>
      </w:r>
    </w:p>
    <w:p>
      <w:pPr>
        <w:pStyle w:val="Compact"/>
        <w:numPr>
          <w:ilvl w:val="0"/>
          <w:numId w:val="1015"/>
        </w:numPr>
      </w:pPr>
      <w:r>
        <w:t xml:space="preserve">Obtain reviewer sign-off and retain inputs, outputs, reconciliations, adjustments and final submission/delivery evidence together.</w:t>
      </w:r>
    </w:p>
    <w:p>
      <w:pPr>
        <w:pStyle w:val="FirstParagraph"/>
      </w:pPr>
      <w:r>
        <w:rPr>
          <w:b/>
          <w:bCs/>
        </w:rPr>
        <w:t xml:space="preserve">Stop if</w:t>
      </w:r>
      <w:r>
        <w:t xml:space="preserve"> </w:t>
      </w:r>
      <w:r>
        <w:t xml:space="preserve">the source or assumptions are unapproved, a formula/pivot/handoff</w:t>
      </w:r>
      <w:r>
        <w:t xml:space="preserve"> </w:t>
      </w:r>
      <w:r>
        <w:t xml:space="preserve">cannot be traced, or differences exceed the agreed tolerance. A successful</w:t>
      </w:r>
      <w:r>
        <w:t xml:space="preserve"> </w:t>
      </w:r>
      <w:r>
        <w:t xml:space="preserve">command or refresh does not mean the return is complete.</w:t>
      </w:r>
    </w:p>
    <w:bookmarkEnd w:id="20"/>
    <w:bookmarkStart w:id="21" w:name="source-identity"/>
    <w:p>
      <w:pPr>
        <w:pStyle w:val="Heading2"/>
      </w:pPr>
      <w:r>
        <w:t xml:space="preserve">Source identity</w:t>
      </w:r>
    </w:p>
    <w:p>
      <w:pPr>
        <w:pStyle w:val="Compact"/>
        <w:numPr>
          <w:ilvl w:val="0"/>
          <w:numId w:val="1016"/>
        </w:numPr>
      </w:pPr>
      <w:r>
        <w:t xml:space="preserve">Git revision:</w:t>
      </w:r>
      <w:r>
        <w:t xml:space="preserve"> </w:t>
      </w:r>
      <w:r>
        <w:rPr>
          <w:rStyle w:val="VerbatimChar"/>
        </w:rPr>
        <w:t xml:space="preserve">7ca91475efc981d1f0bfd8e943e1ef00485716c1</w:t>
      </w:r>
      <w:r>
        <w:t xml:space="preserve"> </w:t>
      </w:r>
      <w:r>
        <w:t xml:space="preserve">(the working tree may contain uncommitted changes).</w:t>
      </w:r>
    </w:p>
    <w:p>
      <w:pPr>
        <w:pStyle w:val="Compact"/>
        <w:numPr>
          <w:ilvl w:val="0"/>
          <w:numId w:val="1016"/>
        </w:numPr>
      </w:pPr>
      <w:r>
        <w:t xml:space="preserve">Builder SHA-256:</w:t>
      </w:r>
      <w:r>
        <w:t xml:space="preserve"> </w:t>
      </w:r>
      <w:r>
        <w:rPr>
          <w:rStyle w:val="VerbatimChar"/>
        </w:rPr>
        <w:t xml:space="preserve">1437fab170f5c71a3ed62a84a3505227ae3f043edb2dca53bc3ba73a413dbcfb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Assembly semantics:</w:t>
      </w:r>
      <w:r>
        <w:t xml:space="preserve"> </w:t>
      </w:r>
      <w:r>
        <w:rPr>
          <w:rStyle w:val="VerbatimChar"/>
        </w:rPr>
        <w:t xml:space="preserve">docx-source-manifest-v1; stable-heading-anchors-v1; generated-link-rebase-v1; human-guides-only-v2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Exact input-doc manifest SHA-256:</w:t>
      </w:r>
      <w:r>
        <w:t xml:space="preserve"> </w:t>
      </w:r>
      <w:r>
        <w:rPr>
          <w:rStyle w:val="VerbatimChar"/>
        </w:rPr>
        <w:t xml:space="preserve">bd070a3f8dd013caf3c8c2e8b150be62bb8a769899562d9a6fe257a4a10f7e17</w:t>
      </w:r>
      <w:r>
        <w:t xml:space="preserve">.</w:t>
      </w:r>
    </w:p>
    <w:p>
      <w:pPr>
        <w:pStyle w:val="FirstParagraph"/>
      </w:pPr>
      <w:r>
        <w:t xml:space="preserve">The per-file hashes below are computed from the current UTF-8 bytes, so uncommitted Markdown edits remain distinguishable even when the Git revision is unchanged: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Included source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docs/global-exposures/runbook.md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3d6c09da6f8390ab7167728e33b01b75b4e621ce1403b23d58ce505307b31994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docs/operating-controls.md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064cd9201e216d0f6c0258c9cc398782448e2f059ed7bbedc14be18691513a00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README.md" TargetMode="External" /><Relationship Type="http://schemas.openxmlformats.org/officeDocument/2006/relationships/hyperlink" Id="rId11" Target="../decisions.md#global-01" TargetMode="External" /><Relationship Type="http://schemas.openxmlformats.org/officeDocument/2006/relationships/hyperlink" Id="rId10" Target="../global-exposures/technical-contract.md" TargetMode="External" /><Relationship Type="http://schemas.openxmlformats.org/officeDocument/2006/relationships/hyperlink" Id="rId17" Target="../llm-instructions.md#detailed-run-contro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README.md" TargetMode="External" /><Relationship Type="http://schemas.openxmlformats.org/officeDocument/2006/relationships/hyperlink" Id="rId11" Target="../decisions.md#global-01" TargetMode="External" /><Relationship Type="http://schemas.openxmlformats.org/officeDocument/2006/relationships/hyperlink" Id="rId10" Target="../global-exposures/technical-contract.md" TargetMode="External" /><Relationship Type="http://schemas.openxmlformats.org/officeDocument/2006/relationships/hyperlink" Id="rId17" Target="../llm-instructions.md#detailed-run-contro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Exposures Runbook</dc:title>
  <dc:creator/>
  <cp:keywords/>
  <dcterms:created xsi:type="dcterms:W3CDTF">2026-09-14T19:26:59Z</dcterms:created>
  <dcterms:modified xsi:type="dcterms:W3CDTF">2026-09-14T19:26:59Z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January 2026</vt:lpwstr>
  </property>
</Properties>
</file>