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 and BSCR Runbook</w:t>
      </w:r>
    </w:p>
    <w:p>
      <w:pPr>
        <w:pStyle w:val="Subtitle"/>
      </w:pPr>
      <w:r>
        <w:t xml:space="preserve">January 2026</w:t>
      </w:r>
    </w:p>
    <w:p>
      <w:pPr>
        <w:pStyle w:val="BlockText"/>
      </w:pPr>
      <w:r>
        <w:t xml:space="preserve">Short operator guide. Detailed technical references are linked, not included. Markdown is the maintained source; use approved inputs and templates for the reporting cycle.</w:t>
      </w:r>
    </w:p>
    <w:bookmarkStart w:id="17" w:name="X9bd69cce32bd188d24a06c08fb51f85c536c5d0"/>
    <w:p>
      <w:pPr>
        <w:pStyle w:val="Heading1"/>
      </w:pPr>
      <w:r>
        <w:t xml:space="preserve">PRA aggregates — operator and manager guide</w:t>
      </w:r>
    </w:p>
    <w:bookmarkStart w:id="9" w:name="Xef80d502d4e840677859f69c069e247d3191dcb"/>
    <w:p>
      <w:pPr>
        <w:pStyle w:val="Heading2"/>
      </w:pPr>
      <w:r>
        <w:t xml:space="preserve">Start here: what this process does</w:t>
      </w:r>
    </w:p>
    <w:p>
      <w:pPr>
        <w:pStyle w:val="FirstParagraph"/>
      </w:pPr>
      <w:r>
        <w:t xml:space="preserve">This guide contains the setup, files, operating steps, checks and stop conditions. No other document is required to understand the workflow.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reviewed earthquake and all-peril aggregates in</w:t>
      </w:r>
      <w:r>
        <w:t xml:space="preserve"> </w:t>
      </w:r>
      <w:r>
        <w:rPr>
          <w:rStyle w:val="VerbatimChar"/>
        </w:rPr>
        <w:t xml:space="preserve">pra/workbooks/PRA_BSCR_Aggs.xlsx</w:t>
      </w:r>
      <w:r>
        <w:t xml:space="preserve">. This is a calculation workbook, not the final PRA return.</w:t>
      </w:r>
    </w:p>
    <w:p>
      <w:pPr>
        <w:pStyle w:val="BodyText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the materials describe January 2026, not approval for a new reporting cycle. The all-peril producer, pivot correction/value fields, currency/mapping rules and final-template handoff remain unapproved. Never use cached January values as a new return.</w:t>
      </w:r>
    </w:p>
    <w:bookmarkEnd w:id="9"/>
    <w:bookmarkStart w:id="10" w:name="pra-runbook-1-files-and-tools"/>
    <w:p>
      <w:pPr>
        <w:pStyle w:val="Heading2"/>
      </w:pPr>
      <w:r>
        <w:t xml:space="preserve">1. Files and tools</w:t>
      </w:r>
    </w:p>
    <w:p>
      <w:pPr>
        <w:pStyle w:val="FirstParagraph"/>
      </w:pPr>
      <w:r>
        <w:t xml:space="preserve">Paths below are relative to the repository folder.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pra/workbooks/PRA_BSCR_Aggs.xlsx</w:t>
            </w:r>
          </w:p>
        </w:tc>
        <w:tc>
          <w:tcPr/>
          <w:p>
            <w:pPr>
              <w:pStyle w:val="Compact"/>
            </w:pPr>
            <w:r>
              <w:t xml:space="preserve">Calculation workbook; work on a copy in a new restricted run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pra/sql/pra-earthquake.sql</w:t>
            </w:r>
          </w:p>
        </w:tc>
        <w:tc>
          <w:tcPr/>
          <w:p>
            <w:pPr>
              <w:pStyle w:val="Compact"/>
            </w:pPr>
            <w:r>
              <w:t xml:space="preserve">Parameterized five-column aggregate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PRA template</w:t>
            </w:r>
          </w:p>
        </w:tc>
        <w:tc>
          <w:tcPr/>
          <w:p>
            <w:pPr>
              <w:pStyle w:val="Compact"/>
            </w:pPr>
            <w:r>
              <w:t xml:space="preserve">Must be supplied and approved by the return owner; not checked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docs/generated/Regulatory-Returns-Operator.xlsx</w:t>
            </w:r>
          </w:p>
        </w:tc>
        <w:tc>
          <w:tcPr/>
          <w:p>
            <w:pPr>
              <w:pStyle w:val="Compact"/>
            </w:pPr>
            <w:r>
              <w:t xml:space="preserve">Optional import/control template, not the PRA calculation workbook</w:t>
            </w:r>
          </w:p>
        </w:tc>
      </w:tr>
    </w:tbl>
    <w:p>
      <w:pPr>
        <w:pStyle w:val="BodyText"/>
      </w:pPr>
      <w:r>
        <w:t xml:space="preserve">Use desktop Excel and approved SQL Server access, normally integrated authentication. The existing run setup specifies ODBC Driver 18; Excel/Power Query manages its own connector. The optional operator workbook has</w:t>
      </w:r>
      <w:r>
        <w:t xml:space="preserve"> </w:t>
      </w:r>
      <w:r>
        <w:rPr>
          <w:b/>
          <w:bCs/>
        </w:rPr>
        <w:t xml:space="preserve">no embedded Power Query connections</w:t>
      </w:r>
      <w:r>
        <w:t xml:space="preserve">. It is not a one-click extraction tool. Operators do not need Python or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for the intended Excel-first route, but an approved separate raw-input producer is still required.</w:t>
      </w:r>
    </w:p>
    <w:p>
      <w:pPr>
        <w:pStyle w:val="BodyText"/>
      </w:pPr>
      <w:r>
        <w:t xml:space="preserve">If a workbook fails to open, preserve the original, retain Excel’s error/repair log and try a fresh raw download under a new local filename. Repair a duplicate only; check formulas, tables and pivots before using a repaired copy.</w:t>
      </w:r>
    </w:p>
    <w:bookmarkEnd w:id="10"/>
    <w:bookmarkStart w:id="11" w:name="pra-runbook-2-manager-authorize-the-run"/>
    <w:p>
      <w:pPr>
        <w:pStyle w:val="Heading2"/>
      </w:pPr>
      <w:r>
        <w:t xml:space="preserve">2. Manager: authorize the run</w:t>
      </w:r>
    </w:p>
    <w:p>
      <w:pPr>
        <w:pStyle w:val="FirstParagraph"/>
      </w:pPr>
      <w:r>
        <w:t xml:space="preserve">Record the reporting period, approved EDM server/database snapshot, peril/policy codes, mappings, retention/proxy rules, FX, units and controlled template. Name the operator and reviewer; record query/code revision and a restricted run folder. Agree independent control totals and acceptable differences. Keep credentials out of the record.</w:t>
      </w:r>
    </w:p>
    <w:p>
      <w:pPr>
        <w:pStyle w:val="BodyText"/>
      </w:pPr>
      <w:r>
        <w:t xml:space="preserve">Close these decisions before the affected step: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Required decision or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Earthquake raw input</w:t>
            </w:r>
          </w:p>
        </w:tc>
        <w:tc>
          <w:tcPr/>
          <w:p>
            <w:pPr>
              <w:pStyle w:val="Compact"/>
            </w:pPr>
            <w:r>
              <w:t xml:space="preserve">Approve a producer of the seven-column raw input; the canonical SQL below supplies only the five-column aggregate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All-peril input</w:t>
            </w:r>
          </w:p>
        </w:tc>
        <w:tc>
          <w:tcPr/>
          <w:p>
            <w:pPr>
              <w:pStyle w:val="Compact"/>
            </w:pPr>
            <w:r>
              <w:t xml:space="preserve">Confirm producer, population and scope; neither an experimental</w:t>
            </w:r>
            <w:r>
              <w:t xml:space="preserve"> </w:t>
            </w:r>
            <w:r>
              <w:rPr>
                <w:rStyle w:val="VerbatimChar"/>
              </w:rPr>
              <w:t xml:space="preserve">1/1</w:t>
            </w:r>
            <w:r>
              <w:t xml:space="preserve"> </w:t>
            </w:r>
            <w:r>
              <w:t xml:space="preserve">route nor a</w:t>
            </w:r>
            <w:r>
              <w:t xml:space="preserve"> </w:t>
            </w:r>
            <w:r>
              <w:rPr>
                <w:rStyle w:val="VerbatimChar"/>
              </w:rPr>
              <w:t xml:space="preserve">4/4</w:t>
            </w:r>
            <w:r>
              <w:t xml:space="preserve"> </w:t>
            </w:r>
            <w:r>
              <w:t xml:space="preserve">query candidate is approved by this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Workbook calculation</w:t>
            </w:r>
          </w:p>
        </w:tc>
        <w:tc>
          <w:tcPr/>
          <w:p>
            <w:pPr>
              <w:pStyle w:val="Compact"/>
            </w:pPr>
            <w:r>
              <w:t xml:space="preserve">Approve pivot sources/value fields, currency, mapping-error treatment and NAHU/retention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handoff</w:t>
            </w:r>
          </w:p>
        </w:tc>
        <w:tc>
          <w:tcPr/>
          <w:p>
            <w:pPr>
              <w:pStyle w:val="Compact"/>
            </w:pPr>
            <w:r>
              <w:t xml:space="preserve">Supply the current PRA template and approved source-range to destination-cell map, including measure, currency/unit and reviewer</w:t>
            </w:r>
          </w:p>
        </w:tc>
      </w:tr>
    </w:tbl>
    <w:bookmarkEnd w:id="11"/>
    <w:bookmarkStart w:id="12" w:name="pra-runbook-3-extract-earthquake-inputs"/>
    <w:p>
      <w:pPr>
        <w:pStyle w:val="Heading2"/>
      </w:pPr>
      <w:r>
        <w:t xml:space="preserve">3. Extract earthquake inputs</w:t>
      </w:r>
    </w:p>
    <w:p>
      <w:pPr>
        <w:pStyle w:val="FirstParagraph"/>
      </w:pPr>
      <w:r>
        <w:t xml:space="preserve">In the approved SQL client, connect to the approved snapshot and open</w:t>
      </w:r>
      <w:r>
        <w:t xml:space="preserve"> </w:t>
      </w:r>
      <w:r>
        <w:rPr>
          <w:rStyle w:val="VerbatimChar"/>
        </w:rPr>
        <w:t xml:space="preserve">pra/sql/pra-earthquake.sql</w:t>
      </w:r>
      <w:r>
        <w:t xml:space="preserve">. Confirm</w:t>
      </w:r>
      <w:r>
        <w:t xml:space="preserve"> </w:t>
      </w:r>
      <w:r>
        <w:rPr>
          <w:rStyle w:val="VerbatimChar"/>
        </w:rPr>
        <w:t xml:space="preserve">@peril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@policy_type</w:t>
      </w:r>
      <w:r>
        <w:t xml:space="preserve">; January earthquake used</w:t>
      </w:r>
      <w:r>
        <w:t xml:space="preserve"> </w:t>
      </w:r>
      <w:r>
        <w:rPr>
          <w:rStyle w:val="VerbatimChar"/>
        </w:rPr>
        <w:t xml:space="preserve">2/2</w:t>
      </w:r>
      <w:r>
        <w:t xml:space="preserve">. Change parameters only, not calculation logic. Execute and export with headers. Retain the query revision, parameters, row count and control totals.</w:t>
      </w:r>
    </w:p>
    <w:p>
      <w:pPr>
        <w:pStyle w:val="BodyText"/>
      </w:pPr>
      <w:r>
        <w:rPr>
          <w:b/>
          <w:bCs/>
        </w:rPr>
        <w:t xml:space="preserve">This SQL produces the five-column aggregate only:</w:t>
      </w:r>
    </w:p>
    <w:p>
      <w:pPr>
        <w:pStyle w:val="SourceCode"/>
      </w:pPr>
      <w:r>
        <w:rPr>
          <w:rStyle w:val="VerbatimChar"/>
        </w:rPr>
        <w:t xml:space="preserve">pml, state, userid1, cntrycode, uwritrname</w:t>
      </w:r>
    </w:p>
    <w:p>
      <w:pPr>
        <w:pStyle w:val="FirstParagraph"/>
      </w:pPr>
      <w:r>
        <w:t xml:space="preserve">Save the reviewed export as</w:t>
      </w:r>
      <w:r>
        <w:t xml:space="preserve"> </w:t>
      </w:r>
      <w:r>
        <w:rPr>
          <w:rStyle w:val="VerbatimChar"/>
        </w:rPr>
        <w:t xml:space="preserve">pra-eq-aggregate.csv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also produce the separate raw input required by the workbook:</w:t>
      </w:r>
    </w:p>
    <w:p>
      <w:pPr>
        <w:pStyle w:val="SourceCode"/>
      </w:pPr>
      <w:r>
        <w:rPr>
          <w:rStyle w:val="VerbatimChar"/>
        </w:rPr>
        <w:t xml:space="preserve">pml, accgrpid, uwritrname, state, userid1, branchname, cntrycode</w:t>
      </w:r>
    </w:p>
    <w:p>
      <w:pPr>
        <w:pStyle w:val="FirstParagraph"/>
      </w:pPr>
      <w:r>
        <w:t xml:space="preserve">The existing technical producer</w:t>
      </w:r>
      <w:r>
        <w:t xml:space="preserve"> </w:t>
      </w:r>
      <w:r>
        <w:rPr>
          <w:rStyle w:val="VerbatimChar"/>
        </w:rPr>
        <w:t xml:space="preserve">bscr/BSCR_UKEU.py</w:t>
      </w:r>
      <w:r>
        <w:t xml:space="preserve"> </w:t>
      </w:r>
      <w:r>
        <w:t xml:space="preserve">has separate</w:t>
      </w:r>
      <w:r>
        <w:t xml:space="preserve"> </w:t>
      </w:r>
      <w:r>
        <w:rPr>
          <w:rStyle w:val="VerbatimChar"/>
        </w:rPr>
        <w:t xml:space="preserve">--pra-raw-output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--pra-aggregate-output</w:t>
      </w:r>
      <w:r>
        <w:t xml:space="preserve"> </w:t>
      </w:r>
      <w:r>
        <w:t xml:space="preserve">options. The technical owner must supply and approve the raw export as</w:t>
      </w:r>
      <w:r>
        <w:t xml:space="preserve"> </w:t>
      </w:r>
      <w:r>
        <w:rPr>
          <w:rStyle w:val="VerbatimChar"/>
        </w:rPr>
        <w:t xml:space="preserve">pra-eq-raw.csv</w:t>
      </w:r>
      <w:r>
        <w:t xml:space="preserve">, or approve an equivalent producer. Use the same approved snapshot and parameters for both inputs. Do not reconstruct raw rows from an aggregate or paste the aggregate into the raw tab.</w:t>
      </w:r>
    </w:p>
    <w:p>
      <w:pPr>
        <w:pStyle w:val="BodyText"/>
      </w:pPr>
      <w:r>
        <w:t xml:space="preserve">Check output headers/order, row counts, required nulls, duplicate keys at the approved grain and join multiplication. Reconcile raw and aggregate</w:t>
      </w:r>
      <w:r>
        <w:t xml:space="preserve"> </w:t>
      </w:r>
      <w:r>
        <w:rPr>
          <w:rStyle w:val="VerbatimChar"/>
        </w:rPr>
        <w:t xml:space="preserve">pml</w:t>
      </w:r>
      <w:r>
        <w:t xml:space="preserve"> </w:t>
      </w:r>
      <w:r>
        <w:t xml:space="preserve">totals. Stop on failed/partial output or an unavailable required producer.</w:t>
      </w:r>
    </w:p>
    <w:bookmarkEnd w:id="12"/>
    <w:bookmarkStart w:id="13" w:name="X3720a580026f8f81b19113cd4af0106fa7e8951"/>
    <w:p>
      <w:pPr>
        <w:pStyle w:val="Heading2"/>
      </w:pPr>
      <w:r>
        <w:t xml:space="preserve">4. Load the calculation workbook</w:t>
      </w:r>
    </w:p>
    <w:p>
      <w:pPr>
        <w:pStyle w:val="FirstParagraph"/>
      </w:pPr>
      <w:r>
        <w:t xml:space="preserve">Inspect input ranges, formulas, tables, pivot sources and external links first. Clear old input rows only; keep headers and report areas. Paste</w:t>
      </w:r>
      <w:r>
        <w:t xml:space="preserve"> </w:t>
      </w:r>
      <w:r>
        <w:rPr>
          <w:b/>
          <w:bCs/>
        </w:rPr>
        <w:t xml:space="preserve">data without headers</w:t>
      </w:r>
      <w:r>
        <w:t xml:space="preserve">, starting at row 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Preserve and extend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  <w:r>
              <w:t xml:space="preserve"> </w:t>
            </w:r>
            <w:r>
              <w:rPr>
                <w:rStyle w:val="VerbatimChar"/>
              </w:rPr>
              <w:t xml:space="preserve">pra-eq-raw.csv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raw_data_for_bscr_splits_eq!A:G</w:t>
            </w:r>
          </w:p>
        </w:tc>
        <w:tc>
          <w:tcPr/>
          <w:p>
            <w:pPr>
              <w:pStyle w:val="Compact"/>
            </w:pPr>
            <w:r>
              <w:t xml:space="preserve">Formulas H:P and</w:t>
            </w:r>
            <w:r>
              <w:t xml:space="preserve"> </w:t>
            </w:r>
            <w:r>
              <w:rPr>
                <w:rStyle w:val="VerbatimChar"/>
              </w:rPr>
              <w:t xml:space="preserve">Table2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  <w:r>
              <w:t xml:space="preserve"> </w:t>
            </w:r>
            <w:r>
              <w:rPr>
                <w:rStyle w:val="VerbatimChar"/>
              </w:rPr>
              <w:t xml:space="preserve">pra-eq-aggregate.csv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pivot_eq!A:E</w:t>
            </w:r>
          </w:p>
        </w:tc>
        <w:tc>
          <w:tcPr/>
          <w:p>
            <w:pPr>
              <w:pStyle w:val="Compact"/>
            </w:pPr>
            <w:r>
              <w:t xml:space="preserve">Formulas F:M and</w:t>
            </w:r>
            <w:r>
              <w:t xml:space="preserve"> </w:t>
            </w:r>
            <w:r>
              <w:rPr>
                <w:rStyle w:val="VerbatimChar"/>
              </w:rPr>
              <w:t xml:space="preserve">Table32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all-peril five-column aggregate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pivot_allperil!A:E</w:t>
            </w:r>
          </w:p>
        </w:tc>
        <w:tc>
          <w:tcPr/>
          <w:p>
            <w:pPr>
              <w:pStyle w:val="Compact"/>
            </w:pPr>
            <w:r>
              <w:t xml:space="preserve">Formulas F:M and</w:t>
            </w:r>
            <w:r>
              <w:t xml:space="preserve"> </w:t>
            </w:r>
            <w:r>
              <w:rPr>
                <w:rStyle w:val="VerbatimChar"/>
              </w:rPr>
              <w:t xml:space="preserve">Table3</w:t>
            </w:r>
          </w:p>
        </w:tc>
      </w:tr>
    </w:tbl>
    <w:p>
      <w:pPr>
        <w:pStyle w:val="BodyText"/>
      </w:pPr>
      <w:r>
        <w:t xml:space="preserve">Resize tables to cover all new rows and remove stale input rows. Do not overwrite formulas or copy known inconsistent formulas into new rows. No all-peril raw destination is documented; do not invent one.</w:t>
      </w:r>
    </w:p>
    <w:bookmarkEnd w:id="13"/>
    <w:bookmarkStart w:id="14" w:name="Xbd722e87f9b54ffd715ba03db60f044712c509b"/>
    <w:p>
      <w:pPr>
        <w:pStyle w:val="Heading2"/>
      </w:pPr>
      <w:r>
        <w:t xml:space="preserve">5. Correct approved pivots, then refresh</w:t>
      </w:r>
    </w:p>
    <w:p>
      <w:pPr>
        <w:pStyle w:val="FirstParagraph"/>
      </w:pPr>
      <w:r>
        <w:t xml:space="preserve">The checked-in earthquake pivots use the</w:t>
      </w:r>
      <w:r>
        <w:t xml:space="preserve"> </w:t>
      </w:r>
      <w:r>
        <w:rPr>
          <w:b/>
          <w:bCs/>
        </w:rPr>
        <w:t xml:space="preserve">wrong all-peril cache</w:t>
      </w:r>
      <w:r>
        <w:t xml:space="preserve">. Under the owner’s approved correction, point earthquake pivots to</w:t>
      </w:r>
      <w:r>
        <w:t xml:space="preserve"> </w:t>
      </w:r>
      <w:r>
        <w:rPr>
          <w:rStyle w:val="VerbatimChar"/>
        </w:rPr>
        <w:t xml:space="preserve">Table32</w:t>
      </w:r>
      <w:r>
        <w:t xml:space="preserve">; all-peril pivots use</w:t>
      </w:r>
      <w:r>
        <w:t xml:space="preserve"> </w:t>
      </w:r>
      <w:r>
        <w:rPr>
          <w:rStyle w:val="VerbatimChar"/>
        </w:rPr>
        <w:t xml:space="preserve">Table3</w:t>
      </w:r>
      <w:r>
        <w:t xml:space="preserve">. Confirm value fields and currency/unit basis before refreshing. Do not blindly refresh external links.</w:t>
      </w:r>
    </w:p>
    <w:p>
      <w:pPr>
        <w:pStyle w:val="BodyText"/>
      </w:pPr>
      <w:r>
        <w:t xml:space="preserve">Refresh only approved pivots, recalculate in desktop Excel, and reconcile source → raw/aggregate inputs → formula/table totals → pivots by the relevant entity, geography and peril. Investigate mapping errors, missing rows, Excel errors and unexplained movements. Use current-period independent controls, not January cached totals as a target.</w:t>
      </w:r>
    </w:p>
    <w:p>
      <w:pPr>
        <w:pStyle w:val="BodyText"/>
      </w:pPr>
      <w:r>
        <w:t xml:space="preserve">Stop if the pivot correction, source, measure or currency cannot be traced, or a difference exceeds the reviewer’s tolerance.</w:t>
      </w:r>
    </w:p>
    <w:bookmarkEnd w:id="14"/>
    <w:bookmarkStart w:id="15" w:name="X446b208f4450dca01a94ad8a478fd7bfd8580a9"/>
    <w:p>
      <w:pPr>
        <w:pStyle w:val="Heading2"/>
      </w:pPr>
      <w:r>
        <w:t xml:space="preserve">6. Complete all-peril and transfer</w:t>
      </w:r>
    </w:p>
    <w:p>
      <w:pPr>
        <w:pStyle w:val="FirstParagraph"/>
      </w:pPr>
      <w:r>
        <w:t xml:space="preserve">All-peril work remains blocked until the owner approves its producer and population. The same SQL can technically be parameterized with</w:t>
      </w:r>
      <w:r>
        <w:t xml:space="preserve"> </w:t>
      </w:r>
      <w:r>
        <w:rPr>
          <w:rStyle w:val="VerbatimChar"/>
        </w:rPr>
        <w:t xml:space="preserve">4/4</w:t>
      </w:r>
      <w:r>
        <w:t xml:space="preserve">, while historical technical instructions also describe an experimental</w:t>
      </w:r>
      <w:r>
        <w:t xml:space="preserve"> </w:t>
      </w:r>
      <w:r>
        <w:rPr>
          <w:rStyle w:val="VerbatimChar"/>
        </w:rPr>
        <w:t xml:space="preserve">1/1</w:t>
      </w:r>
      <w:r>
        <w:t xml:space="preserve"> </w:t>
      </w:r>
      <w:r>
        <w:t xml:space="preserve">candidate. Neither establishes the required all-peril scope. The operator must not choose between them without approval.</w:t>
      </w:r>
    </w:p>
    <w:p>
      <w:pPr>
        <w:pStyle w:val="BodyText"/>
      </w:pPr>
      <w:r>
        <w:t xml:space="preserve">After approval, load the five-column all-peril aggregate into the destination above and repeat the table, formula, pivot and reconciliation checks.</w:t>
      </w:r>
    </w:p>
    <w:p>
      <w:pPr>
        <w:pStyle w:val="BodyText"/>
      </w:pPr>
      <w:r>
        <w:t xml:space="preserve">Transfer reviewed results only using an approved final-template map. The final PRA template and approved map are not checked in. Do not infer destination cells from formatting, matching labels, cached values or legacy BSCR panels; those panels are incomplete aids, not final PRA outputs.</w:t>
      </w:r>
    </w:p>
    <w:p>
      <w:pPr>
        <w:pStyle w:val="BodyText"/>
      </w:pPr>
      <w:r>
        <w:t xml:space="preserve">For each transfer, record source file/sheet/range, destination file/sheet/cell, value, measure, currency/unit, as-of date, assumption versions and reviewer. Recalculate and reconcile the final template, then obtain reviewer sign-off.</w:t>
      </w:r>
    </w:p>
    <w:bookmarkEnd w:id="15"/>
    <w:bookmarkStart w:id="16" w:name="pra-runbook-7-retain-the-run-evidence"/>
    <w:p>
      <w:pPr>
        <w:pStyle w:val="Heading2"/>
      </w:pPr>
      <w:r>
        <w:t xml:space="preserve">7. Retain the run evidence</w:t>
      </w:r>
    </w:p>
    <w:p>
      <w:pPr>
        <w:pStyle w:val="FirstParagraph"/>
      </w:pPr>
      <w:r>
        <w:t xml:space="preserve">Keep raw and aggregate exports, calculation/final workbooks, query/code revision, server/database, parameters, row counts, control totals, mapping/FX versions, exception decisions, reconciliations, transfer records and sign-off together in the restricted run folder, not source control. Keep credentials out of all evidence.</w:t>
      </w:r>
    </w:p>
    <w:p>
      <w:pPr>
        <w:pStyle w:val="BodyText"/>
      </w:pPr>
      <w:r>
        <w:rPr>
          <w:b/>
          <w:bCs/>
        </w:rPr>
        <w:t xml:space="preserve">A successful query or pivot refresh is not a completed or approved PRA return.</w:t>
      </w:r>
    </w:p>
    <w:bookmarkEnd w:id="16"/>
    <w:bookmarkEnd w:id="17"/>
    <w:bookmarkStart w:id="28" w:name="X22311df267ec95c6359bf2b721f1083c41a1115"/>
    <w:p>
      <w:pPr>
        <w:pStyle w:val="Heading1"/>
      </w:pPr>
      <w:r>
        <w:t xml:space="preserve">BSCR Schedule X — operator and manager guide</w:t>
      </w:r>
    </w:p>
    <w:bookmarkStart w:id="18" w:name="Xb66be5a50741f2d9a9fb4674fec54a0204177cf"/>
    <w:p>
      <w:pPr>
        <w:pStyle w:val="Heading2"/>
      </w:pPr>
      <w:r>
        <w:t xml:space="preserve">Start here: what this process does</w:t>
      </w:r>
    </w:p>
    <w:p>
      <w:pPr>
        <w:pStyle w:val="FirstParagraph"/>
      </w:pPr>
      <w:r>
        <w:t xml:space="preserve">This guide contains the setup, file list, operating steps, checks and stop conditions. No other document is required to understand the workflow.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reviewed exposure inputs for HIC Schedule X, not a complete return. EP curves, premiums, narratives, model classifications and distinct contract counts require separately approved sources.</w:t>
      </w:r>
    </w:p>
    <w:p>
      <w:pPr>
        <w:pStyle w:val="BodyText"/>
      </w:pPr>
      <w:r>
        <w:rPr>
          <w:b/>
          <w:bCs/>
        </w:rPr>
        <w:t xml:space="preserve">Current status: not an unattended or production-approved Excel refresh.</w:t>
      </w:r>
      <w:r>
        <w:t xml:space="preserve"> </w:t>
      </w:r>
      <w:r>
        <w:t xml:space="preserve">The checked-in materials describe the January 2026 implementation. The source-to-workbook transformation, static consolidation, calculation assumptions and final-template handoff need approval before the affected steps can run.</w:t>
      </w:r>
    </w:p>
    <w:bookmarkEnd w:id="18"/>
    <w:bookmarkStart w:id="20" w:name="bscr-runbook-1-files-to-open"/>
    <w:p>
      <w:pPr>
        <w:pStyle w:val="Heading2"/>
      </w:pPr>
      <w:r>
        <w:t xml:space="preserve">1. Files to open</w:t>
      </w:r>
    </w:p>
    <w:p>
      <w:pPr>
        <w:pStyle w:val="FirstParagraph"/>
      </w:pPr>
      <w:r>
        <w:t xml:space="preserve">All paths below are relative to the repository folder. Make working copies in a new restricted run folder; never overwrite the originals.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bscr/workbooks/Workings_with_geocodingFW - Including blanks USD.xlsx</w:t>
            </w:r>
          </w:p>
        </w:tc>
        <w:tc>
          <w:tcPr/>
          <w:p>
            <w:pPr>
              <w:pStyle w:val="Compact"/>
            </w:pPr>
            <w:r>
              <w:t xml:space="preserve">Calculation workbook: input, formulas, consolidation and reporting pivots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bscr/workbooks/2026 BSCR - UKEU - HIC.xlsx</w:t>
            </w:r>
          </w:p>
        </w:tc>
        <w:tc>
          <w:tcPr/>
          <w:p>
            <w:pPr>
              <w:pStyle w:val="Compact"/>
            </w:pPr>
            <w:r>
              <w:t xml:space="preserve">Final template; confirm the approved current-cycle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bscr/sql/bscr-extract.sql</w:t>
            </w:r>
          </w:p>
        </w:tc>
        <w:tc>
          <w:tcPr/>
          <w:p>
            <w:pPr>
              <w:pStyle w:val="Compact"/>
            </w:pPr>
            <w:r>
              <w:t xml:space="preserve">Parameterized SQL source extraction, not a workbook-ready seven-column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docs/generated/Regulatory-Returns-Operator.xlsx</w:t>
            </w:r>
          </w:p>
        </w:tc>
        <w:tc>
          <w:tcPr/>
          <w:p>
            <w:pPr>
              <w:pStyle w:val="Compact"/>
            </w:pPr>
            <w:r>
              <w:t xml:space="preserve">Optional import/control template, not the calculation workbook and not a connected extraction tool</w:t>
            </w:r>
          </w:p>
        </w:tc>
      </w:tr>
    </w:tbl>
    <w:p>
      <w:pPr>
        <w:pStyle w:val="BodyText"/>
      </w:pPr>
      <w:r>
        <w:t xml:space="preserve">The calculation workbook and HIC template are</w:t>
      </w:r>
      <w:r>
        <w:t xml:space="preserve"> </w:t>
      </w:r>
      <w:r>
        <w:rPr>
          <w:b/>
          <w:bCs/>
        </w:rPr>
        <w:t xml:space="preserve">not formula-linked</w:t>
      </w:r>
      <w:r>
        <w:t xml:space="preserve">. Updating one does not populate the other. The optional operator workbook has no embedded Power Query connections.</w:t>
      </w:r>
    </w:p>
    <w:bookmarkStart w:id="19" w:name="Xbfe653c57394a911d3b4188f7d0ae2514e0dc04"/>
    <w:p>
      <w:pPr>
        <w:pStyle w:val="Heading3"/>
      </w:pPr>
      <w:r>
        <w:t xml:space="preserve">If the workings workbook will not open</w:t>
      </w:r>
    </w:p>
    <w:p>
      <w:pPr>
        <w:pStyle w:val="FirstParagraph"/>
      </w:pPr>
      <w:r>
        <w:t xml:space="preserve">Stop the load. Keep the failing file unchanged and retain Excel’s exact error and any repair log. Download a fresh raw workbook file, save it locally under a new name and try desktop Excel. Repair a duplicate only. Any repaired copy needs formula and pivot checks before use.</w:t>
      </w:r>
    </w:p>
    <w:p>
      <w:pPr>
        <w:pStyle w:val="BodyText"/>
      </w:pPr>
      <w:r>
        <w:t xml:space="preserve">The repository copy passes ZIP/XML integrity checks and loads with a spreadsheet parser. That is not proof of a clean desktop Excel open or successful recalculation; desktop Excel verification remains outstanding.</w:t>
      </w:r>
    </w:p>
    <w:bookmarkEnd w:id="19"/>
    <w:bookmarkEnd w:id="20"/>
    <w:bookmarkStart w:id="22" w:name="bscr-runbook-2-manager-authorize-the-run"/>
    <w:p>
      <w:pPr>
        <w:pStyle w:val="Heading2"/>
      </w:pPr>
      <w:r>
        <w:t xml:space="preserve">2. Manager: authorize the run</w:t>
      </w:r>
    </w:p>
    <w:p>
      <w:pPr>
        <w:pStyle w:val="FirstParagraph"/>
      </w:pPr>
      <w:r>
        <w:t xml:space="preserve">Before the operator changes any inputs, record:</w:t>
      </w:r>
    </w:p>
    <w:p>
      <w:pPr>
        <w:pStyle w:val="Compact"/>
        <w:numPr>
          <w:ilvl w:val="0"/>
          <w:numId w:val="1001"/>
        </w:numPr>
      </w:pPr>
      <w:r>
        <w:t xml:space="preserve">Reporting period, approved EDM server/database snapshot and current-cycle template.</w:t>
      </w:r>
    </w:p>
    <w:p>
      <w:pPr>
        <w:pStyle w:val="Compact"/>
        <w:numPr>
          <w:ilvl w:val="0"/>
          <w:numId w:val="1001"/>
        </w:numPr>
      </w:pPr>
      <w:r>
        <w:t xml:space="preserve">Approved peril and policy codes; January used</w:t>
      </w:r>
      <w:r>
        <w:t xml:space="preserve"> </w:t>
      </w:r>
      <w:r>
        <w:rPr>
          <w:rStyle w:val="VerbatimChar"/>
        </w:rPr>
        <w:t xml:space="preserve">1/1</w:t>
      </w:r>
      <w:r>
        <w:t xml:space="preserve">, not an automatic default for another cycle.</w:t>
      </w:r>
    </w:p>
    <w:p>
      <w:pPr>
        <w:pStyle w:val="Compact"/>
        <w:numPr>
          <w:ilvl w:val="0"/>
          <w:numId w:val="1001"/>
        </w:numPr>
      </w:pPr>
      <w:r>
        <w:t xml:space="preserve">Approved entity/geography mappings, retention rules, FX and units.</w:t>
      </w:r>
    </w:p>
    <w:p>
      <w:pPr>
        <w:pStyle w:val="Compact"/>
        <w:numPr>
          <w:ilvl w:val="0"/>
          <w:numId w:val="1001"/>
        </w:numPr>
      </w:pPr>
      <w:r>
        <w:t xml:space="preserve">Operator, reviewer, query/code revision, run folder and assumption versions.</w:t>
      </w:r>
    </w:p>
    <w:p>
      <w:pPr>
        <w:pStyle w:val="Compact"/>
        <w:numPr>
          <w:ilvl w:val="0"/>
          <w:numId w:val="1001"/>
        </w:numPr>
      </w:pPr>
      <w:r>
        <w:t xml:space="preserve">Independent control totals and acceptable differences.</w:t>
      </w:r>
    </w:p>
    <w:p>
      <w:pPr>
        <w:pStyle w:val="FirstParagraph"/>
      </w:pPr>
      <w:r>
        <w:t xml:space="preserve">Operators need desktop Microsoft Excel and approved SQL Server access, normally integrated authentication. The existing run setup specifies ODBC Driver 18; Excel/Power Query manages its own connector. Do not store credentials in files or logs. Operators do not need Python or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for the intended Excel-first route, but that route is not complete until an approved workbook-ready producer is supplied.</w:t>
      </w:r>
    </w:p>
    <w:bookmarkStart w:id="21" w:name="X831ff6ca49dfb93428d5454d8698a86a6e055b8"/>
    <w:p>
      <w:pPr>
        <w:pStyle w:val="Heading3"/>
      </w:pPr>
      <w:r>
        <w:t xml:space="preserve">Decisions the manager must close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Required decision or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transformation and calculation rules</w:t>
            </w:r>
          </w:p>
        </w:tc>
        <w:tc>
          <w:tcPr/>
          <w:p>
            <w:pPr>
              <w:pStyle w:val="Compact"/>
            </w:pPr>
            <w:r>
              <w:t xml:space="preserve">Approve policy join/grain diagnostics, geography and retention rules, FX, and a producer of the seven-column workbook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consolidation</w:t>
            </w:r>
          </w:p>
        </w:tc>
        <w:tc>
          <w:tcPr/>
          <w:p>
            <w:pPr>
              <w:pStyle w:val="Compact"/>
            </w:pPr>
            <w:r>
              <w:t xml:space="preserve">Approve how</w:t>
            </w:r>
            <w:r>
              <w:t xml:space="preserve"> </w:t>
            </w:r>
            <w:r>
              <w:rPr>
                <w:rStyle w:val="VerbatimChar"/>
              </w:rPr>
              <w:t xml:space="preserve">Sheet1</w:t>
            </w:r>
            <w:r>
              <w:t xml:space="preserve"> </w:t>
            </w:r>
            <w:r>
              <w:t xml:space="preserve">becomes</w:t>
            </w:r>
            <w:r>
              <w:t xml:space="preserve"> </w:t>
            </w:r>
            <w:r>
              <w:rPr>
                <w:rStyle w:val="VerbatimChar"/>
              </w:rPr>
              <w:t xml:space="preserve">output!A:F</w:t>
            </w:r>
            <w:r>
              <w:t xml:space="preserve">: grouping keys, aggregation, clearing old groups, formula coverage and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handoff</w:t>
            </w:r>
          </w:p>
        </w:tc>
        <w:tc>
          <w:tcPr/>
          <w:p>
            <w:pPr>
              <w:pStyle w:val="Compact"/>
            </w:pPr>
            <w:r>
              <w:t xml:space="preserve">Approve source ranges to HIC destination cells, measures, currency/units and supplemental sources, including distinct-contract methodology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HIC template</w:t>
            </w:r>
          </w:p>
        </w:tc>
        <w:tc>
          <w:tcPr/>
          <w:p>
            <w:pPr>
              <w:pStyle w:val="Compact"/>
            </w:pPr>
            <w:r>
              <w:t xml:space="preserve">Resolve documented</w:t>
            </w:r>
            <w:r>
              <w:t xml:space="preserve"> </w:t>
            </w:r>
            <w:r>
              <w:rPr>
                <w:rStyle w:val="VerbatimChar"/>
              </w:rPr>
              <w:t xml:space="preserve">#REF!</w:t>
            </w:r>
            <w:r>
              <w:t xml:space="preserve"> </w:t>
            </w:r>
            <w:r>
              <w:t xml:space="preserve">formulas and old external links; approve the current-cycle template</w:t>
            </w:r>
          </w:p>
        </w:tc>
      </w:tr>
    </w:tbl>
    <w:p>
      <w:pPr>
        <w:pStyle w:val="BodyText"/>
      </w:pPr>
      <w:r>
        <w:t xml:space="preserve">Do not ask the operator to infer these decisions from cell colours, cached values or prior-year layouts.</w:t>
      </w:r>
    </w:p>
    <w:bookmarkEnd w:id="21"/>
    <w:bookmarkEnd w:id="22"/>
    <w:bookmarkStart w:id="23" w:name="Xb75aad3fb085aca5292af99b3ee5126a5d1d5f2"/>
    <w:p>
      <w:pPr>
        <w:pStyle w:val="Heading2"/>
      </w:pPr>
      <w:r>
        <w:t xml:space="preserve">3. Extract source data — do not paste it directly into Sheet1</w:t>
      </w:r>
    </w:p>
    <w:p>
      <w:pPr>
        <w:pStyle w:val="FirstParagraph"/>
      </w:pPr>
      <w:r>
        <w:t xml:space="preserve">In the approved SQL client, connect to the approved snapshot, open</w:t>
      </w:r>
      <w:r>
        <w:t xml:space="preserve"> </w:t>
      </w:r>
      <w:r>
        <w:rPr>
          <w:rStyle w:val="VerbatimChar"/>
        </w:rPr>
        <w:t xml:space="preserve">bscr/sql/bscr-extract.sql</w:t>
      </w:r>
      <w:r>
        <w:t xml:space="preserve">, and set</w:t>
      </w:r>
      <w:r>
        <w:t xml:space="preserve"> </w:t>
      </w:r>
      <w:r>
        <w:rPr>
          <w:rStyle w:val="VerbatimChar"/>
        </w:rPr>
        <w:t xml:space="preserve">@peril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@policy_type</w:t>
      </w:r>
      <w:r>
        <w:t xml:space="preserve"> </w:t>
      </w:r>
      <w:r>
        <w:t xml:space="preserve">to the approved cycle values. Execute without changing calculation logic. Export with headers and retain the query revision, parameters, row count and source control totals.</w:t>
      </w:r>
    </w:p>
    <w:p>
      <w:pPr>
        <w:pStyle w:val="BodyText"/>
      </w:pPr>
      <w:r>
        <w:rPr>
          <w:b/>
          <w:bCs/>
        </w:rPr>
        <w:t xml:space="preserve">The SQL returns eight source columns:</w:t>
      </w:r>
    </w:p>
    <w:p>
      <w:pPr>
        <w:pStyle w:val="SourceCode"/>
      </w:pPr>
      <w:r>
        <w:rPr>
          <w:rStyle w:val="VerbatimChar"/>
        </w:rPr>
        <w:t xml:space="preserve">pml, accgrpid, uwritrname, state, userid1, branchname, cntrycode, is_geocoded</w:t>
      </w:r>
    </w:p>
    <w:p>
      <w:pPr>
        <w:pStyle w:val="FirstParagraph"/>
      </w:pPr>
      <w:r>
        <w:rPr>
          <w:b/>
          <w:bCs/>
        </w:rPr>
        <w:t xml:space="preserve">The calculation workbook requires seven transformed columns, in this order:</w:t>
      </w:r>
    </w:p>
    <w:p>
      <w:pPr>
        <w:pStyle w:val="SourceCode"/>
      </w:pPr>
      <w:r>
        <w:rPr>
          <w:rStyle w:val="VerbatimChar"/>
        </w:rPr>
        <w:t xml:space="preserve">cntrycode, bscr_entity, region, sum_pml, sum_net, count_policies, is_geocoded</w:t>
      </w:r>
    </w:p>
    <w:p>
      <w:pPr>
        <w:pStyle w:val="FirstParagraph"/>
      </w:pPr>
      <w:r>
        <w:t xml:space="preserve">These are not interchangeable. Renaming or deleting headers does not perform the required entity, region, retention and aggregation calculations.</w:t>
      </w:r>
    </w:p>
    <w:p>
      <w:pPr>
        <w:pStyle w:val="BodyText"/>
      </w:pPr>
      <w:r>
        <w:t xml:space="preserve">The existing technical producer is</w:t>
      </w:r>
      <w:r>
        <w:t xml:space="preserve"> </w:t>
      </w:r>
      <w:r>
        <w:rPr>
          <w:rStyle w:val="VerbatimChar"/>
        </w:rPr>
        <w:t xml:space="preserve">bscr/BSCR_UKEU.py</w:t>
      </w:r>
      <w:r>
        <w:t xml:space="preserve">, which can produce</w:t>
      </w:r>
      <w:r>
        <w:t xml:space="preserve"> </w:t>
      </w:r>
      <w:r>
        <w:rPr>
          <w:rStyle w:val="VerbatimChar"/>
        </w:rPr>
        <w:t xml:space="preserve">bscr-output.csv</w:t>
      </w:r>
      <w:r>
        <w:t xml:space="preserve"> </w:t>
      </w:r>
      <w:r>
        <w:t xml:space="preserve">and a separate source export. A technical owner must supply and approve the workbook-ready output, or approve an equivalent SQL/Power Query implementation. This guide does not imply that</w:t>
      </w:r>
      <w:r>
        <w:t xml:space="preserve"> </w:t>
      </w:r>
      <w:r>
        <w:rPr>
          <w:rStyle w:val="VerbatimChar"/>
        </w:rPr>
        <w:t xml:space="preserve">bscr-extract.sql</w:t>
      </w:r>
      <w:r>
        <w:t xml:space="preserve"> </w:t>
      </w:r>
      <w:r>
        <w:t xml:space="preserve">alone implements that transformation.</w:t>
      </w:r>
      <w:r>
        <w:t xml:space="preserve"> </w:t>
      </w:r>
      <w:r>
        <w:rPr>
          <w:b/>
          <w:bCs/>
        </w:rPr>
        <w:t xml:space="preserve">If only the eight-column SQL export is available, stop before loading Excel.</w:t>
      </w:r>
    </w:p>
    <w:p>
      <w:pPr>
        <w:pStyle w:val="BodyText"/>
      </w:pPr>
      <w:r>
        <w:t xml:space="preserve">Check headers/order, row count, nulls, duplicate keys at the approved grain, join multiplication and source totals. A failed query or partial export is a stop condition.</w:t>
      </w:r>
    </w:p>
    <w:bookmarkEnd w:id="23"/>
    <w:bookmarkStart w:id="25" w:name="Xa7cbeddc5f4f32ef4a29cda0c2519a9151c7ea8"/>
    <w:p>
      <w:pPr>
        <w:pStyle w:val="Heading2"/>
      </w:pPr>
      <w:r>
        <w:t xml:space="preserve">4. Load the calculation workbook</w:t>
      </w:r>
    </w:p>
    <w:p>
      <w:pPr>
        <w:pStyle w:val="FirstParagraph"/>
      </w:pPr>
      <w:r>
        <w:t xml:space="preserve">Only continue with an approved seven-column</w:t>
      </w:r>
      <w:r>
        <w:t xml:space="preserve"> </w:t>
      </w:r>
      <w:r>
        <w:rPr>
          <w:rStyle w:val="VerbatimChar"/>
        </w:rPr>
        <w:t xml:space="preserve">bscr-output.csv</w:t>
      </w:r>
      <w:r>
        <w:t xml:space="preserve"> </w:t>
      </w:r>
      <w:r>
        <w:t xml:space="preserve">and an approved consolidation procedure.</w:t>
      </w:r>
    </w:p>
    <w:p>
      <w:pPr>
        <w:pStyle w:val="Compact"/>
        <w:numPr>
          <w:ilvl w:val="0"/>
          <w:numId w:val="1002"/>
        </w:numPr>
      </w:pPr>
      <w:r>
        <w:t xml:space="preserve">Open the working copy. Review</w:t>
      </w:r>
      <w:r>
        <w:t xml:space="preserve"> </w:t>
      </w:r>
      <w:r>
        <w:rPr>
          <w:rStyle w:val="VerbatimChar"/>
        </w:rPr>
        <w:t xml:space="preserve">AUDIT_SUMMARY</w:t>
      </w:r>
      <w:r>
        <w:t xml:space="preserve">, input ranges, formulas and pivot sources without refreshing external connections.</w:t>
      </w:r>
    </w:p>
    <w:p>
      <w:pPr>
        <w:pStyle w:val="Compact"/>
        <w:numPr>
          <w:ilvl w:val="0"/>
          <w:numId w:val="1002"/>
        </w:numPr>
      </w:pPr>
      <w:r>
        <w:t xml:space="preserve">Clear old input rows in</w:t>
      </w:r>
      <w:r>
        <w:t xml:space="preserve"> </w:t>
      </w:r>
      <w:r>
        <w:rPr>
          <w:rStyle w:val="VerbatimChar"/>
        </w:rPr>
        <w:t xml:space="preserve">Sheet1!A:G</w:t>
      </w:r>
      <w:r>
        <w:t xml:space="preserve"> </w:t>
      </w:r>
      <w:r>
        <w:t xml:space="preserve">only. Keep the header row.</w:t>
      </w:r>
    </w:p>
    <w:p>
      <w:pPr>
        <w:pStyle w:val="Compact"/>
        <w:numPr>
          <w:ilvl w:val="0"/>
          <w:numId w:val="1002"/>
        </w:numPr>
      </w:pPr>
      <w:r>
        <w:t xml:space="preserve">Paste CSV data</w:t>
      </w:r>
      <w:r>
        <w:t xml:space="preserve"> </w:t>
      </w:r>
      <w:r>
        <w:rPr>
          <w:b/>
          <w:bCs/>
        </w:rPr>
        <w:t xml:space="preserve">without headers</w:t>
      </w:r>
      <w:r>
        <w:t xml:space="preserve">, starting at</w:t>
      </w:r>
      <w:r>
        <w:t xml:space="preserve"> </w:t>
      </w:r>
      <w:r>
        <w:rPr>
          <w:rStyle w:val="VerbatimChar"/>
        </w:rPr>
        <w:t xml:space="preserve">Sheet1!A2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Preserve and extend formulas</w:t>
      </w:r>
      <w:r>
        <w:t xml:space="preserve"> </w:t>
      </w:r>
      <w:r>
        <w:rPr>
          <w:rStyle w:val="VerbatimChar"/>
        </w:rPr>
        <w:t xml:space="preserve">H:K</w:t>
      </w:r>
      <w:r>
        <w:t xml:space="preserve"> </w:t>
      </w:r>
      <w:r>
        <w:t xml:space="preserve">through every new row. Remove stale input rows.</w:t>
      </w:r>
      <w:r>
        <w:t xml:space="preserve"> </w:t>
      </w:r>
      <w:r>
        <w:rPr>
          <w:rStyle w:val="VerbatimChar"/>
        </w:rPr>
        <w:t xml:space="preserve">Sheet1</w:t>
      </w:r>
      <w:r>
        <w:t xml:space="preserve"> </w:t>
      </w:r>
      <w:r>
        <w:t xml:space="preserve">is not an Excel table; do not create one.</w:t>
      </w:r>
    </w:p>
    <w:p>
      <w:pPr>
        <w:pStyle w:val="Compact"/>
        <w:numPr>
          <w:ilvl w:val="0"/>
          <w:numId w:val="1002"/>
        </w:numPr>
      </w:pPr>
      <w:r>
        <w:t xml:space="preserve">Check the workbook’s</w:t>
      </w:r>
      <w:r>
        <w:t xml:space="preserve"> </w:t>
      </w:r>
      <w:r>
        <w:rPr>
          <w:rStyle w:val="VerbatimChar"/>
        </w:rPr>
        <w:t xml:space="preserve">1.35</w:t>
      </w:r>
      <w:r>
        <w:t xml:space="preserve"> </w:t>
      </w:r>
      <w:r>
        <w:t xml:space="preserve">conversion and</w:t>
      </w:r>
      <w:r>
        <w:t xml:space="preserve"> </w:t>
      </w:r>
      <w:r>
        <w:rPr>
          <w:rStyle w:val="VerbatimChar"/>
        </w:rPr>
        <w:t xml:space="preserve">/1,000,000</w:t>
      </w:r>
      <w:r>
        <w:t xml:space="preserve"> </w:t>
      </w:r>
      <w:r>
        <w:t xml:space="preserve">scaling against the approved currency/unit basis. Do not silently reuse an old FX assumption.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Stop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output!A:F</w:t>
      </w:r>
      <w:r>
        <w:rPr>
          <w:b/>
          <w:bCs/>
        </w:rPr>
        <w:t xml:space="preserve"> </w:t>
      </w:r>
      <w:r>
        <w:rPr>
          <w:b/>
          <w:bCs/>
        </w:rPr>
        <w:t xml:space="preserve">unless the approved consolidation procedure is available.</w:t>
      </w:r>
      <w:r>
        <w:t xml:space="preserve"> </w:t>
      </w:r>
      <w:r>
        <w:t xml:space="preserve">These are static values: loading</w:t>
      </w:r>
      <w:r>
        <w:t xml:space="preserve"> </w:t>
      </w:r>
      <w:r>
        <w:rPr>
          <w:rStyle w:val="VerbatimChar"/>
        </w:rPr>
        <w:t xml:space="preserve">Sheet1</w:t>
      </w:r>
      <w:r>
        <w:t xml:space="preserve"> </w:t>
      </w:r>
      <w:r>
        <w:t xml:space="preserve">does not update them.</w:t>
      </w:r>
    </w:p>
    <w:p>
      <w:pPr>
        <w:pStyle w:val="Compact"/>
        <w:numPr>
          <w:ilvl w:val="0"/>
          <w:numId w:val="1002"/>
        </w:numPr>
      </w:pPr>
      <w:r>
        <w:t xml:space="preserve">Rebuild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using that procedure, preserving the approved formulas in</w:t>
      </w:r>
      <w:r>
        <w:t xml:space="preserve"> </w:t>
      </w:r>
      <w:r>
        <w:rPr>
          <w:rStyle w:val="VerbatimChar"/>
        </w:rPr>
        <w:t xml:space="preserve">G:J</w:t>
      </w:r>
      <w:r>
        <w:t xml:space="preserve"> </w:t>
      </w:r>
      <w:r>
        <w:t xml:space="preserve">and reconciling all groups.</w:t>
      </w:r>
    </w:p>
    <w:p>
      <w:pPr>
        <w:pStyle w:val="Compact"/>
        <w:numPr>
          <w:ilvl w:val="0"/>
          <w:numId w:val="1002"/>
        </w:numPr>
      </w:pPr>
      <w:r>
        <w:t xml:space="preserve">Check approved pivot sources, refresh the relevant pivots and recalculate in desktop Excel. Do not blindly refresh external links.</w:t>
      </w:r>
    </w:p>
    <w:bookmarkStart w:id="24" w:name="bscr-runbook-known-workbook-cautions"/>
    <w:p>
      <w:pPr>
        <w:pStyle w:val="Heading3"/>
      </w:pPr>
      <w:r>
        <w:t xml:space="preserve">Known workbook cautions</w:t>
      </w:r>
    </w:p>
    <w:p>
      <w:pPr>
        <w:pStyle w:val="FirstParagraph"/>
      </w:pPr>
      <w:r>
        <w:t xml:space="preserve">The checked-in reporting pivots use</w:t>
      </w:r>
      <w:r>
        <w:t xml:space="preserve"> </w:t>
      </w:r>
      <w:r>
        <w:rPr>
          <w:rStyle w:val="VerbatimChar"/>
        </w:rPr>
        <w:t xml:space="preserve">output!A1:J50</w:t>
      </w:r>
      <w:r>
        <w:t xml:space="preserve">, while the sheet extends to row 82. Review whether rows beyond 50 belong in the approved source; do not automatically include them. The pivot on</w:t>
      </w:r>
      <w:r>
        <w:t xml:space="preserve"> </w:t>
      </w:r>
      <w:r>
        <w:rPr>
          <w:rStyle w:val="VerbatimChar"/>
        </w:rPr>
        <w:t xml:space="preserve">Sheet1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A1:K1048576</w:t>
      </w:r>
      <w:r>
        <w:t xml:space="preserve">, which also requires review before refresh.</w:t>
      </w:r>
    </w:p>
    <w:p>
      <w:pPr>
        <w:pStyle w:val="BodyText"/>
      </w:pPr>
      <w:r>
        <w:t xml:space="preserve">The audit sheet says the reporting pivot is older than</w:t>
      </w:r>
      <w:r>
        <w:t xml:space="preserve"> </w:t>
      </w:r>
      <w:r>
        <w:rPr>
          <w:rStyle w:val="VerbatimChar"/>
        </w:rPr>
        <w:t xml:space="preserve">Sheet1</w:t>
      </w:r>
      <w:r>
        <w:t xml:space="preserve">. Its instruction to refresh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is insufficient because the bridge is static. Its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 </w:t>
      </w:r>
      <w:r>
        <w:t xml:space="preserve">reference is outdated. Follow the procedure in this guide, not the audit sheet alone. Snapshot dimensions are not future load limits.</w:t>
      </w:r>
    </w:p>
    <w:bookmarkEnd w:id="24"/>
    <w:bookmarkEnd w:id="25"/>
    <w:bookmarkStart w:id="26" w:name="bscr-runbook-5-reconcile-the-results"/>
    <w:p>
      <w:pPr>
        <w:pStyle w:val="Heading2"/>
      </w:pPr>
      <w:r>
        <w:t xml:space="preserve">5. Reconcile the results</w:t>
      </w:r>
    </w:p>
    <w:p>
      <w:pPr>
        <w:pStyle w:val="FirstParagraph"/>
      </w:pPr>
      <w:r>
        <w:t xml:space="preserve">Reconcile</w:t>
      </w:r>
      <w:r>
        <w:t xml:space="preserve"> </w:t>
      </w:r>
      <w:r>
        <w:rPr>
          <w:b/>
          <w:bCs/>
        </w:rPr>
        <w:t xml:space="preserve">source export → approved seven-column output → Sheet1 → rebuilt output → piv</w:t>
      </w:r>
      <w:r>
        <w:t xml:space="preserve">. Use the same approved currency, units, mappings and reporting period.</w:t>
      </w:r>
    </w:p>
    <w:p>
      <w:pPr>
        <w:pStyle w:val="Compact"/>
        <w:numPr>
          <w:ilvl w:val="0"/>
          <w:numId w:val="1003"/>
        </w:numPr>
      </w:pPr>
      <w:r>
        <w:t xml:space="preserve">Check gross, net and contributing-row counts by entity, region and geocode classification.</w:t>
      </w:r>
    </w:p>
    <w:p>
      <w:pPr>
        <w:pStyle w:val="Compact"/>
        <w:numPr>
          <w:ilvl w:val="0"/>
          <w:numId w:val="1003"/>
        </w:numPr>
      </w:pPr>
      <w:r>
        <w:t xml:space="preserve">Investigate missing mappings, formula errors, unexpected rows and unexplained movements.</w:t>
      </w:r>
    </w:p>
    <w:p>
      <w:pPr>
        <w:pStyle w:val="Compact"/>
        <w:numPr>
          <w:ilvl w:val="0"/>
          <w:numId w:val="1003"/>
        </w:numPr>
      </w:pPr>
      <w:r>
        <w:t xml:space="preserve">Regional views overlap: do not add them together.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is a separate view.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count_policies</w:t>
      </w:r>
      <w:r>
        <w:t xml:space="preserve"> </w:t>
      </w:r>
      <w:r>
        <w:t xml:space="preserve">counts grouped source rows, not distinct contracts. It cannot alone supply Schedule X(f).</w:t>
      </w:r>
    </w:p>
    <w:p>
      <w:pPr>
        <w:pStyle w:val="Compact"/>
        <w:numPr>
          <w:ilvl w:val="0"/>
          <w:numId w:val="1003"/>
        </w:numPr>
      </w:pPr>
      <w:r>
        <w:t xml:space="preserve">Stop when a range, transformation, FX basis or difference cannot be explained, or a difference exceeds the reviewer’s tolerance.</w:t>
      </w:r>
    </w:p>
    <w:bookmarkEnd w:id="26"/>
    <w:bookmarkStart w:id="27" w:name="X107f242a22debdd53d8861d12fb98d17bb8371d"/>
    <w:p>
      <w:pPr>
        <w:pStyle w:val="Heading2"/>
      </w:pPr>
      <w:r>
        <w:t xml:space="preserve">6. Transfer, sign off and retain evidence</w:t>
      </w:r>
    </w:p>
    <w:p>
      <w:pPr>
        <w:pStyle w:val="FirstParagraph"/>
      </w:pPr>
      <w:r>
        <w:t xml:space="preserve">Transfer reviewed values only through an approved map naming each source workbook/sheet/range and HIC destination sheet/cell. No approved final-cell map is supplied by this repository. Do not choose cells by colour or label, or overwrite formulas/non-input areas.</w:t>
      </w:r>
    </w:p>
    <w:p>
      <w:pPr>
        <w:pStyle w:val="BodyText"/>
      </w:pPr>
      <w:r>
        <w:t xml:space="preserve">For each transfer, record value, measure, currency/unit, as-of date, assumption versions, preparer and reviewer. Recalculate the final workbook and reconcile destination totals. Obtain reviewer sign-off.</w:t>
      </w:r>
    </w:p>
    <w:p>
      <w:pPr>
        <w:pStyle w:val="BodyText"/>
      </w:pPr>
      <w:r>
        <w:t xml:space="preserve">Keep working and final workbooks, raw and transformed exports, query/code revision, server/database, parameters, row counts, control totals, reconciliation, exception decisions, transfer record and sign-off together in the restricted run folder. Keep credentials out of the record.</w:t>
      </w:r>
    </w:p>
    <w:p>
      <w:pPr>
        <w:pStyle w:val="BodyText"/>
      </w:pPr>
      <w:r>
        <w:rPr>
          <w:b/>
          <w:bCs/>
        </w:rPr>
        <w:t xml:space="preserve">Finish means reviewed inputs and an approved handoff, plus the separately sourced Schedule X requirements—not merely a refreshed pivot.</w:t>
      </w:r>
    </w:p>
    <w:bookmarkEnd w:id="27"/>
    <w:bookmarkEnd w:id="28"/>
    <w:bookmarkStart w:id="35" w:name="operating-controls-run-checklist"/>
    <w:p>
      <w:pPr>
        <w:pStyle w:val="Heading1"/>
      </w:pPr>
      <w:r>
        <w:t xml:space="preserve">Run checklist</w:t>
      </w:r>
    </w:p>
    <w:p>
      <w:pPr>
        <w:pStyle w:val="FirstParagraph"/>
      </w:pPr>
      <w:hyperlink r:id="rId29">
        <w:r>
          <w:rPr>
            <w:rStyle w:val="Hyperlink"/>
          </w:rPr>
          <w:t xml:space="preserve">Start here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Detailed controls for LLMs/reviewers</w:t>
        </w:r>
      </w:hyperlink>
    </w:p>
    <w:p>
      <w:pPr>
        <w:pStyle w:val="BodyText"/>
      </w:pPr>
      <w:r>
        <w:t xml:space="preserve">Use this alongside your process guide. Keep the evidence in a new, restricted</w:t>
      </w:r>
      <w:r>
        <w:t xml:space="preserve"> </w:t>
      </w:r>
      <w:r>
        <w:t xml:space="preserve">run folder—not in source control. Mark irrelevant checks N/A with a reason.</w:t>
      </w:r>
    </w:p>
    <w:bookmarkStart w:id="31" w:name="operating-controls-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4"/>
        </w:numPr>
      </w:pPr>
      <w:r>
        <w:t xml:space="preserve">Confirm the reporting period, source snapshot, scope and controlled template.</w:t>
      </w:r>
    </w:p>
    <w:p>
      <w:pPr>
        <w:pStyle w:val="Compact"/>
        <w:numPr>
          <w:ilvl w:val="0"/>
          <w:numId w:val="1005"/>
        </w:numPr>
      </w:pPr>
      <w:r>
        <w:t xml:space="preserve">Confirm the approved mappings, retention/proxy rules, scale factors, FX and units.</w:t>
      </w:r>
    </w:p>
    <w:p>
      <w:pPr>
        <w:pStyle w:val="Compact"/>
        <w:numPr>
          <w:ilvl w:val="0"/>
          <w:numId w:val="1006"/>
        </w:numPr>
      </w:pPr>
      <w:r>
        <w:t xml:space="preserve">Record the operator, reviewer, code version, exact command/query and output folder. Keep credentials out of the record.</w:t>
      </w:r>
    </w:p>
    <w:p>
      <w:pPr>
        <w:pStyle w:val="Compact"/>
        <w:numPr>
          <w:ilvl w:val="0"/>
          <w:numId w:val="1007"/>
        </w:numPr>
      </w:pPr>
      <w:r>
        <w:t xml:space="preserve">Agree independent control totals and acceptable differences with the reviewer.</w:t>
      </w:r>
    </w:p>
    <w:p>
      <w:pPr>
        <w:pStyle w:val="Compact"/>
        <w:numPr>
          <w:ilvl w:val="0"/>
          <w:numId w:val="1008"/>
        </w:numPr>
      </w:pPr>
      <w:r>
        <w:t xml:space="preserve">For Excel, work on a copy. Identify input ranges, formulas, tables, pivot sources and external links before changing anything.</w:t>
      </w:r>
    </w:p>
    <w:p>
      <w:pPr>
        <w:pStyle w:val="Compact"/>
        <w:numPr>
          <w:ilvl w:val="0"/>
          <w:numId w:val="1009"/>
        </w:numPr>
      </w:pPr>
      <w:r>
        <w:t xml:space="preserve">Resolve the blockers listed in your guide before doing the affected step.</w:t>
      </w:r>
    </w:p>
    <w:bookmarkEnd w:id="31"/>
    <w:bookmarkStart w:id="32" w:name="operating-controls-run-and-check"/>
    <w:p>
      <w:pPr>
        <w:pStyle w:val="Heading2"/>
      </w:pPr>
      <w:r>
        <w:t xml:space="preserve">Run and check</w:t>
      </w:r>
    </w:p>
    <w:p>
      <w:pPr>
        <w:pStyle w:val="Compact"/>
        <w:numPr>
          <w:ilvl w:val="0"/>
          <w:numId w:val="1010"/>
        </w:numPr>
      </w:pPr>
      <w:r>
        <w:t xml:space="preserve">Save the raw outputs, logs, parameters and row counts. Use a stable snapshot when running multiple queries.</w:t>
      </w:r>
    </w:p>
    <w:p>
      <w:pPr>
        <w:pStyle w:val="Compact"/>
        <w:numPr>
          <w:ilvl w:val="0"/>
          <w:numId w:val="1011"/>
        </w:numPr>
      </w:pPr>
      <w:r>
        <w:t xml:space="preserve">Check joins have not multiplied exposure; investigate missing mappings, geography, currency or other required values.</w:t>
      </w:r>
    </w:p>
    <w:p>
      <w:pPr>
        <w:pStyle w:val="Compact"/>
        <w:numPr>
          <w:ilvl w:val="0"/>
          <w:numId w:val="1012"/>
        </w:numPr>
      </w:pPr>
      <w:r>
        <w:t xml:space="preserve">Reconcile source → raw output → grouped output by relevant entity, peril and geography, including gross/net and FX movements.</w:t>
      </w:r>
    </w:p>
    <w:p>
      <w:pPr>
        <w:pStyle w:val="Compact"/>
        <w:numPr>
          <w:ilvl w:val="0"/>
          <w:numId w:val="1013"/>
        </w:numPr>
      </w:pPr>
      <w:r>
        <w:t xml:space="preserve">Before loading Excel, check headers/order, row counts, currency and units. Replace input rows only; preserve formulas and report areas.</w:t>
      </w:r>
    </w:p>
    <w:p>
      <w:pPr>
        <w:pStyle w:val="Compact"/>
        <w:numPr>
          <w:ilvl w:val="0"/>
          <w:numId w:val="1014"/>
        </w:numPr>
      </w:pPr>
      <w:r>
        <w:t xml:space="preserve">Extend approved formulas and table/pivot ranges to all new rows; remove stale input rows. Do not copy known inconsistent formulas or blindly refresh external links.</w:t>
      </w:r>
    </w:p>
    <w:p>
      <w:pPr>
        <w:pStyle w:val="Compact"/>
        <w:numPr>
          <w:ilvl w:val="0"/>
          <w:numId w:val="1015"/>
        </w:numPr>
      </w:pPr>
      <w:r>
        <w:t xml:space="preserve">Recalculate in Excel and reconcile report totals. Investigate errors, stale values and unexplained movements.</w:t>
      </w:r>
    </w:p>
    <w:bookmarkEnd w:id="32"/>
    <w:bookmarkStart w:id="33" w:name="operating-controls-finish"/>
    <w:p>
      <w:pPr>
        <w:pStyle w:val="Heading2"/>
      </w:pPr>
      <w:r>
        <w:t xml:space="preserve">Finish</w:t>
      </w:r>
    </w:p>
    <w:p>
      <w:pPr>
        <w:pStyle w:val="Compact"/>
        <w:numPr>
          <w:ilvl w:val="0"/>
          <w:numId w:val="1016"/>
        </w:numPr>
      </w:pPr>
      <w:r>
        <w:t xml:space="preserve">Use an approved source-to-destination map for any final-template transfer. Do not choose cells by colour or label alone.</w:t>
      </w:r>
    </w:p>
    <w:p>
      <w:pPr>
        <w:pStyle w:val="Compact"/>
        <w:numPr>
          <w:ilvl w:val="0"/>
          <w:numId w:val="1017"/>
        </w:numPr>
      </w:pPr>
      <w:r>
        <w:t xml:space="preserve">Log each transfer: source file/sheet/range, destination file/sheet/cell, value, measure, currency/unit, as-of date and assumption versions.</w:t>
      </w:r>
    </w:p>
    <w:p>
      <w:pPr>
        <w:pStyle w:val="Compact"/>
        <w:numPr>
          <w:ilvl w:val="0"/>
          <w:numId w:val="1018"/>
        </w:numPr>
      </w:pPr>
      <w:r>
        <w:t xml:space="preserve">Obtain reviewer sign-off and retain inputs, outputs, reconciliations, adjustments and final submission/delivery evidence together.</w:t>
      </w:r>
    </w:p>
    <w:p>
      <w:pPr>
        <w:pStyle w:val="FirstParagraph"/>
      </w:pPr>
      <w:r>
        <w:rPr>
          <w:b/>
          <w:bCs/>
        </w:rPr>
        <w:t xml:space="preserve">Stop if</w:t>
      </w:r>
      <w:r>
        <w:t xml:space="preserve"> </w:t>
      </w:r>
      <w:r>
        <w:t xml:space="preserve">the source or assumptions are unapproved, a formula/pivot/handoff</w:t>
      </w:r>
      <w:r>
        <w:t xml:space="preserve"> </w:t>
      </w:r>
      <w:r>
        <w:t xml:space="preserve">cannot be traced, or differences exceed the agreed tolerance. A successful</w:t>
      </w:r>
      <w:r>
        <w:t xml:space="preserve"> </w:t>
      </w:r>
      <w:r>
        <w:t xml:space="preserve">command or refresh does not mean the return is complete.</w:t>
      </w:r>
    </w:p>
    <w:bookmarkEnd w:id="33"/>
    <w:bookmarkStart w:id="34" w:name="source-identity"/>
    <w:p>
      <w:pPr>
        <w:pStyle w:val="Heading2"/>
      </w:pPr>
      <w:r>
        <w:t xml:space="preserve">Source identity</w:t>
      </w:r>
    </w:p>
    <w:p>
      <w:pPr>
        <w:pStyle w:val="Compact"/>
        <w:numPr>
          <w:ilvl w:val="0"/>
          <w:numId w:val="1019"/>
        </w:numPr>
      </w:pPr>
      <w:r>
        <w:t xml:space="preserve">Git revision:</w:t>
      </w:r>
      <w:r>
        <w:t xml:space="preserve"> </w:t>
      </w:r>
      <w:r>
        <w:rPr>
          <w:rStyle w:val="VerbatimChar"/>
        </w:rPr>
        <w:t xml:space="preserve">7ca91475efc981d1f0bfd8e943e1ef00485716c1</w:t>
      </w:r>
      <w:r>
        <w:t xml:space="preserve"> </w:t>
      </w:r>
      <w:r>
        <w:t xml:space="preserve">(the working tree may contain uncommitted changes).</w:t>
      </w:r>
    </w:p>
    <w:p>
      <w:pPr>
        <w:pStyle w:val="Compact"/>
        <w:numPr>
          <w:ilvl w:val="0"/>
          <w:numId w:val="1019"/>
        </w:numPr>
      </w:pPr>
      <w:r>
        <w:t xml:space="preserve">Builder SHA-256:</w:t>
      </w:r>
      <w:r>
        <w:t xml:space="preserve"> </w:t>
      </w:r>
      <w:r>
        <w:rPr>
          <w:rStyle w:val="VerbatimChar"/>
        </w:rPr>
        <w:t xml:space="preserve">1437fab170f5c71a3ed62a84a3505227ae3f043edb2dca53bc3ba73a413dbcfb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Assembly semantics:</w:t>
      </w:r>
      <w:r>
        <w:t xml:space="preserve"> </w:t>
      </w:r>
      <w:r>
        <w:rPr>
          <w:rStyle w:val="VerbatimChar"/>
        </w:rPr>
        <w:t xml:space="preserve">docx-source-manifest-v1; stable-heading-anchors-v1; generated-link-rebase-v1; human-guides-only-v2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Exact input-doc manifest SHA-256:</w:t>
      </w:r>
      <w:r>
        <w:t xml:space="preserve"> </w:t>
      </w:r>
      <w:r>
        <w:rPr>
          <w:rStyle w:val="VerbatimChar"/>
        </w:rPr>
        <w:t xml:space="preserve">80066ffd008bde989a254210f70b22558df67b043b3cf4c4ce4d52f26f652c8c</w:t>
      </w:r>
      <w:r>
        <w:t xml:space="preserve">.</w:t>
      </w:r>
    </w:p>
    <w:p>
      <w:pPr>
        <w:pStyle w:val="FirstParagraph"/>
      </w:pPr>
      <w:r>
        <w:t xml:space="preserve">The per-file hashes below are computed from the current UTF-8 bytes, so uncommitted Markdown edits remain distinguishable even when the Git revision is unchanged: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Included source</w:t>
            </w:r>
          </w:p>
        </w:tc>
        <w:tc>
          <w:tcPr/>
          <w:p>
            <w:pPr>
              <w:pStyle w:val="Compact"/>
            </w:pPr>
            <w:r>
              <w:t xml:space="preserve">SHA-256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docs/pra/runbook.md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f02f8c996dbdf0611d74a5024bf19495285b5e0fe834e883ccf029de40e11502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docs/bscr/runbook.md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ec4ce021b5732c96ade60ad0a620b4053fc9a59e1407f08104519818bfcc90d2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docs/operating-controls.md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064cd9201e216d0f6c0258c9cc398782448e2f059ed7bbedc14be18691513a00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../../README.md" TargetMode="External" /><Relationship Type="http://schemas.openxmlformats.org/officeDocument/2006/relationships/hyperlink" Id="rId30" Target="../llm-instructions.md#detailed-run-contro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./../README.md" TargetMode="External" /><Relationship Type="http://schemas.openxmlformats.org/officeDocument/2006/relationships/hyperlink" Id="rId30" Target="../llm-instructions.md#detailed-run-contro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 and BSCR Runbook</dc:title>
  <dc:creator/>
  <cp:keywords/>
  <dcterms:created xsi:type="dcterms:W3CDTF">2026-09-14T19:26:58Z</dcterms:created>
  <dcterms:modified xsi:type="dcterms:W3CDTF">2026-09-14T19:26:58Z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January 2026</vt:lpwstr>
  </property>
</Properties>
</file>