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PRA Runbook</w:t>
      </w:r>
    </w:p>
    <w:p>
      <w:pPr>
        <w:pStyle w:val="Subtitle"/>
      </w:pPr>
      <w:r>
        <w:rPr>
          <w:b w:val="0"/>
          <w:i w:val="0"/>
        </w:rPr>
        <w:t>January 2026</w:t>
      </w:r>
    </w:p>
    <w:p>
      <w:r>
        <w:br w:type="page"/>
      </w:r>
    </w:p>
    <w:p>
      <w:bookmarkStart w:id="1" w:name="bm_pra_runbook_pra_sql_and_excel"/>
      <w:pPr>
        <w:pStyle w:val="Heading1"/>
        <w:keepNext/>
      </w:pPr>
      <w:r>
        <w:rPr>
          <w:b w:val="0"/>
          <w:i w:val="0"/>
        </w:rPr>
        <w:t>PRA — SQL and Excel</w:t>
      </w:r>
      <w:bookmarkEnd w:id="1"/>
    </w:p>
    <w:p>
      <w:r>
        <w:rPr>
          <w:b w:val="0"/>
          <w:i w:val="0"/>
        </w:rPr>
        <w:t xml:space="preserve">Work from the </w:t>
      </w:r>
      <w:r>
        <w:rPr>
          <w:rFonts w:ascii="Courier New" w:hAnsi="Courier New"/>
          <w:b w:val="0"/>
          <w:i w:val="0"/>
          <w:sz w:val="18"/>
        </w:rPr>
        <w:t>reporting/</w:t>
      </w:r>
      <w:r>
        <w:rPr>
          <w:b w:val="0"/>
          <w:i w:val="0"/>
        </w:rPr>
        <w:t xml:space="preserve"> directory. The checked-in workbook is a calculation workbook, not the final PRA submission template. Treat repository SQL and cached workbook values as implementation evidence until the reporting-period source, database, mappings, currency/measure, and reviewer approvals are recorded in the run record.</w:t>
      </w:r>
    </w:p>
    <w:p>
      <w:bookmarkStart w:id="2" w:name="bm_pra_runbook_current_sql_artefacts_and_boundaries"/>
      <w:pPr>
        <w:pStyle w:val="Heading2"/>
        <w:keepNext/>
      </w:pPr>
      <w:r>
        <w:rPr>
          <w:b w:val="0"/>
          <w:i w:val="0"/>
        </w:rPr>
        <w:t>Current SQL artefacts and boundaries</w:t>
      </w:r>
      <w:bookmarkEnd w:id="2"/>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File</w:t>
            </w:r>
          </w:p>
        </w:tc>
        <w:tc>
          <w:tcPr>
            <w:tcW w:type="dxa" w:w="5040"/>
            <w:shd w:fill="D9EAF7"/>
          </w:tcPr>
          <w:p>
            <w:r>
              <w:rPr>
                <w:b/>
              </w:rPr>
            </w:r>
            <w:r>
              <w:rPr>
                <w:b/>
                <w:i w:val="0"/>
              </w:rPr>
              <w:t>Present behaviour</w:t>
            </w:r>
          </w:p>
        </w:tc>
      </w:tr>
      <w:tr>
        <w:tc>
          <w:tcPr>
            <w:tcW w:type="dxa" w:w="5040"/>
          </w:tcPr>
          <w:p>
            <w:r/>
            <w:r>
              <w:rPr>
                <w:rFonts w:ascii="Courier New" w:hAnsi="Courier New"/>
                <w:b w:val="0"/>
                <w:i w:val="0"/>
                <w:sz w:val="18"/>
              </w:rPr>
              <w:t>pra/sql/pra-earthquake.sql</w:t>
            </w:r>
          </w:p>
        </w:tc>
        <w:tc>
          <w:tcPr>
            <w:tcW w:type="dxa" w:w="5040"/>
          </w:tcPr>
          <w:p>
            <w:r/>
            <w:r>
              <w:rPr>
                <w:b w:val="0"/>
                <w:i w:val="0"/>
              </w:rPr>
              <w:t xml:space="preserve">Uses </w:t>
            </w:r>
            <w:r>
              <w:rPr>
                <w:rFonts w:ascii="Courier New" w:hAnsi="Courier New"/>
                <w:b w:val="0"/>
                <w:i w:val="0"/>
                <w:sz w:val="18"/>
              </w:rPr>
              <w:t>@peril = 2</w:t>
            </w:r>
            <w:r>
              <w:rPr>
                <w:b w:val="0"/>
                <w:i w:val="0"/>
              </w:rPr>
              <w:t xml:space="preserve"> and </w:t>
            </w:r>
            <w:r>
              <w:rPr>
                <w:rFonts w:ascii="Courier New" w:hAnsi="Courier New"/>
                <w:b w:val="0"/>
                <w:i w:val="0"/>
                <w:sz w:val="18"/>
              </w:rPr>
              <w:t>@policy_type = 2</w:t>
            </w:r>
            <w:r>
              <w:rPr>
                <w:b w:val="0"/>
                <w:i w:val="0"/>
              </w:rPr>
              <w:t xml:space="preserve">; it has no </w:t>
            </w:r>
            <w:r>
              <w:rPr>
                <w:rFonts w:ascii="Courier New" w:hAnsi="Courier New"/>
                <w:b w:val="0"/>
                <w:i w:val="0"/>
                <w:sz w:val="18"/>
              </w:rPr>
              <w:t>USE</w:t>
            </w:r>
            <w:r>
              <w:rPr>
                <w:b w:val="0"/>
                <w:i w:val="0"/>
              </w:rPr>
              <w:t xml:space="preserve"> clause or connection details. It returns five columns: </w:t>
            </w:r>
            <w:r>
              <w:rPr>
                <w:rFonts w:ascii="Courier New" w:hAnsi="Courier New"/>
                <w:b w:val="0"/>
                <w:i w:val="0"/>
                <w:sz w:val="18"/>
              </w:rPr>
              <w:t>pml, state, userid1, cntrycode, uwritrname</w:t>
            </w:r>
            <w:r>
              <w:rPr>
                <w:b w:val="0"/>
                <w:i w:val="0"/>
              </w:rPr>
              <w:t>.</w:t>
            </w:r>
          </w:p>
        </w:tc>
      </w:tr>
      <w:tr>
        <w:tc>
          <w:tcPr>
            <w:tcW w:type="dxa" w:w="5040"/>
          </w:tcPr>
          <w:p>
            <w:r/>
            <w:r>
              <w:rPr>
                <w:rFonts w:ascii="Courier New" w:hAnsi="Courier New"/>
                <w:b w:val="0"/>
                <w:i w:val="0"/>
                <w:sz w:val="18"/>
              </w:rPr>
              <w:t>pra/sql/pra-raw.sql</w:t>
            </w:r>
          </w:p>
        </w:tc>
        <w:tc>
          <w:tcPr>
            <w:tcW w:type="dxa" w:w="5040"/>
          </w:tcPr>
          <w:p>
            <w:r/>
            <w:r>
              <w:rPr>
                <w:b w:val="0"/>
                <w:i w:val="0"/>
              </w:rPr>
              <w:t xml:space="preserve">Uses the same defaults and returns seven columns, adding </w:t>
            </w:r>
            <w:r>
              <w:rPr>
                <w:rFonts w:ascii="Courier New" w:hAnsi="Courier New"/>
                <w:b w:val="0"/>
                <w:i w:val="0"/>
                <w:sz w:val="18"/>
              </w:rPr>
              <w:t>accgrpid</w:t>
            </w:r>
            <w:r>
              <w:rPr>
                <w:b w:val="0"/>
                <w:i w:val="0"/>
              </w:rPr>
              <w:t xml:space="preserve"> and </w:t>
            </w:r>
            <w:r>
              <w:rPr>
                <w:rFonts w:ascii="Courier New" w:hAnsi="Courier New"/>
                <w:b w:val="0"/>
                <w:i w:val="0"/>
                <w:sz w:val="18"/>
              </w:rPr>
              <w:t>branchname</w:t>
            </w:r>
            <w:r>
              <w:rPr>
                <w:b w:val="0"/>
                <w:i w:val="0"/>
              </w:rPr>
              <w:t>; this is the offline/raw route, not the five-column pivot input.</w:t>
            </w:r>
          </w:p>
        </w:tc>
      </w:tr>
      <w:tr>
        <w:tc>
          <w:tcPr>
            <w:tcW w:type="dxa" w:w="5040"/>
          </w:tcPr>
          <w:p>
            <w:r/>
            <w:r>
              <w:rPr>
                <w:rFonts w:ascii="Courier New" w:hAnsi="Courier New"/>
                <w:b w:val="0"/>
                <w:i w:val="0"/>
                <w:sz w:val="18"/>
              </w:rPr>
              <w:t>pra/sql/aggs-from-edm.sql</w:t>
            </w:r>
          </w:p>
        </w:tc>
        <w:tc>
          <w:tcPr>
            <w:tcW w:type="dxa" w:w="5040"/>
          </w:tcPr>
          <w:p>
            <w:r/>
            <w:r>
              <w:rPr>
                <w:b w:val="0"/>
                <w:i w:val="0"/>
              </w:rPr>
              <w:t xml:space="preserve">Despite its name, hard-codes </w:t>
            </w:r>
            <w:r>
              <w:rPr>
                <w:rFonts w:ascii="Courier New" w:hAnsi="Courier New"/>
                <w:b w:val="0"/>
                <w:i w:val="0"/>
                <w:sz w:val="18"/>
              </w:rPr>
              <w:t>peril = 2</w:t>
            </w:r>
            <w:r>
              <w:rPr>
                <w:b w:val="0"/>
                <w:i w:val="0"/>
              </w:rPr>
              <w:t xml:space="preserve"> and </w:t>
            </w:r>
            <w:r>
              <w:rPr>
                <w:rFonts w:ascii="Courier New" w:hAnsi="Courier New"/>
                <w:b w:val="0"/>
                <w:i w:val="0"/>
                <w:sz w:val="18"/>
              </w:rPr>
              <w:t>policytype = 2</w:t>
            </w:r>
            <w:r>
              <w:rPr>
                <w:b w:val="0"/>
                <w:i w:val="0"/>
              </w:rPr>
              <w:t>, and returns a grouped five-column result. It is not an all-peril query.</w:t>
            </w:r>
          </w:p>
        </w:tc>
      </w:tr>
    </w:tbl>
    <w:p/>
    <w:p>
      <w:r>
        <w:rPr>
          <w:b w:val="0"/>
          <w:i w:val="0"/>
        </w:rPr>
        <w:t>The SQL files are runnable in an approved SQL client, but the repository supplies no database connection or execution wrapper, approved snapshot, or credentials. Preserve the exact command, connection/database identity, parameters, headers, row counts, totals, and export path in the run record.</w:t>
      </w:r>
    </w:p>
    <w:p>
      <w:r>
        <w:rPr>
          <w:b w:val="0"/>
          <w:i w:val="0"/>
        </w:rPr>
        <w:t xml:space="preserve">The SQL's observed grain is important before any export is used. It sums location value by account group and location geography, joins policy rows back on </w:t>
      </w:r>
      <w:r>
        <w:rPr>
          <w:rFonts w:ascii="Courier New" w:hAnsi="Courier New"/>
          <w:b w:val="0"/>
          <w:i w:val="0"/>
          <w:sz w:val="18"/>
        </w:rPr>
        <w:t>accgrpid</w:t>
      </w:r>
      <w:r>
        <w:rPr>
          <w:b w:val="0"/>
          <w:i w:val="0"/>
        </w:rPr>
        <w:t xml:space="preserve">, caps with the derived </w:t>
      </w:r>
      <w:r>
        <w:rPr>
          <w:rFonts w:ascii="Courier New" w:hAnsi="Courier New"/>
          <w:b w:val="0"/>
          <w:i w:val="0"/>
          <w:sz w:val="18"/>
        </w:rPr>
        <w:t>policy_limit</w:t>
      </w:r>
      <w:r>
        <w:rPr>
          <w:b w:val="0"/>
          <w:i w:val="0"/>
        </w:rPr>
        <w:t xml:space="preserve">, then groups the final result only by </w:t>
      </w:r>
      <w:r>
        <w:rPr>
          <w:rFonts w:ascii="Courier New" w:hAnsi="Courier New"/>
          <w:b w:val="0"/>
          <w:i w:val="0"/>
          <w:sz w:val="18"/>
        </w:rPr>
        <w:t>state, cntrycode, userid1, uwritrname</w:t>
      </w:r>
      <w:r>
        <w:rPr>
          <w:b w:val="0"/>
          <w:i w:val="0"/>
        </w:rPr>
        <w:t>. The final five-column export has no policy or account identifier and does not convert currencies. The policy join/cardinality, zero-limit behaviour, deduction treatment, source currency, and aggregation are therefore controls to resolve—not approved calculation rules. Reconcile before/after each join and by geography and currency; stop on unexplained multiplication or an unapproved measure.</w:t>
      </w:r>
    </w:p>
    <w:p>
      <w:bookmarkStart w:id="3" w:name="bm_pra_runbook_earthquake"/>
      <w:pPr>
        <w:pStyle w:val="Heading2"/>
        <w:keepNext/>
      </w:pPr>
      <w:r>
        <w:rPr>
          <w:b w:val="0"/>
          <w:i w:val="0"/>
        </w:rPr>
        <w:t>Earthquake</w:t>
      </w:r>
      <w:bookmarkEnd w:id="3"/>
    </w:p>
    <w:p>
      <w:r>
        <w:rPr>
          <w:b w:val="0"/>
          <w:i w:val="0"/>
        </w:rPr>
        <w:t xml:space="preserve">1. Confirm the approved EDM/database, reporting date, </w:t>
      </w:r>
      <w:r>
        <w:rPr>
          <w:rFonts w:ascii="Courier New" w:hAnsi="Courier New"/>
          <w:b w:val="0"/>
          <w:i w:val="0"/>
          <w:sz w:val="18"/>
        </w:rPr>
        <w:t>2/2</w:t>
      </w:r>
      <w:r>
        <w:rPr>
          <w:b w:val="0"/>
          <w:i w:val="0"/>
        </w:rPr>
        <w:t xml:space="preserve"> meanings, scope, source currency, output unit, and current geography/CDS mappings. Do not infer them from the SQL defaults or workbook cache.</w:t>
      </w:r>
    </w:p>
    <w:p>
      <w:r>
        <w:rPr>
          <w:b w:val="0"/>
          <w:i w:val="0"/>
        </w:rPr>
        <w:t xml:space="preserve">2. From the </w:t>
      </w:r>
      <w:r>
        <w:rPr>
          <w:rFonts w:ascii="Courier New" w:hAnsi="Courier New"/>
          <w:b w:val="0"/>
          <w:i w:val="0"/>
          <w:sz w:val="18"/>
        </w:rPr>
        <w:t>reporting/</w:t>
      </w:r>
      <w:r>
        <w:rPr>
          <w:b w:val="0"/>
          <w:i w:val="0"/>
        </w:rPr>
        <w:t xml:space="preserve"> directory, run the approved SQL client against the approved database using </w:t>
      </w:r>
      <w:r>
        <w:rPr>
          <w:rFonts w:ascii="Courier New" w:hAnsi="Courier New"/>
          <w:b w:val="0"/>
          <w:i w:val="0"/>
          <w:sz w:val="18"/>
        </w:rPr>
        <w:t>pra/sql/pra-earthquake.sql</w:t>
      </w:r>
      <w:r>
        <w:rPr>
          <w:b w:val="0"/>
          <w:i w:val="0"/>
        </w:rPr>
        <w:t xml:space="preserve">. Export headers exactly as </w:t>
      </w:r>
      <w:r>
        <w:rPr>
          <w:rFonts w:ascii="Courier New" w:hAnsi="Courier New"/>
          <w:b w:val="0"/>
          <w:i w:val="0"/>
          <w:sz w:val="18"/>
        </w:rPr>
        <w:t>pml, state, userid1, cntrycode, uwritrname</w:t>
      </w:r>
      <w:r>
        <w:rPr>
          <w:b w:val="0"/>
          <w:i w:val="0"/>
        </w:rPr>
        <w:t xml:space="preserve">. Retain the raw result and exact command. For offline diagnostics, </w:t>
      </w:r>
      <w:r>
        <w:rPr>
          <w:rFonts w:ascii="Courier New" w:hAnsi="Courier New"/>
          <w:b w:val="0"/>
          <w:i w:val="0"/>
          <w:sz w:val="18"/>
        </w:rPr>
        <w:t>pra-raw.sql</w:t>
      </w:r>
      <w:r>
        <w:rPr>
          <w:b w:val="0"/>
          <w:i w:val="0"/>
        </w:rPr>
        <w:t xml:space="preserve"> instead produces the seven-column </w:t>
      </w:r>
      <w:r>
        <w:rPr>
          <w:rFonts w:ascii="Courier New" w:hAnsi="Courier New"/>
          <w:b w:val="0"/>
          <w:i w:val="0"/>
          <w:sz w:val="18"/>
        </w:rPr>
        <w:t>pml, accgrpid, uwritrname, state, userid1, branchname, cntrycode</w:t>
      </w:r>
      <w:r>
        <w:rPr>
          <w:b w:val="0"/>
          <w:i w:val="0"/>
        </w:rPr>
        <w:t xml:space="preserve"> output; do not paste that shape into the pivot input.</w:t>
      </w:r>
    </w:p>
    <w:p>
      <w:r>
        <w:rPr>
          <w:b w:val="0"/>
          <w:i w:val="0"/>
        </w:rPr>
        <w:t xml:space="preserve">3. Make a controlled working copy of </w:t>
      </w:r>
      <w:r>
        <w:rPr>
          <w:rFonts w:ascii="Courier New" w:hAnsi="Courier New"/>
          <w:b w:val="0"/>
          <w:i w:val="0"/>
          <w:sz w:val="18"/>
        </w:rPr>
        <w:t>pra/workbooks/PRA_Aggs.xlsx</w:t>
      </w:r>
      <w:r>
        <w:rPr>
          <w:b w:val="0"/>
          <w:i w:val="0"/>
        </w:rPr>
        <w:t xml:space="preserve">. Before loading, inspect and record the current tables and pivot sources. Both </w:t>
      </w:r>
      <w:r>
        <w:rPr>
          <w:rFonts w:ascii="Courier New" w:hAnsi="Courier New"/>
          <w:b w:val="0"/>
          <w:i w:val="0"/>
          <w:sz w:val="18"/>
        </w:rPr>
        <w:t>Table3</w:t>
      </w:r>
      <w:r>
        <w:rPr>
          <w:b w:val="0"/>
          <w:i w:val="0"/>
        </w:rPr>
        <w:t xml:space="preserve"> and </w:t>
      </w:r>
      <w:r>
        <w:rPr>
          <w:rFonts w:ascii="Courier New" w:hAnsi="Courier New"/>
          <w:b w:val="0"/>
          <w:i w:val="0"/>
          <w:sz w:val="18"/>
        </w:rPr>
        <w:t>Table32</w:t>
      </w:r>
      <w:r>
        <w:rPr>
          <w:b w:val="0"/>
          <w:i w:val="0"/>
        </w:rPr>
        <w:t xml:space="preserve"> currently reference </w:t>
      </w:r>
      <w:r>
        <w:rPr>
          <w:rFonts w:ascii="Courier New" w:hAnsi="Courier New"/>
          <w:b w:val="0"/>
          <w:i w:val="0"/>
          <w:sz w:val="18"/>
        </w:rPr>
        <w:t>A1:M838</w:t>
      </w:r>
      <w:r>
        <w:rPr>
          <w:b w:val="0"/>
          <w:i w:val="0"/>
        </w:rPr>
        <w:t xml:space="preserve">; the workbook's shared pivot cache currently names </w:t>
      </w:r>
      <w:r>
        <w:rPr>
          <w:rFonts w:ascii="Courier New" w:hAnsi="Courier New"/>
          <w:b w:val="0"/>
          <w:i w:val="0"/>
          <w:sz w:val="18"/>
        </w:rPr>
        <w:t>Table3</w:t>
      </w:r>
      <w:r>
        <w:rPr>
          <w:b w:val="0"/>
          <w:i w:val="0"/>
        </w:rPr>
        <w:t xml:space="preserve"> as its worksheet source, including the pivots shown on </w:t>
      </w:r>
      <w:r>
        <w:rPr>
          <w:rFonts w:ascii="Courier New" w:hAnsi="Courier New"/>
          <w:b w:val="0"/>
          <w:i w:val="0"/>
          <w:sz w:val="18"/>
        </w:rPr>
        <w:t>pivot_eq</w:t>
      </w:r>
      <w:r>
        <w:rPr>
          <w:b w:val="0"/>
          <w:i w:val="0"/>
        </w:rPr>
        <w:t xml:space="preserve">. The current file is therefore not evidence that earthquake pivots use </w:t>
      </w:r>
      <w:r>
        <w:rPr>
          <w:rFonts w:ascii="Courier New" w:hAnsi="Courier New"/>
          <w:b w:val="0"/>
          <w:i w:val="0"/>
          <w:sz w:val="18"/>
        </w:rPr>
        <w:t>Table32</w:t>
      </w:r>
      <w:r>
        <w:rPr>
          <w:b w:val="0"/>
          <w:i w:val="0"/>
        </w:rPr>
        <w:t>.</w:t>
      </w:r>
    </w:p>
    <w:p>
      <w:r>
        <w:rPr>
          <w:b w:val="0"/>
          <w:i w:val="0"/>
        </w:rPr>
        <w:t>4. Do not clear, resize, paste, or refresh until the workbook owner has approved the source table, value field (</w:t>
      </w:r>
      <w:r>
        <w:rPr>
          <w:rFonts w:ascii="Courier New" w:hAnsi="Courier New"/>
          <w:b w:val="0"/>
          <w:i w:val="0"/>
          <w:sz w:val="18"/>
        </w:rPr>
        <w:t>pml</w:t>
      </w:r>
      <w:r>
        <w:rPr>
          <w:b w:val="0"/>
          <w:i w:val="0"/>
        </w:rPr>
        <w:t xml:space="preserve"> versus any converted measure), currency/unit, mappings, and populated-range procedure. If approved, clear only the controlled input rows, paste the five-column export with headers into the selected table's A1:E range, preserve formula columns F:M, and fill formulas through the complete new source range. Record the resulting table reference and row count.</w:t>
      </w:r>
    </w:p>
    <w:p>
      <w:r>
        <w:rPr>
          <w:b w:val="0"/>
          <w:i w:val="0"/>
        </w:rPr>
        <w:t xml:space="preserve">5. The checked-in </w:t>
      </w:r>
      <w:r>
        <w:rPr>
          <w:rFonts w:ascii="Courier New" w:hAnsi="Courier New"/>
          <w:b w:val="0"/>
          <w:i w:val="0"/>
          <w:sz w:val="18"/>
        </w:rPr>
        <w:t>pivot_eq</w:t>
      </w:r>
      <w:r>
        <w:rPr>
          <w:b w:val="0"/>
          <w:i w:val="0"/>
        </w:rPr>
        <w:t xml:space="preserve"> formulas reference </w:t>
      </w:r>
      <w:r>
        <w:rPr>
          <w:rFonts w:ascii="Courier New" w:hAnsi="Courier New"/>
          <w:b w:val="0"/>
          <w:i w:val="0"/>
          <w:sz w:val="18"/>
        </w:rPr>
        <w:t>Table32</w:t>
      </w:r>
      <w:r>
        <w:rPr>
          <w:b w:val="0"/>
          <w:i w:val="0"/>
        </w:rPr>
        <w:t xml:space="preserve">, while the shared pivot cache points to </w:t>
      </w:r>
      <w:r>
        <w:rPr>
          <w:rFonts w:ascii="Courier New" w:hAnsi="Courier New"/>
          <w:b w:val="0"/>
          <w:i w:val="0"/>
          <w:sz w:val="18"/>
        </w:rPr>
        <w:t>Table3</w:t>
      </w:r>
      <w:r>
        <w:rPr>
          <w:b w:val="0"/>
          <w:i w:val="0"/>
        </w:rPr>
        <w:t>; this inconsistency is a stop condition, not an instruction to change the workbook ad hoc. After an explicit approved change, repoint all four earthquake pivots to the selected table, refresh only those pivots, and retain the before/after source and value-field settings.</w:t>
      </w:r>
    </w:p>
    <w:p>
      <w:r>
        <w:rPr>
          <w:b w:val="0"/>
          <w:i w:val="0"/>
        </w:rPr>
        <w:t xml:space="preserve">6. Reconcile SQL/export totals to the loaded input, then to each pivot and report area at the required geography and mapping grains. Inspect </w:t>
      </w:r>
      <w:r>
        <w:rPr>
          <w:rFonts w:ascii="Courier New" w:hAnsi="Courier New"/>
          <w:b w:val="0"/>
          <w:i w:val="0"/>
          <w:sz w:val="18"/>
        </w:rPr>
        <w:t>#N/A</w:t>
      </w:r>
      <w:r>
        <w:rPr>
          <w:b w:val="0"/>
          <w:i w:val="0"/>
        </w:rPr>
        <w:t xml:space="preserve">, </w:t>
      </w:r>
      <w:r>
        <w:rPr>
          <w:rFonts w:ascii="Courier New" w:hAnsi="Courier New"/>
          <w:b w:val="0"/>
          <w:i w:val="0"/>
          <w:sz w:val="18"/>
        </w:rPr>
        <w:t>#REF!</w:t>
      </w:r>
      <w:r>
        <w:rPr>
          <w:b w:val="0"/>
          <w:i w:val="0"/>
        </w:rPr>
        <w:t xml:space="preserve">, </w:t>
      </w:r>
      <w:r>
        <w:rPr>
          <w:rFonts w:ascii="Courier New" w:hAnsi="Courier New"/>
          <w:b w:val="0"/>
          <w:i w:val="0"/>
          <w:sz w:val="18"/>
        </w:rPr>
        <w:t>#VALUE!</w:t>
      </w:r>
      <w:r>
        <w:rPr>
          <w:b w:val="0"/>
          <w:i w:val="0"/>
        </w:rPr>
        <w:t>, blanks, stale cached values, and rows outside the approved range. The checked-in workbook has known geography/CDS mapping gaps; do not treat a successful refresh or a zero as approval.</w:t>
      </w:r>
    </w:p>
    <w:p>
      <w:bookmarkStart w:id="4" w:name="bm_pra_runbook_all_peril"/>
      <w:pPr>
        <w:pStyle w:val="Heading2"/>
        <w:keepNext/>
      </w:pPr>
      <w:r>
        <w:rPr>
          <w:b w:val="0"/>
          <w:i w:val="0"/>
        </w:rPr>
        <w:t>All-peril</w:t>
      </w:r>
      <w:bookmarkEnd w:id="4"/>
    </w:p>
    <w:p>
      <w:r>
        <w:rPr>
          <w:rFonts w:ascii="Courier New" w:hAnsi="Courier New"/>
          <w:b w:val="0"/>
          <w:i w:val="0"/>
          <w:sz w:val="18"/>
        </w:rPr>
        <w:t>pivot_allperil</w:t>
      </w:r>
      <w:r>
        <w:rPr>
          <w:b w:val="0"/>
          <w:i w:val="0"/>
        </w:rPr>
        <w:t xml:space="preserve"> and </w:t>
      </w:r>
      <w:r>
        <w:rPr>
          <w:rFonts w:ascii="Courier New" w:hAnsi="Courier New"/>
          <w:b w:val="0"/>
          <w:i w:val="0"/>
          <w:sz w:val="18"/>
        </w:rPr>
        <w:t>Table3</w:t>
      </w:r>
      <w:r>
        <w:rPr>
          <w:b w:val="0"/>
          <w:i w:val="0"/>
        </w:rPr>
        <w:t xml:space="preserve"> may be used only with a separately approved all-peril producer/export. No checked-in SQL file is an all-peril query: </w:t>
      </w:r>
      <w:r>
        <w:rPr>
          <w:rFonts w:ascii="Courier New" w:hAnsi="Courier New"/>
          <w:b w:val="0"/>
          <w:i w:val="0"/>
          <w:sz w:val="18"/>
        </w:rPr>
        <w:t>pra-raw.sql</w:t>
      </w:r>
      <w:r>
        <w:rPr>
          <w:b w:val="0"/>
          <w:i w:val="0"/>
        </w:rPr>
        <w:t xml:space="preserve">, </w:t>
      </w:r>
      <w:r>
        <w:rPr>
          <w:rFonts w:ascii="Courier New" w:hAnsi="Courier New"/>
          <w:b w:val="0"/>
          <w:i w:val="0"/>
          <w:sz w:val="18"/>
        </w:rPr>
        <w:t>pra-earthquake.sql</w:t>
      </w:r>
      <w:r>
        <w:rPr>
          <w:b w:val="0"/>
          <w:i w:val="0"/>
        </w:rPr>
        <w:t xml:space="preserve">, and </w:t>
      </w:r>
      <w:r>
        <w:rPr>
          <w:rFonts w:ascii="Courier New" w:hAnsi="Courier New"/>
          <w:b w:val="0"/>
          <w:i w:val="0"/>
          <w:sz w:val="18"/>
        </w:rPr>
        <w:t>aggs-from-edm.sql</w:t>
      </w:r>
      <w:r>
        <w:rPr>
          <w:b w:val="0"/>
          <w:i w:val="0"/>
        </w:rPr>
        <w:t xml:space="preserve"> all select peril</w:t>
      </w:r>
    </w:p>
    <w:p>
      <w:r>
        <w:rPr>
          <w:b w:val="0"/>
          <w:i w:val="0"/>
        </w:rPr>
        <w:t>2. Do not copy earthquake results into the all-peril table, guess query codes,</w:t>
      </w:r>
    </w:p>
    <w:p>
      <w:r>
        <w:rPr>
          <w:b w:val="0"/>
          <w:i w:val="0"/>
        </w:rPr>
        <w:t xml:space="preserve">or describe the cached </w:t>
      </w:r>
      <w:r>
        <w:rPr>
          <w:rFonts w:ascii="Courier New" w:hAnsi="Courier New"/>
          <w:b w:val="0"/>
          <w:i w:val="0"/>
          <w:sz w:val="18"/>
        </w:rPr>
        <w:t>Table3</w:t>
      </w:r>
      <w:r>
        <w:rPr>
          <w:b w:val="0"/>
          <w:i w:val="0"/>
        </w:rPr>
        <w:t xml:space="preserve"> pivot as a current all-peril result without lineage and reconciliation.</w:t>
      </w:r>
    </w:p>
    <w:p>
      <w:bookmarkStart w:id="5" w:name="bm_pra_runbook_completion_boundary"/>
      <w:pPr>
        <w:pStyle w:val="Heading2"/>
        <w:keepNext/>
      </w:pPr>
      <w:r>
        <w:rPr>
          <w:b w:val="0"/>
          <w:i w:val="0"/>
        </w:rPr>
        <w:t>Completion boundary</w:t>
      </w:r>
      <w:bookmarkEnd w:id="5"/>
    </w:p>
    <w:p>
      <w:r>
        <w:rPr>
          <w:b w:val="0"/>
          <w:i w:val="0"/>
        </w:rPr>
        <w:t>Archive the approved SQL/export, run record, raw and grouped reconciliations, working workbook, and reviewer evidence together without overwriting source evidence. A final PRA submission template and destination-cell map are not present in this repository; locating and approving them remains a prerequisite for submission.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