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BSCR Schedule X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bookmarkStart w:id="1" w:name="bm_bscr_runbook_bscr_runbook"/>
      <w:pPr>
        <w:pStyle w:val="Heading1"/>
        <w:keepNext/>
      </w:pPr>
      <w:r>
        <w:rPr>
          <w:b w:val="0"/>
          <w:i w:val="0"/>
        </w:rPr>
        <w:t>BSCR runbook</w:t>
      </w:r>
      <w:bookmarkEnd w:id="1"/>
    </w:p>
    <w:p>
      <w:hyperlink r:id="rId9">
        <w:r>
          <w:rPr>
            <w:color w:val="0563C1"/>
            <w:u w:val="single"/>
          </w:rPr>
          <w:t>Population workbook</w:t>
        </w:r>
      </w:hyperlink>
      <w:r>
        <w:rPr>
          <w:b w:val="0"/>
          <w:i w:val="0"/>
        </w:rPr>
        <w:t xml:space="preserve"> · </w:t>
      </w:r>
      <w:hyperlink r:id="rId10">
        <w:r>
          <w:rPr>
            <w:color w:val="0563C1"/>
            <w:u w:val="single"/>
          </w:rPr>
          <w:t>Reconciliation workbook</w:t>
        </w:r>
      </w:hyperlink>
      <w:r>
        <w:rPr>
          <w:b w:val="0"/>
          <w:i w:val="0"/>
        </w:rPr>
        <w:t xml:space="preserve"> · </w:t>
      </w:r>
      <w:hyperlink r:id="rId11">
        <w:r>
          <w:rPr>
            <w:color w:val="0563C1"/>
            <w:u w:val="single"/>
          </w:rPr>
          <w:t>Reconciliation notes</w:t>
        </w:r>
      </w:hyperlink>
    </w:p>
    <w:p>
      <w:bookmarkStart w:id="2" w:name="bm_bscr_runbook_1_get_and_run_the_sql"/>
      <w:pPr>
        <w:pStyle w:val="Heading2"/>
        <w:keepNext/>
      </w:pPr>
      <w:r>
        <w:rPr>
          <w:b w:val="0"/>
          <w:i w:val="0"/>
        </w:rPr>
        <w:t>1. Get and run the SQL</w:t>
      </w:r>
      <w:bookmarkEnd w:id="2"/>
    </w:p>
    <w:p>
      <w:r>
        <w:rPr>
          <w:b w:val="0"/>
          <w:i w:val="0"/>
        </w:rPr>
        <w:t xml:space="preserve">Open </w:t>
      </w:r>
      <w:hyperlink r:id="rId12">
        <w:r>
          <w:rPr>
            <w:color w:val="0563C1"/>
            <w:u w:val="single"/>
          </w:rPr>
          <w:t>bscr-output.sql</w:t>
        </w:r>
      </w:hyperlink>
      <w:r>
        <w:rPr>
          <w:b w:val="0"/>
          <w:i w:val="0"/>
        </w:rPr>
        <w:t xml:space="preserve"> in your SQL client and select the approved EDM snapshot. Leave </w:t>
      </w:r>
      <w:r>
        <w:rPr>
          <w:rFonts w:ascii="Courier New" w:hAnsi="Courier New"/>
          <w:b w:val="0"/>
          <w:i w:val="0"/>
          <w:sz w:val="18"/>
        </w:rPr>
        <w:t>@bscr_entity = NULL</w:t>
      </w:r>
      <w:r>
        <w:rPr>
          <w:b w:val="0"/>
          <w:i w:val="0"/>
        </w:rPr>
        <w:t xml:space="preserve"> for all entities and check the FX and retention parameters. Run the complete script.</w:t>
      </w:r>
    </w:p>
    <w:p>
      <w:r>
        <w:rPr>
          <w:b w:val="0"/>
          <w:i w:val="0"/>
        </w:rPr>
        <w:t>The result has eight columns:</w:t>
      </w:r>
    </w:p>
    <w:p>
      <w:r>
        <w:rPr>
          <w:rFonts w:ascii="Courier New" w:hAnsi="Courier New"/>
          <w:b w:val="0"/>
          <w:i w:val="0"/>
          <w:sz w:val="18"/>
        </w:rPr>
        <w:t>cntrycode, bscr_entity, region, sum_pml, sum_net, count_policies, is_geocoded, peril_id</w:t>
      </w:r>
    </w:p>
    <w:p>
      <w:r>
        <w:rPr>
          <w:b w:val="0"/>
          <w:i w:val="0"/>
        </w:rPr>
        <w:t xml:space="preserve">Amounts are </w:t>
      </w:r>
      <w:r>
        <w:rPr>
          <w:b/>
          <w:i w:val="0"/>
        </w:rPr>
        <w:t>full USD</w:t>
      </w:r>
      <w:r>
        <w:rPr>
          <w:b w:val="0"/>
          <w:i w:val="0"/>
        </w:rPr>
        <w:t>, with FX already applied. Use the current script—not the legacy comparison query.</w:t>
      </w:r>
    </w:p>
    <w:p>
      <w:bookmarkStart w:id="3" w:name="bm_bscr_runbook_2_populate_the_workbook"/>
      <w:pPr>
        <w:pStyle w:val="Heading2"/>
        <w:keepNext/>
      </w:pPr>
      <w:r>
        <w:rPr>
          <w:b w:val="0"/>
          <w:i w:val="0"/>
        </w:rPr>
        <w:t>2. Populate the workbook</w:t>
      </w:r>
      <w:bookmarkEnd w:id="3"/>
    </w:p>
    <w:p>
      <w:r>
        <w:rPr>
          <w:b w:val="0"/>
          <w:i w:val="0"/>
        </w:rPr>
        <w:t xml:space="preserve">Open </w:t>
      </w:r>
      <w:hyperlink r:id="rId9">
        <w:r>
          <w:rPr>
            <w:color w:val="0563C1"/>
            <w:u w:val="single"/>
          </w:rPr>
          <w:t>BSCR_Auto_Population.xlsx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1. Clear the old data on </w:t>
      </w:r>
      <w:r>
        <w:rPr>
          <w:b/>
          <w:i w:val="0"/>
        </w:rPr>
        <w:t>SQL input</w:t>
      </w:r>
      <w:r>
        <w:rPr>
          <w:b w:val="0"/>
          <w:i w:val="0"/>
        </w:rPr>
        <w:t>, keeping the headers and table.</w:t>
      </w:r>
    </w:p>
    <w:p>
      <w:r>
        <w:rPr>
          <w:b w:val="0"/>
          <w:i w:val="0"/>
        </w:rPr>
        <w:t>2. Paste the new eight-column results below the headers. The entity tabs populate automatically.</w:t>
      </w:r>
    </w:p>
    <w:p>
      <w:r>
        <w:rPr>
          <w:b w:val="0"/>
          <w:i w:val="0"/>
        </w:rPr>
        <w:t xml:space="preserve">Do not leave stale rows below a shorter replacement. Use </w:t>
      </w:r>
      <w:r>
        <w:rPr>
          <w:b/>
          <w:i w:val="0"/>
        </w:rPr>
        <w:t>Calculate Now</w:t>
      </w:r>
      <w:r>
        <w:rPr>
          <w:b w:val="0"/>
          <w:i w:val="0"/>
        </w:rPr>
        <w:t xml:space="preserve"> if Excel does not refresh. No Python or macros are required.</w:t>
      </w:r>
    </w:p>
    <w:p>
      <w:bookmarkStart w:id="4" w:name="bm_bscr_runbook_3_review_and_save"/>
      <w:pPr>
        <w:pStyle w:val="Heading2"/>
        <w:keepNext/>
      </w:pPr>
      <w:r>
        <w:rPr>
          <w:b w:val="0"/>
          <w:i w:val="0"/>
        </w:rPr>
        <w:t>3. Review and save</w:t>
      </w:r>
      <w:bookmarkEnd w:id="4"/>
    </w:p>
    <w:p>
      <w:r>
        <w:rPr>
          <w:b w:val="0"/>
          <w:i w:val="0"/>
        </w:rPr>
        <w:t xml:space="preserve">• Review the </w:t>
      </w:r>
      <w:r>
        <w:rPr>
          <w:b/>
          <w:i w:val="0"/>
        </w:rPr>
        <w:t>33, 3624, HIC, HIG and HSA</w:t>
      </w:r>
      <w:r>
        <w:rPr>
          <w:b w:val="0"/>
          <w:i w:val="0"/>
        </w:rPr>
        <w:t xml:space="preserve"> tabs.</w:t>
      </w:r>
    </w:p>
    <w:p>
      <w:r>
        <w:rPr>
          <w:b w:val="0"/>
          <w:i w:val="0"/>
        </w:rPr>
        <w:t>• Green cells are automatic; complete the blue manual fields, including premiums and EP losses.</w:t>
      </w:r>
    </w:p>
    <w:p>
      <w:r>
        <w:rPr>
          <w:b w:val="0"/>
          <w:i w:val="0"/>
        </w:rPr>
        <w:t xml:space="preserve">• Money is displayed in USD millions. </w:t>
      </w:r>
      <w:r>
        <w:rPr>
          <w:b/>
          <w:i w:val="0"/>
        </w:rPr>
        <w:t>Do not apply FX again.</w:t>
      </w:r>
    </w:p>
    <w:p>
      <w:r>
        <w:rPr>
          <w:b w:val="0"/>
          <w:i w:val="0"/>
        </w:rPr>
        <w:t>• Geocoded means modelled/modellable; ungeocoded means not modelled/not modellable. Non-US is total minus US.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is earthquake only. Do not add overlapping regional totals together.</w:t>
      </w:r>
    </w:p>
    <w:p>
      <w:r>
        <w:rPr>
          <w:b w:val="0"/>
          <w:i w:val="0"/>
        </w:rPr>
        <w:t>• Resolve unmapped entities; counts are grouped rows, not verified distinct contracts.</w:t>
      </w:r>
    </w:p>
    <w:p>
      <w:r>
        <w:rPr>
          <w:b w:val="0"/>
          <w:i w:val="0"/>
        </w:rPr>
        <w:t>Save the workbook with the SQL results and source/parameter record. Review before submission.</w:t>
      </w:r>
    </w:p>
    <w:p>
      <w:r>
        <w:rPr>
          <w:b w:val="0"/>
          <w:i w:val="0"/>
        </w:rPr>
        <w:t xml:space="preserve">The preloaded data are the 737 uploaded rows from </w:t>
      </w:r>
      <w:hyperlink r:id="rId13">
        <w:r>
          <w:rPr>
            <w:color w:val="0563C1"/>
            <w:u w:val="single"/>
          </w:rPr>
          <w:t>bscr_output_wseq.csv</w:t>
        </w:r>
      </w:hyperlink>
      <w:r>
        <w:rPr>
          <w:b w:val="0"/>
          <w:i w:val="0"/>
        </w:rPr>
        <w:t xml:space="preserve">, not a live database connection. Historical comparisons are kept in the </w:t>
      </w:r>
      <w:hyperlink r:id="rId11">
        <w:r>
          <w:rPr>
            <w:color w:val="0563C1"/>
            <w:u w:val="single"/>
          </w:rPr>
          <w:t>separate reconciliation</w:t>
        </w:r>
      </w:hyperlink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../bscr/workbooks/BSCR_Auto_Population.xlsx" TargetMode="External"/><Relationship Id="rId10" Type="http://schemas.openxmlformats.org/officeDocument/2006/relationships/hyperlink" Target="../../bscr/reconcile/results/BSCR_Reconciliation.xlsx" TargetMode="External"/><Relationship Id="rId11" Type="http://schemas.openxmlformats.org/officeDocument/2006/relationships/hyperlink" Target="../bscr/reconciliation.md" TargetMode="External"/><Relationship Id="rId12" Type="http://schemas.openxmlformats.org/officeDocument/2006/relationships/hyperlink" Target="../../bscr/sql/bscr-output.sql" TargetMode="External"/><Relationship Id="rId13" Type="http://schemas.openxmlformats.org/officeDocument/2006/relationships/hyperlink" Target="../../bscr/reconcile/bscr_output_wseq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