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511"/>
        <w:gridCol w:w="3532"/>
        <w:gridCol w:w="4040"/>
        <w:gridCol w:w="1205"/>
      </w:tblGrid>
      <w:tr w:rsidR="004C52CC" w:rsidTr="00280C35">
        <w:tc>
          <w:tcPr>
            <w:tcW w:w="511" w:type="dxa"/>
          </w:tcPr>
          <w:p w:rsidR="004C52CC" w:rsidRDefault="004C52CC">
            <w:r>
              <w:t>ID</w:t>
            </w:r>
          </w:p>
        </w:tc>
        <w:tc>
          <w:tcPr>
            <w:tcW w:w="3532" w:type="dxa"/>
          </w:tcPr>
          <w:p w:rsidR="004C52CC" w:rsidRDefault="004C52CC">
            <w:r>
              <w:t>Title</w:t>
            </w:r>
          </w:p>
        </w:tc>
        <w:tc>
          <w:tcPr>
            <w:tcW w:w="4040" w:type="dxa"/>
          </w:tcPr>
          <w:p w:rsidR="004C52CC" w:rsidRDefault="004C52CC">
            <w:r>
              <w:t>Author</w:t>
            </w:r>
          </w:p>
        </w:tc>
        <w:tc>
          <w:tcPr>
            <w:tcW w:w="1205" w:type="dxa"/>
          </w:tcPr>
          <w:p w:rsidR="004C52CC" w:rsidRDefault="004C52CC">
            <w:r>
              <w:t>Affiliation</w:t>
            </w:r>
          </w:p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3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bookmarkStart w:id="0" w:name="lnkHiddenFieldIds"/>
            <w:r w:rsidRPr="00280C35">
              <w:t>Impact of Internet on Delivery of Critical Cardiac Health Care : A Case Study </w:t>
            </w:r>
            <w:bookmarkEnd w:id="0"/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Tapati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Basu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7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proofErr w:type="spellStart"/>
            <w:r w:rsidRPr="00280C35">
              <w:t>Color</w:t>
            </w:r>
            <w:proofErr w:type="spellEnd"/>
            <w:r w:rsidRPr="00280C35">
              <w:t xml:space="preserve"> Image Sharing Method based on Lagrange’s Interpolating Polynomial 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Jianjun</w:t>
            </w:r>
            <w:proofErr w:type="spellEnd"/>
            <w:r w:rsidRPr="00280C35">
              <w:t xml:space="preserve"> Liu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13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 xml:space="preserve">Automation in </w:t>
            </w:r>
            <w:proofErr w:type="spellStart"/>
            <w:r w:rsidRPr="00280C35">
              <w:t>Cytomics</w:t>
            </w:r>
            <w:proofErr w:type="spellEnd"/>
            <w:r w:rsidRPr="00280C35">
              <w:t>: A Modern RDBMS Based Platform for Image Analysis and Management in High-Throughput Screening Experiments 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r w:rsidRPr="00280C35">
              <w:t xml:space="preserve">Enrique </w:t>
            </w:r>
            <w:proofErr w:type="spellStart"/>
            <w:r w:rsidRPr="00280C35">
              <w:t>Larios</w:t>
            </w:r>
            <w:proofErr w:type="spellEnd"/>
            <w:r w:rsidRPr="00280C35">
              <w:t xml:space="preserve"> Vargas, Ying Zhang</w:t>
            </w:r>
            <w:r w:rsidRPr="00280C35">
              <w:br/>
            </w:r>
            <w:proofErr w:type="spellStart"/>
            <w:r w:rsidRPr="00280C35">
              <w:t>Kuan</w:t>
            </w:r>
            <w:proofErr w:type="spellEnd"/>
            <w:r w:rsidRPr="00280C35">
              <w:t xml:space="preserve"> Yan, </w:t>
            </w:r>
            <w:proofErr w:type="spellStart"/>
            <w:r w:rsidRPr="00280C35">
              <w:t>Zi</w:t>
            </w:r>
            <w:proofErr w:type="spellEnd"/>
            <w:r w:rsidRPr="00280C35">
              <w:t xml:space="preserve"> Di, Sylvia Le </w:t>
            </w:r>
            <w:proofErr w:type="spellStart"/>
            <w:r w:rsidRPr="00280C35">
              <w:t>Devedec</w:t>
            </w:r>
            <w:proofErr w:type="spellEnd"/>
            <w:r w:rsidRPr="00280C35">
              <w:t xml:space="preserve">, </w:t>
            </w:r>
            <w:proofErr w:type="spellStart"/>
            <w:r w:rsidRPr="00280C35">
              <w:t>Fabian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Groffen</w:t>
            </w:r>
            <w:proofErr w:type="spellEnd"/>
            <w:r w:rsidRPr="00280C35">
              <w:t xml:space="preserve">, </w:t>
            </w:r>
            <w:proofErr w:type="spellStart"/>
            <w:r w:rsidRPr="00280C35">
              <w:t>Fons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Verbeek</w:t>
            </w:r>
            <w:proofErr w:type="spellEnd"/>
            <w:r w:rsidRPr="00280C35">
              <w:t xml:space="preserve"> 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14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Integrating Healthcare-related Information using the Entity-Attribute-Value Storage Model 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Dortje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Löper</w:t>
            </w:r>
            <w:proofErr w:type="spellEnd"/>
            <w:r w:rsidRPr="00280C35">
              <w:t xml:space="preserve">, </w:t>
            </w:r>
            <w:proofErr w:type="spellStart"/>
            <w:r w:rsidRPr="00280C35">
              <w:t>Meike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Klettke</w:t>
            </w:r>
            <w:proofErr w:type="spellEnd"/>
            <w:r w:rsidRPr="00280C35">
              <w:t>, </w:t>
            </w:r>
            <w:proofErr w:type="spellStart"/>
            <w:r w:rsidRPr="00280C35">
              <w:t>Ilvio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Bruder</w:t>
            </w:r>
            <w:proofErr w:type="spellEnd"/>
            <w:r w:rsidRPr="00280C35">
              <w:t xml:space="preserve">, Andreas </w:t>
            </w:r>
            <w:proofErr w:type="spellStart"/>
            <w:r w:rsidRPr="00280C35">
              <w:t>Heuer</w:t>
            </w:r>
            <w:proofErr w:type="spellEnd"/>
            <w:r w:rsidRPr="00280C35">
              <w:t xml:space="preserve"> 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17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Median Polish with Power Transformations as an Alternative for the Analysis of Contingency Tables with Patient Data 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r w:rsidRPr="00280C35">
              <w:t xml:space="preserve">Frank </w:t>
            </w:r>
            <w:proofErr w:type="spellStart"/>
            <w:r w:rsidRPr="00280C35">
              <w:t>Klawonn</w:t>
            </w:r>
            <w:proofErr w:type="spellEnd"/>
            <w:r w:rsidRPr="00280C35">
              <w:t xml:space="preserve">, </w:t>
            </w:r>
            <w:proofErr w:type="spellStart"/>
            <w:r w:rsidRPr="00280C35">
              <w:t>Katja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Crull</w:t>
            </w:r>
            <w:proofErr w:type="spellEnd"/>
            <w:r w:rsidRPr="00280C35">
              <w:t xml:space="preserve">, Akiko </w:t>
            </w:r>
            <w:proofErr w:type="spellStart"/>
            <w:r w:rsidRPr="00280C35">
              <w:t>Kukita</w:t>
            </w:r>
            <w:proofErr w:type="spellEnd"/>
            <w:r w:rsidRPr="00280C35">
              <w:t xml:space="preserve">, Frank </w:t>
            </w:r>
            <w:proofErr w:type="spellStart"/>
            <w:r w:rsidRPr="00280C35">
              <w:t>Pessler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18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The Quantum of Mind. Cognitive Metaphor as a Affective Computing Device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r w:rsidRPr="00280C35">
              <w:t xml:space="preserve">Svetlana </w:t>
            </w:r>
            <w:proofErr w:type="spellStart"/>
            <w:r w:rsidRPr="00280C35">
              <w:t>Machova</w:t>
            </w:r>
            <w:proofErr w:type="spellEnd"/>
            <w:r w:rsidRPr="00280C35">
              <w:t xml:space="preserve">, Jana </w:t>
            </w:r>
            <w:proofErr w:type="spellStart"/>
            <w:r w:rsidRPr="00280C35">
              <w:t>Kleckova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21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FULL TEXT of Epidemic Outbreak and Spread Detection System Based on Twitter Data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r w:rsidRPr="00280C35">
              <w:t xml:space="preserve">Xiang </w:t>
            </w:r>
            <w:proofErr w:type="spellStart"/>
            <w:r w:rsidRPr="00280C35">
              <w:t>Ji</w:t>
            </w:r>
            <w:proofErr w:type="spellEnd"/>
            <w:r w:rsidRPr="00280C35">
              <w:t>, Soon Chun, James Geller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24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 xml:space="preserve">A lightweight approach for extracting disease-symptom relation with </w:t>
            </w:r>
            <w:proofErr w:type="spellStart"/>
            <w:r w:rsidRPr="00280C35">
              <w:t>MetaMap</w:t>
            </w:r>
            <w:proofErr w:type="spellEnd"/>
            <w:r w:rsidRPr="00280C35">
              <w:t xml:space="preserve"> toward automated generation of disease knowledge base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r w:rsidRPr="00280C35">
              <w:t>TAKASHI OKUMURA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25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An integrated approach for healthcare planning over dimensional data using long-term prediction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Rui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Henriques</w:t>
            </w:r>
            <w:proofErr w:type="spellEnd"/>
            <w:r w:rsidRPr="00280C35">
              <w:t xml:space="preserve">, </w:t>
            </w:r>
            <w:proofErr w:type="spellStart"/>
            <w:r w:rsidRPr="00280C35">
              <w:t>Cláudia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Antunes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28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A Knowledge-based Automated Feature Recognition System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Haolan</w:t>
            </w:r>
            <w:proofErr w:type="spellEnd"/>
            <w:r w:rsidRPr="00280C35">
              <w:t xml:space="preserve"> Zhang</w:t>
            </w:r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29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Application of BPM techniques and analysis in health care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Fedor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Lehocki</w:t>
            </w:r>
            <w:proofErr w:type="spellEnd"/>
            <w:r w:rsidR="00280C35" w:rsidRPr="00280C35">
              <w:t xml:space="preserve">, </w:t>
            </w:r>
            <w:proofErr w:type="spellStart"/>
            <w:r w:rsidRPr="00280C35">
              <w:t>Veronika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Hanuskova</w:t>
            </w:r>
            <w:proofErr w:type="spellEnd"/>
            <w:r w:rsidR="00280C35" w:rsidRPr="00280C35">
              <w:t xml:space="preserve">, </w:t>
            </w:r>
            <w:r w:rsidRPr="00280C35">
              <w:t xml:space="preserve">Andrej </w:t>
            </w:r>
            <w:proofErr w:type="spellStart"/>
            <w:r w:rsidRPr="00280C35">
              <w:t>Savka</w:t>
            </w:r>
            <w:proofErr w:type="spellEnd"/>
            <w:r w:rsidR="00280C35" w:rsidRPr="00280C35">
              <w:t xml:space="preserve">, </w:t>
            </w:r>
            <w:r w:rsidRPr="00280C35">
              <w:t xml:space="preserve">Lucia </w:t>
            </w:r>
            <w:proofErr w:type="spellStart"/>
            <w:r w:rsidRPr="00280C35">
              <w:t>Cibulkova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30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>MAKING BI WORK FOR PUBLIC HEALTH SYSTEMS IN DEVELOPING COUNTRIES: STRENGTHENING THE DATA TO INDICATOR MATCH: EXPERIENCES FROM TAJIKISTAN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Murodillo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Latifov</w:t>
            </w:r>
            <w:proofErr w:type="spellEnd"/>
            <w:r w:rsidR="00280C35" w:rsidRPr="00280C35">
              <w:t xml:space="preserve">, </w:t>
            </w:r>
            <w:proofErr w:type="spellStart"/>
            <w:r w:rsidRPr="00280C35">
              <w:t>Sundeep</w:t>
            </w:r>
            <w:proofErr w:type="spellEnd"/>
            <w:r w:rsidRPr="00280C35">
              <w:t xml:space="preserve"> </w:t>
            </w:r>
            <w:proofErr w:type="spellStart"/>
            <w:r w:rsidRPr="00280C35">
              <w:t>Sahay</w:t>
            </w:r>
            <w:proofErr w:type="spellEnd"/>
          </w:p>
        </w:tc>
        <w:tc>
          <w:tcPr>
            <w:tcW w:w="1205" w:type="dxa"/>
          </w:tcPr>
          <w:p w:rsidR="004C52CC" w:rsidRDefault="004C52CC"/>
        </w:tc>
      </w:tr>
      <w:tr w:rsidR="004C52CC" w:rsidTr="00280C35">
        <w:tc>
          <w:tcPr>
            <w:tcW w:w="511" w:type="dxa"/>
          </w:tcPr>
          <w:p w:rsidR="004C52CC" w:rsidRDefault="004C52CC">
            <w:r>
              <w:t>32</w:t>
            </w:r>
          </w:p>
        </w:tc>
        <w:tc>
          <w:tcPr>
            <w:tcW w:w="3532" w:type="dxa"/>
          </w:tcPr>
          <w:p w:rsidR="004C52CC" w:rsidRPr="00280C35" w:rsidRDefault="004C52CC" w:rsidP="004C52CC">
            <w:pPr>
              <w:spacing w:before="75"/>
            </w:pPr>
            <w:r w:rsidRPr="00280C35">
              <w:t xml:space="preserve">Building </w:t>
            </w:r>
            <w:proofErr w:type="spellStart"/>
            <w:r w:rsidRPr="00280C35">
              <w:t>Socioemotional</w:t>
            </w:r>
            <w:proofErr w:type="spellEnd"/>
            <w:r w:rsidRPr="00280C35">
              <w:t xml:space="preserve"> Environments in </w:t>
            </w:r>
            <w:proofErr w:type="spellStart"/>
            <w:r w:rsidRPr="00280C35">
              <w:t>Metaverses</w:t>
            </w:r>
            <w:proofErr w:type="spellEnd"/>
            <w:r w:rsidRPr="00280C35">
              <w:t xml:space="preserve"> for Virtual Teams in Healthcare: A Conceptual Exploration</w:t>
            </w:r>
          </w:p>
        </w:tc>
        <w:tc>
          <w:tcPr>
            <w:tcW w:w="4040" w:type="dxa"/>
          </w:tcPr>
          <w:p w:rsidR="004C52CC" w:rsidRDefault="004C52CC" w:rsidP="00280C35">
            <w:pPr>
              <w:spacing w:before="75"/>
            </w:pPr>
            <w:proofErr w:type="spellStart"/>
            <w:r w:rsidRPr="00280C35">
              <w:t>Xiaodan</w:t>
            </w:r>
            <w:proofErr w:type="spellEnd"/>
            <w:r w:rsidRPr="00280C35">
              <w:t xml:space="preserve"> Yu</w:t>
            </w:r>
            <w:r w:rsidR="00280C35" w:rsidRPr="00280C35">
              <w:t xml:space="preserve">, </w:t>
            </w:r>
            <w:r w:rsidRPr="00280C35">
              <w:t>Dawn Owens</w:t>
            </w:r>
            <w:r w:rsidR="00280C35" w:rsidRPr="00280C35">
              <w:t xml:space="preserve">, </w:t>
            </w:r>
            <w:r w:rsidRPr="00280C35">
              <w:t xml:space="preserve">Deepak </w:t>
            </w:r>
            <w:proofErr w:type="spellStart"/>
            <w:r w:rsidRPr="00280C35">
              <w:t>Khazanchi</w:t>
            </w:r>
            <w:proofErr w:type="spellEnd"/>
            <w:r w:rsidR="00280C35" w:rsidRPr="00280C35">
              <w:t xml:space="preserve">, </w:t>
            </w:r>
            <w:r w:rsidRPr="00280C35">
              <w:t>Yong Shi</w:t>
            </w:r>
          </w:p>
        </w:tc>
        <w:tc>
          <w:tcPr>
            <w:tcW w:w="1205" w:type="dxa"/>
          </w:tcPr>
          <w:p w:rsidR="004C52CC" w:rsidRDefault="004C52CC"/>
        </w:tc>
      </w:tr>
    </w:tbl>
    <w:p w:rsidR="0007665D" w:rsidRDefault="0007665D"/>
    <w:sectPr w:rsidR="0007665D" w:rsidSect="00076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F04" w:rsidRDefault="00B56F04" w:rsidP="004C52CC">
      <w:pPr>
        <w:spacing w:after="0" w:line="240" w:lineRule="auto"/>
      </w:pPr>
      <w:r>
        <w:separator/>
      </w:r>
    </w:p>
  </w:endnote>
  <w:endnote w:type="continuationSeparator" w:id="0">
    <w:p w:rsidR="00B56F04" w:rsidRDefault="00B56F04" w:rsidP="004C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F04" w:rsidRDefault="00B56F04" w:rsidP="004C52CC">
      <w:pPr>
        <w:spacing w:after="0" w:line="240" w:lineRule="auto"/>
      </w:pPr>
      <w:r>
        <w:separator/>
      </w:r>
    </w:p>
  </w:footnote>
  <w:footnote w:type="continuationSeparator" w:id="0">
    <w:p w:rsidR="00B56F04" w:rsidRDefault="00B56F04" w:rsidP="004C5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52CC"/>
    <w:rsid w:val="0007665D"/>
    <w:rsid w:val="00280C35"/>
    <w:rsid w:val="002F26C2"/>
    <w:rsid w:val="004C52CC"/>
    <w:rsid w:val="00B5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C52CC"/>
  </w:style>
  <w:style w:type="paragraph" w:styleId="a4">
    <w:name w:val="footer"/>
    <w:basedOn w:val="a"/>
    <w:link w:val="Char0"/>
    <w:uiPriority w:val="99"/>
    <w:semiHidden/>
    <w:unhideWhenUsed/>
    <w:rsid w:val="004C5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C52CC"/>
  </w:style>
  <w:style w:type="table" w:styleId="a5">
    <w:name w:val="Table Grid"/>
    <w:basedOn w:val="a1"/>
    <w:uiPriority w:val="59"/>
    <w:rsid w:val="004C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C5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1561</Characters>
  <Application>Microsoft Office Word</Application>
  <DocSecurity>0</DocSecurity>
  <Lines>13</Lines>
  <Paragraphs>3</Paragraphs>
  <ScaleCrop>false</ScaleCrop>
  <Company>Victoria University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25</cp:revision>
  <dcterms:created xsi:type="dcterms:W3CDTF">2012-01-11T07:43:00Z</dcterms:created>
  <dcterms:modified xsi:type="dcterms:W3CDTF">2012-01-11T07:56:00Z</dcterms:modified>
</cp:coreProperties>
</file>