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8"/>
          <w:szCs w:val="48"/>
          <w:rtl/>
        </w:rPr>
        <w:t xml:space="preserve">سجل المساهمين: الدليل الشامل</w:t>
      </w:r>
    </w:p>
    <w:p>
      <w:pPr>
        <w:bidi/>
        <w:spacing w:after="400"/>
        <w:jc w:val="center"/>
      </w:pPr>
      <w:r>
        <w:rPr>
          <w:rFonts w:ascii="Arial" w:cs="Arial" w:eastAsia="Arial" w:hAnsi="Arial"/>
          <w:i/>
          <w:iCs/>
          <w:color w:val="2E75B6"/>
          <w:sz w:val="28"/>
          <w:szCs w:val="28"/>
          <w:rtl/>
        </w:rPr>
        <w:t xml:space="preserve">التعريف، الأهمية، والإطار التنظيمي في المملكة العربية السعودية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يُعدّ سجل المساهمين العمود الفقري لأي شركة مساهمة، فهو الوثيقة الرسمية التي تثبت ملكية الأسهم وتُحدد هوية أصحابها وحقوقهم. ومع التطور التشريعي الذي تشهده المملكة العربية السعودية في إطار رؤية 2030، أصبح هذا السجل أكثر من مجرد قائمة بأسماء؛ إذ تحول إلى منظومة متكاملة تتقاطع فيها الجوانب القانونية والتقنية والمالية والحوكمية.</w:t>
      </w:r>
    </w:p>
    <w:p>
      <w:pPr>
        <w:bidi/>
        <w:spacing w:after="140" w:line="320"/>
        <w:jc w:val="both"/>
      </w:pPr>
      <w:r>
        <w:rPr>
          <w:rFonts w:ascii="Arial" w:cs="Arial" w:eastAsia="Arial" w:hAnsi="Arial"/>
          <w:sz w:val="24"/>
          <w:szCs w:val="24"/>
          <w:rtl/>
        </w:rPr>
        <w:t xml:space="preserve">في هذا الدليل الشامل، نستعرض كل ما يحتاج المختصون في حوكمة الشركات وأمناء سر المجالس ومسؤولو علاقات المساهمين إلى معرفته حول سجل المساهمين: من التعريف القانوني والإطار التنظيمي، إلى الأهمية العملية والمعايير الدولية الحاكمة، مع التركيز على البيئة التشريعية السعودية وفقاً لنظام الشركات الصادر بالمرسوم الملكي رقم (م/132) ولائحته التنفيذية الصادرة في عام 2023م.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ما هو سجل المساهمين؟</w:t>
      </w:r>
    </w:p>
    <w:p>
      <w:pPr>
        <w:pStyle w:val="Heading2"/>
        <w:bidi/>
        <w:spacing w:after="160" w:before="280"/>
        <w:jc w:val="right"/>
      </w:pPr>
      <w:r>
        <w:rPr>
          <w:rFonts w:ascii="Arial" w:cs="Arial" w:eastAsia="Arial" w:hAnsi="Arial"/>
          <w:b/>
          <w:bCs/>
          <w:color w:val="2E75B6"/>
          <w:sz w:val="30"/>
          <w:szCs w:val="30"/>
          <w:rtl/>
        </w:rPr>
        <w:t xml:space="preserve">التعريف القانوني</w:t>
      </w:r>
    </w:p>
    <w:p>
      <w:pPr>
        <w:bidi/>
        <w:spacing w:after="140" w:line="320"/>
        <w:jc w:val="both"/>
      </w:pPr>
      <w:r>
        <w:rPr>
          <w:rFonts w:ascii="Arial" w:cs="Arial" w:eastAsia="Arial" w:hAnsi="Arial"/>
          <w:sz w:val="24"/>
          <w:szCs w:val="24"/>
          <w:rtl/>
        </w:rPr>
        <w:t xml:space="preserve">سجل المساهمين هو الوثيقة الرسمية - الورقية أو الإلكترونية - التي تُعدّها الشركة المساهمة وتحتفظ بها، وتُسجَّل فيها بيانات جميع المساهمين الذين يملكون أسهماً في الشركة، مع تفاصيل ملكيتهم وأي تغييرات تطرأ عليها. وهو بمثابة "السجل المدني" للشركة من ناحية الملكية، إذ لا يُعتبر الشخص مساهماً بالمعنى القانوني الكامل إلا بقيد اسمه في هذا السجل.</w:t>
      </w:r>
    </w:p>
    <w:p>
      <w:pPr>
        <w:bidi/>
        <w:spacing w:after="140" w:line="320"/>
        <w:jc w:val="both"/>
      </w:pPr>
      <w:r>
        <w:rPr>
          <w:rFonts w:ascii="Arial" w:cs="Arial" w:eastAsia="Arial" w:hAnsi="Arial"/>
          <w:sz w:val="24"/>
          <w:szCs w:val="24"/>
          <w:rtl/>
        </w:rPr>
        <w:t xml:space="preserve">ووفقاً لنظام الشركات السعودي، يُعتبر القيد في السجل قرينة قانونية على ملكية الأسهم، ومن خلاله تُمارَس جميع الحقوق المرتبطة بالأسهم، من حق التصويت في الجمعيات العمومية إلى استلام توزيعات الأرباح والاكتتاب في الأسهم الجديدة.</w:t>
      </w:r>
    </w:p>
    <w:p>
      <w:pPr>
        <w:pStyle w:val="Heading2"/>
        <w:bidi/>
        <w:spacing w:after="160" w:before="280"/>
        <w:jc w:val="right"/>
      </w:pPr>
      <w:r>
        <w:rPr>
          <w:rFonts w:ascii="Arial" w:cs="Arial" w:eastAsia="Arial" w:hAnsi="Arial"/>
          <w:b/>
          <w:bCs/>
          <w:color w:val="2E75B6"/>
          <w:sz w:val="30"/>
          <w:szCs w:val="30"/>
          <w:rtl/>
        </w:rPr>
        <w:t xml:space="preserve">التعريف الوظيفي</w:t>
      </w:r>
    </w:p>
    <w:p>
      <w:pPr>
        <w:bidi/>
        <w:spacing w:after="140" w:line="320"/>
        <w:jc w:val="both"/>
      </w:pPr>
      <w:r>
        <w:rPr>
          <w:rFonts w:ascii="Arial" w:cs="Arial" w:eastAsia="Arial" w:hAnsi="Arial"/>
          <w:sz w:val="24"/>
          <w:szCs w:val="24"/>
          <w:rtl/>
        </w:rPr>
        <w:t xml:space="preserve">من الناحية العملية، يمكن النظر إلى سجل المساهمين باعتباره قاعدة بيانات حية ومتجددة تؤدي ثلاث وظائف جوهرية:</w:t>
      </w:r>
    </w:p>
    <w:p>
      <w:pPr>
        <w:pStyle w:val="ListParagraph"/>
        <w:numPr>
          <w:ilvl w:val="0"/>
          <w:numId w:val="2"/>
        </w:numPr>
        <w:bidi/>
        <w:spacing w:after="100" w:line="300"/>
        <w:jc w:val="right"/>
      </w:pPr>
      <w:r>
        <w:rPr>
          <w:rFonts w:ascii="Arial" w:cs="Arial" w:eastAsia="Arial" w:hAnsi="Arial"/>
          <w:b/>
          <w:bCs/>
          <w:color w:val="1F4E79"/>
          <w:sz w:val="24"/>
          <w:szCs w:val="24"/>
          <w:rtl/>
        </w:rPr>
        <w:t xml:space="preserve">وظيفة إثباتية: </w:t>
      </w:r>
      <w:r>
        <w:rPr>
          <w:rFonts w:ascii="Arial" w:cs="Arial" w:eastAsia="Arial" w:hAnsi="Arial"/>
          <w:sz w:val="24"/>
          <w:szCs w:val="24"/>
          <w:rtl/>
        </w:rPr>
        <w:t xml:space="preserve">إثبات ملكية الأسهم وتحديد هوية أصحاب الحقوق في الشركة.</w:t>
      </w:r>
    </w:p>
    <w:p>
      <w:pPr>
        <w:pStyle w:val="ListParagraph"/>
        <w:numPr>
          <w:ilvl w:val="0"/>
          <w:numId w:val="2"/>
        </w:numPr>
        <w:bidi/>
        <w:spacing w:after="100" w:line="300"/>
        <w:jc w:val="right"/>
      </w:pPr>
      <w:r>
        <w:rPr>
          <w:rFonts w:ascii="Arial" w:cs="Arial" w:eastAsia="Arial" w:hAnsi="Arial"/>
          <w:b/>
          <w:bCs/>
          <w:color w:val="1F4E79"/>
          <w:sz w:val="24"/>
          <w:szCs w:val="24"/>
          <w:rtl/>
        </w:rPr>
        <w:t xml:space="preserve">وظيفة تنظيمية: </w:t>
      </w:r>
      <w:r>
        <w:rPr>
          <w:rFonts w:ascii="Arial" w:cs="Arial" w:eastAsia="Arial" w:hAnsi="Arial"/>
          <w:sz w:val="24"/>
          <w:szCs w:val="24"/>
          <w:rtl/>
        </w:rPr>
        <w:t xml:space="preserve">تنظيم العلاقة بين الشركة ومساهميها، وتحديد القنوات الرسمية للتواصل والإفصاح.</w:t>
      </w:r>
    </w:p>
    <w:p>
      <w:pPr>
        <w:pStyle w:val="ListParagraph"/>
        <w:numPr>
          <w:ilvl w:val="0"/>
          <w:numId w:val="2"/>
        </w:numPr>
        <w:bidi/>
        <w:spacing w:after="100" w:line="300"/>
        <w:jc w:val="right"/>
      </w:pPr>
      <w:r>
        <w:rPr>
          <w:rFonts w:ascii="Arial" w:cs="Arial" w:eastAsia="Arial" w:hAnsi="Arial"/>
          <w:b/>
          <w:bCs/>
          <w:color w:val="1F4E79"/>
          <w:sz w:val="24"/>
          <w:szCs w:val="24"/>
          <w:rtl/>
        </w:rPr>
        <w:t xml:space="preserve">وظيفة رقابية: </w:t>
      </w:r>
      <w:r>
        <w:rPr>
          <w:rFonts w:ascii="Arial" w:cs="Arial" w:eastAsia="Arial" w:hAnsi="Arial"/>
          <w:sz w:val="24"/>
          <w:szCs w:val="24"/>
          <w:rtl/>
        </w:rPr>
        <w:t xml:space="preserve">تمكين الجهات التنظيمية والمساهمين من رصد التغيرات في هيكل الملكية وضمان الشفافية.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الأهمية القانونية لسجل المساهمين</w:t>
      </w:r>
    </w:p>
    <w:p>
      <w:pPr>
        <w:bidi/>
        <w:spacing w:after="140" w:line="320"/>
        <w:jc w:val="both"/>
      </w:pPr>
      <w:r>
        <w:rPr>
          <w:rFonts w:ascii="Arial" w:cs="Arial" w:eastAsia="Arial" w:hAnsi="Arial"/>
          <w:sz w:val="24"/>
          <w:szCs w:val="24"/>
          <w:rtl/>
        </w:rPr>
        <w:t xml:space="preserve">لا يمكن المبالغة في تقدير الأهمية القانونية لسجل المساهمين، فهو ليس مجرد إجراء شكلي، بل ركيزة قانونية تترتب عليها آثار جوهرية على الشركة ومساهميها والأطراف الثالثة على حدٍ سواء. وتتجلى هذه الأهمية في عدة محاور:</w:t>
      </w:r>
    </w:p>
    <w:p>
      <w:pPr>
        <w:pStyle w:val="Heading2"/>
        <w:bidi/>
        <w:spacing w:after="160" w:before="280"/>
        <w:jc w:val="right"/>
      </w:pPr>
      <w:r>
        <w:rPr>
          <w:rFonts w:ascii="Arial" w:cs="Arial" w:eastAsia="Arial" w:hAnsi="Arial"/>
          <w:b/>
          <w:bCs/>
          <w:color w:val="2E75B6"/>
          <w:sz w:val="30"/>
          <w:szCs w:val="30"/>
          <w:rtl/>
        </w:rPr>
        <w:t xml:space="preserve">1. إثبات صفة المساهم</w:t>
      </w:r>
    </w:p>
    <w:p>
      <w:pPr>
        <w:bidi/>
        <w:spacing w:after="140" w:line="320"/>
        <w:jc w:val="both"/>
      </w:pPr>
      <w:r>
        <w:rPr>
          <w:rFonts w:ascii="Arial" w:cs="Arial" w:eastAsia="Arial" w:hAnsi="Arial"/>
          <w:sz w:val="24"/>
          <w:szCs w:val="24"/>
          <w:rtl/>
        </w:rPr>
        <w:t xml:space="preserve">القيد في السجل هو الدليل القاطع على صفة المساهم، وعليه تُبنى جميع الحقوق والالتزامات. فالشخص الذي يحوز شهادات أسهم أو يدّعي ملكيتها دون قيد رسمي في السجل لا يستطيع المطالبة بحقوقه قِبَل الشركة، حتى يتم القيد بشكل نظامي.</w:t>
      </w:r>
    </w:p>
    <w:p>
      <w:pPr>
        <w:pStyle w:val="Heading2"/>
        <w:bidi/>
        <w:spacing w:after="160" w:before="280"/>
        <w:jc w:val="right"/>
      </w:pPr>
      <w:r>
        <w:rPr>
          <w:rFonts w:ascii="Arial" w:cs="Arial" w:eastAsia="Arial" w:hAnsi="Arial"/>
          <w:b/>
          <w:bCs/>
          <w:color w:val="2E75B6"/>
          <w:sz w:val="30"/>
          <w:szCs w:val="30"/>
          <w:rtl/>
        </w:rPr>
        <w:t xml:space="preserve">2. تحديد المخاطبين بالحقوق</w:t>
      </w:r>
    </w:p>
    <w:p>
      <w:pPr>
        <w:bidi/>
        <w:spacing w:after="140" w:line="320"/>
        <w:jc w:val="both"/>
      </w:pPr>
      <w:r>
        <w:rPr>
          <w:rFonts w:ascii="Arial" w:cs="Arial" w:eastAsia="Arial" w:hAnsi="Arial"/>
          <w:sz w:val="24"/>
          <w:szCs w:val="24"/>
          <w:rtl/>
        </w:rPr>
        <w:t xml:space="preserve">عند توزيع الأرباح أو الدعوة لجمعية عمومية أو إصدار أسهم جديدة بحقوق الأولوية، تعتمد الشركة على السجل لتحديد المساهمين المستحقين في تاريخ محدد يُسمى "تاريخ الأحقية" أو "تاريخ القيد" (Record Date). وأي خطأ في السجل قد يؤدي إلى نزاعات قضائية وتعويضات.</w:t>
      </w:r>
    </w:p>
    <w:p>
      <w:pPr>
        <w:pStyle w:val="Heading2"/>
        <w:bidi/>
        <w:spacing w:after="160" w:before="280"/>
        <w:jc w:val="right"/>
      </w:pPr>
      <w:r>
        <w:rPr>
          <w:rFonts w:ascii="Arial" w:cs="Arial" w:eastAsia="Arial" w:hAnsi="Arial"/>
          <w:b/>
          <w:bCs/>
          <w:color w:val="2E75B6"/>
          <w:sz w:val="30"/>
          <w:szCs w:val="30"/>
          <w:rtl/>
        </w:rPr>
        <w:t xml:space="preserve">3. حماية حقوق الأطراف الثالثة</w:t>
      </w:r>
    </w:p>
    <w:p>
      <w:pPr>
        <w:bidi/>
        <w:spacing w:after="140" w:line="320"/>
        <w:jc w:val="both"/>
      </w:pPr>
      <w:r>
        <w:rPr>
          <w:rFonts w:ascii="Arial" w:cs="Arial" w:eastAsia="Arial" w:hAnsi="Arial"/>
          <w:sz w:val="24"/>
          <w:szCs w:val="24"/>
          <w:rtl/>
        </w:rPr>
        <w:t xml:space="preserve">في حالات الرهن أو الحجز أو نقل الملكية، يُعدّ السجل المرجع الرسمي للتحقق من سلامة الإجراءات. فالمرتهن لا تكتمل حمايته القانونية إلا بقيد الرهن في السجل، والحجز لا ينتج آثاره القانونية على الشركة إلا بتبليغها رسمياً وتسجيله.</w:t>
      </w:r>
    </w:p>
    <w:p>
      <w:pPr>
        <w:pStyle w:val="Heading2"/>
        <w:bidi/>
        <w:spacing w:after="160" w:before="280"/>
        <w:jc w:val="right"/>
      </w:pPr>
      <w:r>
        <w:rPr>
          <w:rFonts w:ascii="Arial" w:cs="Arial" w:eastAsia="Arial" w:hAnsi="Arial"/>
          <w:b/>
          <w:bCs/>
          <w:color w:val="2E75B6"/>
          <w:sz w:val="30"/>
          <w:szCs w:val="30"/>
          <w:rtl/>
        </w:rPr>
        <w:t xml:space="preserve">4. الامتثال للمتطلبات التنظيمية</w:t>
      </w:r>
    </w:p>
    <w:p>
      <w:pPr>
        <w:bidi/>
        <w:spacing w:after="140" w:line="320"/>
        <w:jc w:val="both"/>
      </w:pPr>
      <w:r>
        <w:rPr>
          <w:rFonts w:ascii="Arial" w:cs="Arial" w:eastAsia="Arial" w:hAnsi="Arial"/>
          <w:sz w:val="24"/>
          <w:szCs w:val="24"/>
          <w:rtl/>
        </w:rPr>
        <w:t xml:space="preserve">تُلزم الجهات التنظيمية - وزارة التجارة وهيئة السوق المالية - الشركات بإمساك السجل وفق ضوابط محددة، والإفصاح عن بيانات معينة منه بشكل دوري، مثل قائمة كبار المساهمين الذين يملكون 5% فأكثر من رأس المال.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قانونية مهمة</w:t>
            </w:r>
          </w:p>
          <w:p>
            <w:pPr>
              <w:bidi/>
              <w:spacing w:line="300"/>
              <w:jc w:val="both"/>
            </w:pPr>
            <w:r>
              <w:rPr>
                <w:rFonts w:ascii="Arial" w:cs="Arial" w:eastAsia="Arial" w:hAnsi="Arial"/>
                <w:sz w:val="24"/>
                <w:szCs w:val="24"/>
                <w:rtl/>
              </w:rPr>
              <w:t xml:space="preserve">وفقاً للائحة التنفيذية لنظام الشركات السعودي، تتحمل الشركة - ممثلةً برئيس مجلس إدارتها - المسؤولية الكاملة عن دقة سجل المساهمين وسلامته، ويترتب على الإخلال بهذا الواجب عقوبات قد تصل إلى الغرامات المالية والمسؤولية المدنية عن الأضرار التي تلحق بالمساهمين أو الغير.</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الأهمية التشغيلية والإدارية</w:t>
      </w:r>
    </w:p>
    <w:p>
      <w:pPr>
        <w:bidi/>
        <w:spacing w:after="140" w:line="320"/>
        <w:jc w:val="both"/>
      </w:pPr>
      <w:r>
        <w:rPr>
          <w:rFonts w:ascii="Arial" w:cs="Arial" w:eastAsia="Arial" w:hAnsi="Arial"/>
          <w:sz w:val="24"/>
          <w:szCs w:val="24"/>
          <w:rtl/>
        </w:rPr>
        <w:t xml:space="preserve">إلى جانب الأهمية القانونية، يلعب سجل المساهمين دوراً تشغيلياً محورياً في الإدارة اليومية للشركة، ويؤثر بشكل مباشر على كفاءة عدة عمليات حيوية:</w:t>
      </w:r>
    </w:p>
    <w:p>
      <w:pPr>
        <w:pStyle w:val="Heading3"/>
        <w:bidi/>
        <w:spacing w:after="120" w:before="200"/>
        <w:jc w:val="right"/>
      </w:pPr>
      <w:r>
        <w:rPr>
          <w:rFonts w:ascii="Arial" w:cs="Arial" w:eastAsia="Arial" w:hAnsi="Arial"/>
          <w:b/>
          <w:bCs/>
          <w:color w:val="1F4E79"/>
          <w:sz w:val="26"/>
          <w:szCs w:val="26"/>
          <w:rtl/>
        </w:rPr>
        <w:t xml:space="preserve">التواصل مع المساهمين</w:t>
      </w:r>
    </w:p>
    <w:p>
      <w:pPr>
        <w:bidi/>
        <w:spacing w:after="140" w:line="320"/>
        <w:jc w:val="both"/>
      </w:pPr>
      <w:r>
        <w:rPr>
          <w:rFonts w:ascii="Arial" w:cs="Arial" w:eastAsia="Arial" w:hAnsi="Arial"/>
          <w:sz w:val="24"/>
          <w:szCs w:val="24"/>
          <w:rtl/>
        </w:rPr>
        <w:t xml:space="preserve">السجل هو المصدر الذي تستقي منه الشركة بيانات الاتصال الرسمية للمساهمين، سواء لإرسال الدعوات للجمعيات العمومية، أو الإشعارات بتوزيعات الأرباح، أو التقارير السنوية، أو أي إفصاحات مادية تتطلب إبلاغ المساهمين.</w:t>
      </w:r>
    </w:p>
    <w:p>
      <w:pPr>
        <w:pStyle w:val="Heading3"/>
        <w:bidi/>
        <w:spacing w:after="120" w:before="200"/>
        <w:jc w:val="right"/>
      </w:pPr>
      <w:r>
        <w:rPr>
          <w:rFonts w:ascii="Arial" w:cs="Arial" w:eastAsia="Arial" w:hAnsi="Arial"/>
          <w:b/>
          <w:bCs/>
          <w:color w:val="1F4E79"/>
          <w:sz w:val="26"/>
          <w:szCs w:val="26"/>
          <w:rtl/>
        </w:rPr>
        <w:t xml:space="preserve">تنظيم الجمعيات العمومية</w:t>
      </w:r>
    </w:p>
    <w:p>
      <w:pPr>
        <w:bidi/>
        <w:spacing w:after="140" w:line="320"/>
        <w:jc w:val="both"/>
      </w:pPr>
      <w:r>
        <w:rPr>
          <w:rFonts w:ascii="Arial" w:cs="Arial" w:eastAsia="Arial" w:hAnsi="Arial"/>
          <w:sz w:val="24"/>
          <w:szCs w:val="24"/>
          <w:rtl/>
        </w:rPr>
        <w:t xml:space="preserve">لا يمكن عقد جمعية عمومية بشكل صحيح دون سجل دقيق ومحدّث، إذ يُستخدم في: التحقق من النصاب القانوني، التأكد من صحة التوكيلات، احتساب الأصوات، تحديد المساهمين الذين يحق لهم التصويت.</w:t>
      </w:r>
    </w:p>
    <w:p>
      <w:pPr>
        <w:pStyle w:val="Heading3"/>
        <w:bidi/>
        <w:spacing w:after="120" w:before="200"/>
        <w:jc w:val="right"/>
      </w:pPr>
      <w:r>
        <w:rPr>
          <w:rFonts w:ascii="Arial" w:cs="Arial" w:eastAsia="Arial" w:hAnsi="Arial"/>
          <w:b/>
          <w:bCs/>
          <w:color w:val="1F4E79"/>
          <w:sz w:val="26"/>
          <w:szCs w:val="26"/>
          <w:rtl/>
        </w:rPr>
        <w:t xml:space="preserve">توزيع الأرباح</w:t>
      </w:r>
    </w:p>
    <w:p>
      <w:pPr>
        <w:bidi/>
        <w:spacing w:after="140" w:line="320"/>
        <w:jc w:val="both"/>
      </w:pPr>
      <w:r>
        <w:rPr>
          <w:rFonts w:ascii="Arial" w:cs="Arial" w:eastAsia="Arial" w:hAnsi="Arial"/>
          <w:sz w:val="24"/>
          <w:szCs w:val="24"/>
          <w:rtl/>
        </w:rPr>
        <w:t xml:space="preserve">عند إقرار توزيعات الأرباح، يكون السجل في تاريخ الأحقية هو المرجع لتحديد المستحقين وحساب نصيب كل منهم وفقاً لعدد الأسهم المملوكة وفئتها.</w:t>
      </w:r>
    </w:p>
    <w:p>
      <w:pPr>
        <w:pStyle w:val="Heading3"/>
        <w:bidi/>
        <w:spacing w:after="120" w:before="200"/>
        <w:jc w:val="right"/>
      </w:pPr>
      <w:r>
        <w:rPr>
          <w:rFonts w:ascii="Arial" w:cs="Arial" w:eastAsia="Arial" w:hAnsi="Arial"/>
          <w:b/>
          <w:bCs/>
          <w:color w:val="1F4E79"/>
          <w:sz w:val="26"/>
          <w:szCs w:val="26"/>
          <w:rtl/>
        </w:rPr>
        <w:t xml:space="preserve">إدارة عمليات رأس المال</w:t>
      </w:r>
    </w:p>
    <w:p>
      <w:pPr>
        <w:bidi/>
        <w:spacing w:after="140" w:line="320"/>
        <w:jc w:val="both"/>
      </w:pPr>
      <w:r>
        <w:rPr>
          <w:rFonts w:ascii="Arial" w:cs="Arial" w:eastAsia="Arial" w:hAnsi="Arial"/>
          <w:sz w:val="24"/>
          <w:szCs w:val="24"/>
          <w:rtl/>
        </w:rPr>
        <w:t xml:space="preserve">في حالات زيادة رأس المال أو تخفيضه، أو إصدار أسهم جديدة، أو تجزئة الأسهم أو دمجها، يُعدّ السجل أداة لا غنى عنها لتنفيذ هذه العمليات بدقة وعدالة.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الإطار التنظيمي في المملكة العربية السعودية</w:t>
      </w:r>
    </w:p>
    <w:p>
      <w:pPr>
        <w:bidi/>
        <w:spacing w:after="140" w:line="320"/>
        <w:jc w:val="both"/>
      </w:pPr>
      <w:r>
        <w:rPr>
          <w:rFonts w:ascii="Arial" w:cs="Arial" w:eastAsia="Arial" w:hAnsi="Arial"/>
          <w:sz w:val="24"/>
          <w:szCs w:val="24"/>
          <w:rtl/>
        </w:rPr>
        <w:t xml:space="preserve">تخضع إدارة سجل المساهمين في المملكة العربية السعودية لمنظومة متكاملة من التشريعات واللوائح، تتدرج من النظام العام إلى اللوائح التنفيذية والقرارات التطبيقية. ومن الضروري للممارسين الإلمام بهذه المنظومة لضمان الامتثال الكامل.</w:t>
      </w:r>
    </w:p>
    <w:p>
      <w:pPr>
        <w:pStyle w:val="Heading2"/>
        <w:bidi/>
        <w:spacing w:after="160" w:before="280"/>
        <w:jc w:val="right"/>
      </w:pPr>
      <w:r>
        <w:rPr>
          <w:rFonts w:ascii="Arial" w:cs="Arial" w:eastAsia="Arial" w:hAnsi="Arial"/>
          <w:b/>
          <w:bCs/>
          <w:color w:val="2E75B6"/>
          <w:sz w:val="30"/>
          <w:szCs w:val="30"/>
          <w:rtl/>
        </w:rPr>
        <w:t xml:space="preserve">1. نظام الشركات الصادر بالمرسوم الملكي رقم (م/132)</w:t>
      </w:r>
    </w:p>
    <w:p>
      <w:pPr>
        <w:bidi/>
        <w:spacing w:after="140" w:line="320"/>
        <w:jc w:val="both"/>
      </w:pPr>
      <w:r>
        <w:rPr>
          <w:rFonts w:ascii="Arial" w:cs="Arial" w:eastAsia="Arial" w:hAnsi="Arial"/>
          <w:sz w:val="24"/>
          <w:szCs w:val="24"/>
          <w:rtl/>
        </w:rPr>
        <w:t xml:space="preserve">يُعدّ نظام الشركات الصادر بالمرسوم الملكي رقم (م/132) وتاريخ 1/12/1443هـ، والذي بدأ تطبيقه في 19 يناير 2023م، المرجع الأساسي لتنظيم الشركات في المملكة. وقد أحدث هذا النظام نقلة نوعية في حوكمة الشركات، بما في ذلك ما يتعلق بسجل المساهمين.</w:t>
      </w:r>
    </w:p>
    <w:p>
      <w:pPr>
        <w:bidi/>
        <w:spacing w:after="140" w:line="320"/>
        <w:jc w:val="both"/>
      </w:pPr>
      <w:r>
        <w:rPr>
          <w:rFonts w:ascii="Arial" w:cs="Arial" w:eastAsia="Arial" w:hAnsi="Arial"/>
          <w:sz w:val="24"/>
          <w:szCs w:val="24"/>
          <w:rtl/>
        </w:rPr>
        <w:t xml:space="preserve">ومن أبرز ما تناوله النظام بخصوص سجل المساهمين:</w:t>
      </w:r>
    </w:p>
    <w:p>
      <w:pPr>
        <w:pStyle w:val="ListParagraph"/>
        <w:numPr>
          <w:ilvl w:val="0"/>
          <w:numId w:val="3"/>
        </w:numPr>
        <w:bidi/>
        <w:spacing w:after="100" w:line="300"/>
        <w:jc w:val="right"/>
      </w:pPr>
      <w:r>
        <w:rPr>
          <w:rFonts w:ascii="Arial" w:cs="Arial" w:eastAsia="Arial" w:hAnsi="Arial"/>
          <w:sz w:val="24"/>
          <w:szCs w:val="24"/>
          <w:rtl/>
        </w:rPr>
        <w:t xml:space="preserve">إلزام الشركات المساهمة بإمساك سجل خاص للمساهمين.</w:t>
      </w:r>
    </w:p>
    <w:p>
      <w:pPr>
        <w:pStyle w:val="ListParagraph"/>
        <w:numPr>
          <w:ilvl w:val="0"/>
          <w:numId w:val="3"/>
        </w:numPr>
        <w:bidi/>
        <w:spacing w:after="100" w:line="300"/>
        <w:jc w:val="right"/>
      </w:pPr>
      <w:r>
        <w:rPr>
          <w:rFonts w:ascii="Arial" w:cs="Arial" w:eastAsia="Arial" w:hAnsi="Arial"/>
          <w:sz w:val="24"/>
          <w:szCs w:val="24"/>
          <w:rtl/>
        </w:rPr>
        <w:t xml:space="preserve">تحديد البيانات الإلزامية الواجب تضمينها في السجل.</w:t>
      </w:r>
    </w:p>
    <w:p>
      <w:pPr>
        <w:pStyle w:val="ListParagraph"/>
        <w:numPr>
          <w:ilvl w:val="0"/>
          <w:numId w:val="3"/>
        </w:numPr>
        <w:bidi/>
        <w:spacing w:after="100" w:line="300"/>
        <w:jc w:val="right"/>
      </w:pPr>
      <w:r>
        <w:rPr>
          <w:rFonts w:ascii="Arial" w:cs="Arial" w:eastAsia="Arial" w:hAnsi="Arial"/>
          <w:sz w:val="24"/>
          <w:szCs w:val="24"/>
          <w:rtl/>
        </w:rPr>
        <w:t xml:space="preserve">تنظيم قواعد نقل ملكية الأسهم وقيدها في السجل.</w:t>
      </w:r>
    </w:p>
    <w:p>
      <w:pPr>
        <w:pStyle w:val="ListParagraph"/>
        <w:numPr>
          <w:ilvl w:val="0"/>
          <w:numId w:val="3"/>
        </w:numPr>
        <w:bidi/>
        <w:spacing w:after="100" w:line="300"/>
        <w:jc w:val="right"/>
      </w:pPr>
      <w:r>
        <w:rPr>
          <w:rFonts w:ascii="Arial" w:cs="Arial" w:eastAsia="Arial" w:hAnsi="Arial"/>
          <w:sz w:val="24"/>
          <w:szCs w:val="24"/>
          <w:rtl/>
        </w:rPr>
        <w:t xml:space="preserve">ضبط أحكام رهن الأسهم والتأشير عليه في السجل.</w:t>
      </w:r>
    </w:p>
    <w:p>
      <w:pPr>
        <w:pStyle w:val="ListParagraph"/>
        <w:numPr>
          <w:ilvl w:val="0"/>
          <w:numId w:val="3"/>
        </w:numPr>
        <w:bidi/>
        <w:spacing w:after="100" w:line="300"/>
        <w:jc w:val="right"/>
      </w:pPr>
      <w:r>
        <w:rPr>
          <w:rFonts w:ascii="Arial" w:cs="Arial" w:eastAsia="Arial" w:hAnsi="Arial"/>
          <w:sz w:val="24"/>
          <w:szCs w:val="24"/>
          <w:rtl/>
        </w:rPr>
        <w:t xml:space="preserve">تنظيم حقوق المساهمين في الاطلاع على السجل.</w:t>
      </w:r>
    </w:p>
    <w:p>
      <w:pPr>
        <w:pStyle w:val="Heading2"/>
        <w:bidi/>
        <w:spacing w:after="160" w:before="280"/>
        <w:jc w:val="right"/>
      </w:pPr>
      <w:r>
        <w:rPr>
          <w:rFonts w:ascii="Arial" w:cs="Arial" w:eastAsia="Arial" w:hAnsi="Arial"/>
          <w:b/>
          <w:bCs/>
          <w:color w:val="2E75B6"/>
          <w:sz w:val="30"/>
          <w:szCs w:val="30"/>
          <w:rtl/>
        </w:rPr>
        <w:t xml:space="preserve">2. اللائحة التنفيذية لنظام الشركات</w:t>
      </w:r>
    </w:p>
    <w:p>
      <w:pPr>
        <w:bidi/>
        <w:spacing w:after="140" w:line="320"/>
        <w:jc w:val="both"/>
      </w:pPr>
      <w:r>
        <w:rPr>
          <w:rFonts w:ascii="Arial" w:cs="Arial" w:eastAsia="Arial" w:hAnsi="Arial"/>
          <w:sz w:val="24"/>
          <w:szCs w:val="24"/>
          <w:rtl/>
        </w:rPr>
        <w:t xml:space="preserve">صدرت اللائحة التنفيذية لنظام الشركات لتكمّل الأحكام العامة الواردة في النظام وتوضح آليات التطبيق العملي. وتتضمن اللائحة فصولاً مفصّلة عن إجراءات القيد في السجل، نماذج طلبات نقل الملكية، ضوابط رهن الأسهم وفك الرهن، شروط الاطلاع على السجل والحصول على مستخرجات منه.</w:t>
      </w:r>
    </w:p>
    <w:p>
      <w:pPr>
        <w:pStyle w:val="Heading2"/>
        <w:bidi/>
        <w:spacing w:after="160" w:before="280"/>
        <w:jc w:val="right"/>
      </w:pPr>
      <w:r>
        <w:rPr>
          <w:rFonts w:ascii="Arial" w:cs="Arial" w:eastAsia="Arial" w:hAnsi="Arial"/>
          <w:b/>
          <w:bCs/>
          <w:color w:val="2E75B6"/>
          <w:sz w:val="30"/>
          <w:szCs w:val="30"/>
          <w:rtl/>
        </w:rPr>
        <w:t xml:space="preserve">3. نظام السوق المالية ولوائحه التنفيذية</w:t>
      </w:r>
    </w:p>
    <w:p>
      <w:pPr>
        <w:bidi/>
        <w:spacing w:after="140" w:line="320"/>
        <w:jc w:val="both"/>
      </w:pPr>
      <w:r>
        <w:rPr>
          <w:rFonts w:ascii="Arial" w:cs="Arial" w:eastAsia="Arial" w:hAnsi="Arial"/>
          <w:sz w:val="24"/>
          <w:szCs w:val="24"/>
          <w:rtl/>
        </w:rPr>
        <w:t xml:space="preserve">بالنسبة للشركات المدرجة في السوق المالية السعودية (تداول)، تنطبق إضافة إلى ما سبق منظومة هيئة السوق المالية، ومنها على وجه الخصوص:</w:t>
      </w:r>
    </w:p>
    <w:p>
      <w:pPr>
        <w:pStyle w:val="ListParagraph"/>
        <w:numPr>
          <w:ilvl w:val="0"/>
          <w:numId w:val="3"/>
        </w:numPr>
        <w:bidi/>
        <w:spacing w:after="100" w:line="300"/>
        <w:jc w:val="right"/>
      </w:pPr>
      <w:r>
        <w:rPr>
          <w:rFonts w:ascii="Arial" w:cs="Arial" w:eastAsia="Arial" w:hAnsi="Arial"/>
          <w:sz w:val="24"/>
          <w:szCs w:val="24"/>
          <w:rtl/>
        </w:rPr>
        <w:t xml:space="preserve">نظام السوق المالية الصادر بالمرسوم الملكي رقم (م/30).</w:t>
      </w:r>
    </w:p>
    <w:p>
      <w:pPr>
        <w:pStyle w:val="ListParagraph"/>
        <w:numPr>
          <w:ilvl w:val="0"/>
          <w:numId w:val="3"/>
        </w:numPr>
        <w:bidi/>
        <w:spacing w:after="100" w:line="300"/>
        <w:jc w:val="right"/>
      </w:pPr>
      <w:r>
        <w:rPr>
          <w:rFonts w:ascii="Arial" w:cs="Arial" w:eastAsia="Arial" w:hAnsi="Arial"/>
          <w:sz w:val="24"/>
          <w:szCs w:val="24"/>
          <w:rtl/>
        </w:rPr>
        <w:t xml:space="preserve">لائحة حوكمة الشركات الصادرة عن هيئة السوق المالية.</w:t>
      </w:r>
    </w:p>
    <w:p>
      <w:pPr>
        <w:pStyle w:val="ListParagraph"/>
        <w:numPr>
          <w:ilvl w:val="0"/>
          <w:numId w:val="3"/>
        </w:numPr>
        <w:bidi/>
        <w:spacing w:after="100" w:line="300"/>
        <w:jc w:val="right"/>
      </w:pPr>
      <w:r>
        <w:rPr>
          <w:rFonts w:ascii="Arial" w:cs="Arial" w:eastAsia="Arial" w:hAnsi="Arial"/>
          <w:sz w:val="24"/>
          <w:szCs w:val="24"/>
          <w:rtl/>
        </w:rPr>
        <w:t xml:space="preserve">قواعد طرح الأوراق المالية والالتزامات المستمرة.</w:t>
      </w:r>
    </w:p>
    <w:p>
      <w:pPr>
        <w:pStyle w:val="ListParagraph"/>
        <w:numPr>
          <w:ilvl w:val="0"/>
          <w:numId w:val="3"/>
        </w:numPr>
        <w:bidi/>
        <w:spacing w:after="100" w:line="300"/>
        <w:jc w:val="right"/>
      </w:pPr>
      <w:r>
        <w:rPr>
          <w:rFonts w:ascii="Arial" w:cs="Arial" w:eastAsia="Arial" w:hAnsi="Arial"/>
          <w:sz w:val="24"/>
          <w:szCs w:val="24"/>
          <w:rtl/>
        </w:rPr>
        <w:t xml:space="preserve">قواعد الإيداع والتسجيل في مركز إيداع الأوراق المالية.</w:t>
      </w:r>
    </w:p>
    <w:p>
      <w:pPr>
        <w:pStyle w:val="Heading2"/>
        <w:bidi/>
        <w:spacing w:after="160" w:before="280"/>
        <w:jc w:val="right"/>
      </w:pPr>
      <w:r>
        <w:rPr>
          <w:rFonts w:ascii="Arial" w:cs="Arial" w:eastAsia="Arial" w:hAnsi="Arial"/>
          <w:b/>
          <w:bCs/>
          <w:color w:val="2E75B6"/>
          <w:sz w:val="30"/>
          <w:szCs w:val="30"/>
          <w:rtl/>
        </w:rPr>
        <w:t xml:space="preserve">4. دور مركز إيداع الأوراق المالية (إيداع)</w:t>
      </w:r>
    </w:p>
    <w:p>
      <w:pPr>
        <w:bidi/>
        <w:spacing w:after="140" w:line="320"/>
        <w:jc w:val="both"/>
      </w:pPr>
      <w:r>
        <w:rPr>
          <w:rFonts w:ascii="Arial" w:cs="Arial" w:eastAsia="Arial" w:hAnsi="Arial"/>
          <w:sz w:val="24"/>
          <w:szCs w:val="24"/>
          <w:rtl/>
        </w:rPr>
        <w:t xml:space="preserve">في الشركات المدرجة، تنتقل إدارة سجل المساهمين من الشركة نفسها إلى مركز إيداع الأوراق المالية (إيداع) - التابع لمجموعة تداول السعودية - الذي يضطلع بمسؤولية حفظ السجلات وإدارتها وفق أعلى المعايير الدولية، مع تقديم خدمات متقدمة للمصدرين تشمل تنظيم الجمعيات العمومية وخدمات التصويت عن بُعد.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معلومة محورية</w:t>
            </w:r>
          </w:p>
          <w:p>
            <w:pPr>
              <w:bidi/>
              <w:spacing w:line="300"/>
              <w:jc w:val="both"/>
            </w:pPr>
            <w:r>
              <w:rPr>
                <w:rFonts w:ascii="Arial" w:cs="Arial" w:eastAsia="Arial" w:hAnsi="Arial"/>
                <w:sz w:val="24"/>
                <w:szCs w:val="24"/>
                <w:rtl/>
              </w:rPr>
              <w:t xml:space="preserve">للشركات المدرجة، يقوم مركز إيداع بدور "أمين السجل" (Registrar) ويوفر سجلاً إلكترونياً متكاملاً يُحدَّث آنياً مع كل عملية تداول، مما يضمن دقة وشفافية عالية ويُلغي الحاجة إلى إمساك سجل ورقي تقليدي. أما الشركات غير المدرجة فتتولى بنفسها إمساك السجل أو تتعاقد مع جهة مختصة.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المعايير الدولية وأفضل الممارسات</w:t>
      </w:r>
    </w:p>
    <w:p>
      <w:pPr>
        <w:bidi/>
        <w:spacing w:after="140" w:line="320"/>
        <w:jc w:val="both"/>
      </w:pPr>
      <w:r>
        <w:rPr>
          <w:rFonts w:ascii="Arial" w:cs="Arial" w:eastAsia="Arial" w:hAnsi="Arial"/>
          <w:sz w:val="24"/>
          <w:szCs w:val="24"/>
          <w:rtl/>
        </w:rPr>
        <w:t xml:space="preserve">لا تعمل الشركات السعودية في معزل عن المعايير الدولية، خاصةً تلك التي تطمح إلى استقطاب الاستثمار الأجنبي أو الإدراج في أسواق دولية. وفيما يلي أبرز المعايير والإطارات الدولية ذات الصلة:</w:t>
      </w:r>
    </w:p>
    <w:p>
      <w:pPr>
        <w:pStyle w:val="Heading2"/>
        <w:bidi/>
        <w:spacing w:after="160" w:before="280"/>
        <w:jc w:val="right"/>
      </w:pPr>
      <w:r>
        <w:rPr>
          <w:rFonts w:ascii="Arial" w:cs="Arial" w:eastAsia="Arial" w:hAnsi="Arial"/>
          <w:b/>
          <w:bCs/>
          <w:color w:val="2E75B6"/>
          <w:sz w:val="30"/>
          <w:szCs w:val="30"/>
          <w:rtl/>
        </w:rPr>
        <w:t xml:space="preserve">مبادئ منظمة التعاون الاقتصادي والتنمية (OECD) لحوكمة الشركات</w:t>
      </w:r>
    </w:p>
    <w:p>
      <w:pPr>
        <w:bidi/>
        <w:spacing w:after="140" w:line="320"/>
        <w:jc w:val="both"/>
      </w:pPr>
      <w:r>
        <w:rPr>
          <w:rFonts w:ascii="Arial" w:cs="Arial" w:eastAsia="Arial" w:hAnsi="Arial"/>
          <w:sz w:val="24"/>
          <w:szCs w:val="24"/>
          <w:rtl/>
        </w:rPr>
        <w:t xml:space="preserve">تُعدّ مبادئ OECD لحوكمة الشركات المرجعية الأبرز عالمياً، وتُؤكد على ضرورة وجود سجلات دقيقة للمساهمين، وتمكينهم من ممارسة حقوقهم بفعالية، والإفصاح الكافي عن هياكل الملكية.</w:t>
      </w:r>
    </w:p>
    <w:p>
      <w:pPr>
        <w:pStyle w:val="Heading2"/>
        <w:bidi/>
        <w:spacing w:after="160" w:before="280"/>
        <w:jc w:val="right"/>
      </w:pPr>
      <w:r>
        <w:rPr>
          <w:rFonts w:ascii="Arial" w:cs="Arial" w:eastAsia="Arial" w:hAnsi="Arial"/>
          <w:b/>
          <w:bCs/>
          <w:color w:val="2E75B6"/>
          <w:sz w:val="30"/>
          <w:szCs w:val="30"/>
          <w:rtl/>
        </w:rPr>
        <w:t xml:space="preserve">معايير IOSCO للأسواق المالية</w:t>
      </w:r>
    </w:p>
    <w:p>
      <w:pPr>
        <w:bidi/>
        <w:spacing w:after="140" w:line="320"/>
        <w:jc w:val="both"/>
      </w:pPr>
      <w:r>
        <w:rPr>
          <w:rFonts w:ascii="Arial" w:cs="Arial" w:eastAsia="Arial" w:hAnsi="Arial"/>
          <w:sz w:val="24"/>
          <w:szCs w:val="24"/>
          <w:rtl/>
        </w:rPr>
        <w:t xml:space="preserve">تضع المنظمة الدولية للأوراق المالية (IOSCO) معايير صارمة لمراكز الإيداع وحفظ سجلات المساهمين، وتُركّز على مبادئ السلامة التشغيلية، الشفافية، حماية حقوق المستثمرين، والتكامل مع الأنظمة العالمية.</w:t>
      </w:r>
    </w:p>
    <w:p>
      <w:pPr>
        <w:pStyle w:val="Heading2"/>
        <w:bidi/>
        <w:spacing w:after="160" w:before="280"/>
        <w:jc w:val="right"/>
      </w:pPr>
      <w:r>
        <w:rPr>
          <w:rFonts w:ascii="Arial" w:cs="Arial" w:eastAsia="Arial" w:hAnsi="Arial"/>
          <w:b/>
          <w:bCs/>
          <w:color w:val="2E75B6"/>
          <w:sz w:val="30"/>
          <w:szCs w:val="30"/>
          <w:rtl/>
        </w:rPr>
        <w:t xml:space="preserve">معيار ISO 20022 للرسائل المالية</w:t>
      </w:r>
    </w:p>
    <w:p>
      <w:pPr>
        <w:bidi/>
        <w:spacing w:after="140" w:line="320"/>
        <w:jc w:val="both"/>
      </w:pPr>
      <w:r>
        <w:rPr>
          <w:rFonts w:ascii="Arial" w:cs="Arial" w:eastAsia="Arial" w:hAnsi="Arial"/>
          <w:sz w:val="24"/>
          <w:szCs w:val="24"/>
          <w:rtl/>
        </w:rPr>
        <w:t xml:space="preserve">يُعدّ هذا المعيار اللغة المشتركة لتبادل المعلومات المالية بين المؤسسات، وتعتمده مراكز الإيداع حول العالم بما فيها مركز إيداع السعودي لضمان التكامل مع المنظومة المالية العالمية.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الفرق بين سجل المساهمين في الشركات المدرجة وغير المدرجة</w:t>
      </w:r>
    </w:p>
    <w:p>
      <w:pPr>
        <w:bidi/>
        <w:spacing w:after="140" w:line="320"/>
        <w:jc w:val="both"/>
      </w:pPr>
      <w:r>
        <w:rPr>
          <w:rFonts w:ascii="Arial" w:cs="Arial" w:eastAsia="Arial" w:hAnsi="Arial"/>
          <w:sz w:val="24"/>
          <w:szCs w:val="24"/>
          <w:rtl/>
        </w:rPr>
        <w:t xml:space="preserve">يختلف نموذج إدارة سجل المساهمين اختلافاً جوهرياً بين الشركات المدرجة في السوق المالية وتلك غير المدرجة، ويمكن استعراض أبرز الفروق في الجدول التالي: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وجه المقارنة</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الشركات المدرجة</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الشركات غير المدرجة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الجهة المسؤولة عن السجل</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مركز إيداع الأوراق المالية (إيداع)</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الشركة ذاتها أو جهة متعاقد معها</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شكل السجل</w:t>
            </w:r>
          </w:p>
        </w:tc>
        <w:tc>
          <w:tcPr>
            <w:tcW w:type="dxa" w:w="35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إلكتروني بالكامل</w:t>
            </w:r>
          </w:p>
        </w:tc>
        <w:tc>
          <w:tcPr>
            <w:tcW w:type="dxa" w:w="35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ورقي أو إلكتروني (وفق اختيار الشركة)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تكرار التحديث</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آني (Real-time) مع كل تداول</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عند حدوث تغيير في الملكية</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نقل الملكية</w:t>
            </w:r>
          </w:p>
        </w:tc>
        <w:tc>
          <w:tcPr>
            <w:tcW w:type="dxa" w:w="35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إلكتروني عبر منصة التداول</w:t>
            </w:r>
          </w:p>
        </w:tc>
        <w:tc>
          <w:tcPr>
            <w:tcW w:type="dxa" w:w="35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بنماذج رسمية موثقة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الإفصاح</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مرتبط بمتطلبات هيئة السوق المالية</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وفق نظام الشركات فقط</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الاطلاع على السجل</w:t>
            </w:r>
          </w:p>
        </w:tc>
        <w:tc>
          <w:tcPr>
            <w:tcW w:type="dxa" w:w="35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آليات إلكترونية متقدمة</w:t>
            </w:r>
          </w:p>
        </w:tc>
        <w:tc>
          <w:tcPr>
            <w:tcW w:type="dxa" w:w="35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بطلب رسمي للشركة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التحديات الشائعة في إدارة سجل المساهمين</w:t>
      </w:r>
    </w:p>
    <w:p>
      <w:pPr>
        <w:bidi/>
        <w:spacing w:after="140" w:line="320"/>
        <w:jc w:val="both"/>
      </w:pPr>
      <w:r>
        <w:rPr>
          <w:rFonts w:ascii="Arial" w:cs="Arial" w:eastAsia="Arial" w:hAnsi="Arial"/>
          <w:sz w:val="24"/>
          <w:szCs w:val="24"/>
          <w:rtl/>
        </w:rPr>
        <w:t xml:space="preserve">رغم التطور التقني والتشريعي، تواجه الشركات عدة تحديات في إدارة سجلاتها، ومن أبرزها:</w:t>
      </w:r>
    </w:p>
    <w:p>
      <w:pPr>
        <w:pStyle w:val="Heading3"/>
        <w:bidi/>
        <w:spacing w:after="120" w:before="200"/>
        <w:jc w:val="right"/>
      </w:pPr>
      <w:r>
        <w:rPr>
          <w:rFonts w:ascii="Arial" w:cs="Arial" w:eastAsia="Arial" w:hAnsi="Arial"/>
          <w:b/>
          <w:bCs/>
          <w:color w:val="1F4E79"/>
          <w:sz w:val="26"/>
          <w:szCs w:val="26"/>
          <w:rtl/>
        </w:rPr>
        <w:t xml:space="preserve">1. دقة البيانات وتحديثها</w:t>
      </w:r>
    </w:p>
    <w:p>
      <w:pPr>
        <w:bidi/>
        <w:spacing w:after="140" w:line="320"/>
        <w:jc w:val="both"/>
      </w:pPr>
      <w:r>
        <w:rPr>
          <w:rFonts w:ascii="Arial" w:cs="Arial" w:eastAsia="Arial" w:hAnsi="Arial"/>
          <w:sz w:val="24"/>
          <w:szCs w:val="24"/>
          <w:rtl/>
        </w:rPr>
        <w:t xml:space="preserve">الحفاظ على بيانات دقيقة ومحدّثة لآلاف المساهمين يُعدّ تحدياً حقيقياً، خاصةً في الشركات الكبرى، ويتطلب أنظمة فعّالة للتحقق من البيانات والتحديث المستمر.</w:t>
      </w:r>
    </w:p>
    <w:p>
      <w:pPr>
        <w:pStyle w:val="Heading3"/>
        <w:bidi/>
        <w:spacing w:after="120" w:before="200"/>
        <w:jc w:val="right"/>
      </w:pPr>
      <w:r>
        <w:rPr>
          <w:rFonts w:ascii="Arial" w:cs="Arial" w:eastAsia="Arial" w:hAnsi="Arial"/>
          <w:b/>
          <w:bCs/>
          <w:color w:val="1F4E79"/>
          <w:sz w:val="26"/>
          <w:szCs w:val="26"/>
          <w:rtl/>
        </w:rPr>
        <w:t xml:space="preserve">2. التعامل مع حالات الإرث والوكالات</w:t>
      </w:r>
    </w:p>
    <w:p>
      <w:pPr>
        <w:bidi/>
        <w:spacing w:after="140" w:line="320"/>
        <w:jc w:val="both"/>
      </w:pPr>
      <w:r>
        <w:rPr>
          <w:rFonts w:ascii="Arial" w:cs="Arial" w:eastAsia="Arial" w:hAnsi="Arial"/>
          <w:sz w:val="24"/>
          <w:szCs w:val="24"/>
          <w:rtl/>
        </w:rPr>
        <w:t xml:space="preserve">تتطلب حالات نقل الملكية بالإرث أو بالوكالة إجراءات قانونية دقيقة، وأي خطأ قد يؤدي إلى نزاعات طويلة بين الورثة أو بين الشركة والمستحقين.</w:t>
      </w:r>
    </w:p>
    <w:p>
      <w:pPr>
        <w:pStyle w:val="Heading3"/>
        <w:bidi/>
        <w:spacing w:after="120" w:before="200"/>
        <w:jc w:val="right"/>
      </w:pPr>
      <w:r>
        <w:rPr>
          <w:rFonts w:ascii="Arial" w:cs="Arial" w:eastAsia="Arial" w:hAnsi="Arial"/>
          <w:b/>
          <w:bCs/>
          <w:color w:val="1F4E79"/>
          <w:sz w:val="26"/>
          <w:szCs w:val="26"/>
          <w:rtl/>
        </w:rPr>
        <w:t xml:space="preserve">3. حماية البيانات الشخصية</w:t>
      </w:r>
    </w:p>
    <w:p>
      <w:pPr>
        <w:bidi/>
        <w:spacing w:after="140" w:line="320"/>
        <w:jc w:val="both"/>
      </w:pPr>
      <w:r>
        <w:rPr>
          <w:rFonts w:ascii="Arial" w:cs="Arial" w:eastAsia="Arial" w:hAnsi="Arial"/>
          <w:sz w:val="24"/>
          <w:szCs w:val="24"/>
          <w:rtl/>
        </w:rPr>
        <w:t xml:space="preserve">مع صدور نظام حماية البيانات الشخصية في المملكة العربية السعودية، أصبح من الضروري التعامل مع بيانات المساهمين بحرص شديد لضمان الامتثال لمتطلبات الخصوصية.</w:t>
      </w:r>
    </w:p>
    <w:p>
      <w:pPr>
        <w:pStyle w:val="Heading3"/>
        <w:bidi/>
        <w:spacing w:after="120" w:before="200"/>
        <w:jc w:val="right"/>
      </w:pPr>
      <w:r>
        <w:rPr>
          <w:rFonts w:ascii="Arial" w:cs="Arial" w:eastAsia="Arial" w:hAnsi="Arial"/>
          <w:b/>
          <w:bCs/>
          <w:color w:val="1F4E79"/>
          <w:sz w:val="26"/>
          <w:szCs w:val="26"/>
          <w:rtl/>
        </w:rPr>
        <w:t xml:space="preserve">4. التكامل مع الأنظمة الأخرى</w:t>
      </w:r>
    </w:p>
    <w:p>
      <w:pPr>
        <w:bidi/>
        <w:spacing w:after="140" w:line="320"/>
        <w:jc w:val="both"/>
      </w:pPr>
      <w:r>
        <w:rPr>
          <w:rFonts w:ascii="Arial" w:cs="Arial" w:eastAsia="Arial" w:hAnsi="Arial"/>
          <w:sz w:val="24"/>
          <w:szCs w:val="24"/>
          <w:rtl/>
        </w:rPr>
        <w:t xml:space="preserve">يتعين أن يتكامل سجل المساهمين مع أنظمة الشركة الأخرى، كأنظمة المالية، والاتصال بالمساهمين، وأنظمة إدارة الجمعيات العمومية، مما يطرح تحديات تقنية وتشغيلية.</w:t>
      </w:r>
    </w:p>
    <w:p>
      <w:pPr>
        <w:pStyle w:val="Heading3"/>
        <w:bidi/>
        <w:spacing w:after="120" w:before="200"/>
        <w:jc w:val="right"/>
      </w:pPr>
      <w:r>
        <w:rPr>
          <w:rFonts w:ascii="Arial" w:cs="Arial" w:eastAsia="Arial" w:hAnsi="Arial"/>
          <w:b/>
          <w:bCs/>
          <w:color w:val="1F4E79"/>
          <w:sz w:val="26"/>
          <w:szCs w:val="26"/>
          <w:rtl/>
        </w:rPr>
        <w:t xml:space="preserve">5. الإفصاحات الدورية</w:t>
      </w:r>
    </w:p>
    <w:p>
      <w:pPr>
        <w:bidi/>
        <w:spacing w:after="140" w:line="320"/>
        <w:jc w:val="both"/>
      </w:pPr>
      <w:r>
        <w:rPr>
          <w:rFonts w:ascii="Arial" w:cs="Arial" w:eastAsia="Arial" w:hAnsi="Arial"/>
          <w:sz w:val="24"/>
          <w:szCs w:val="24"/>
          <w:rtl/>
        </w:rPr>
        <w:t xml:space="preserve">الالتزام بالإفصاحات الدورية المطلوبة من الجهات التنظيمية يستلزم استخراج تقارير دقيقة من السجل في مواعيد محددة، مع التحقق من اكتمال البيانات وصحتها.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قائمة مراجعة لإدارة سجل المساهمين</w:t>
      </w:r>
    </w:p>
    <w:p>
      <w:pPr>
        <w:bidi/>
        <w:spacing w:after="140" w:line="320"/>
        <w:jc w:val="both"/>
      </w:pPr>
      <w:r>
        <w:rPr>
          <w:rFonts w:ascii="Arial" w:cs="Arial" w:eastAsia="Arial" w:hAnsi="Arial"/>
          <w:sz w:val="24"/>
          <w:szCs w:val="24"/>
          <w:rtl/>
        </w:rPr>
        <w:t xml:space="preserve">نقدم فيما يلي قائمة مراجعة عملية لضمان إدارة سليمة لسجل المساهمين، يمكن استخدامها كأداة تشغيلية يومية أو دورية:</w:t>
      </w:r>
    </w:p>
    <w:p>
      <w:pPr>
        <w:pStyle w:val="Heading3"/>
        <w:bidi/>
        <w:spacing w:after="120" w:before="200"/>
        <w:jc w:val="right"/>
      </w:pPr>
      <w:r>
        <w:rPr>
          <w:rFonts w:ascii="Arial" w:cs="Arial" w:eastAsia="Arial" w:hAnsi="Arial"/>
          <w:b/>
          <w:bCs/>
          <w:color w:val="1F4E79"/>
          <w:sz w:val="26"/>
          <w:szCs w:val="26"/>
          <w:rtl/>
        </w:rPr>
        <w:t xml:space="preserve">على المستوى التشريعي والقانوني</w:t>
      </w:r>
    </w:p>
    <w:p>
      <w:pPr>
        <w:pStyle w:val="ListParagraph"/>
        <w:numPr>
          <w:ilvl w:val="0"/>
          <w:numId w:val="3"/>
        </w:numPr>
        <w:bidi/>
        <w:spacing w:after="100" w:line="300"/>
        <w:jc w:val="right"/>
      </w:pPr>
      <w:r>
        <w:rPr>
          <w:rFonts w:ascii="Arial" w:cs="Arial" w:eastAsia="Arial" w:hAnsi="Arial"/>
          <w:sz w:val="24"/>
          <w:szCs w:val="24"/>
          <w:rtl/>
        </w:rPr>
        <w:t xml:space="preserve">التحقق من توافق السجل مع متطلبات نظام الشركات ولائحته التنفيذية.</w:t>
      </w:r>
    </w:p>
    <w:p>
      <w:pPr>
        <w:pStyle w:val="ListParagraph"/>
        <w:numPr>
          <w:ilvl w:val="0"/>
          <w:numId w:val="3"/>
        </w:numPr>
        <w:bidi/>
        <w:spacing w:after="100" w:line="300"/>
        <w:jc w:val="right"/>
      </w:pPr>
      <w:r>
        <w:rPr>
          <w:rFonts w:ascii="Arial" w:cs="Arial" w:eastAsia="Arial" w:hAnsi="Arial"/>
          <w:sz w:val="24"/>
          <w:szCs w:val="24"/>
          <w:rtl/>
        </w:rPr>
        <w:t xml:space="preserve">مراجعة دورية للنظام الأساس للشركة وتحديث السجل وفق أي تعديلات.</w:t>
      </w:r>
    </w:p>
    <w:p>
      <w:pPr>
        <w:pStyle w:val="ListParagraph"/>
        <w:numPr>
          <w:ilvl w:val="0"/>
          <w:numId w:val="3"/>
        </w:numPr>
        <w:bidi/>
        <w:spacing w:after="100" w:line="300"/>
        <w:jc w:val="right"/>
      </w:pPr>
      <w:r>
        <w:rPr>
          <w:rFonts w:ascii="Arial" w:cs="Arial" w:eastAsia="Arial" w:hAnsi="Arial"/>
          <w:sz w:val="24"/>
          <w:szCs w:val="24"/>
          <w:rtl/>
        </w:rPr>
        <w:t xml:space="preserve">متابعة التحديثات التشريعية وتطبيقها فور صدورها.</w:t>
      </w:r>
    </w:p>
    <w:p>
      <w:pPr>
        <w:pStyle w:val="Heading3"/>
        <w:bidi/>
        <w:spacing w:after="120" w:before="200"/>
        <w:jc w:val="right"/>
      </w:pPr>
      <w:r>
        <w:rPr>
          <w:rFonts w:ascii="Arial" w:cs="Arial" w:eastAsia="Arial" w:hAnsi="Arial"/>
          <w:b/>
          <w:bCs/>
          <w:color w:val="1F4E79"/>
          <w:sz w:val="26"/>
          <w:szCs w:val="26"/>
          <w:rtl/>
        </w:rPr>
        <w:t xml:space="preserve">على المستوى التشغيلي</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البيانات الإلزامية لكل مساهم.</w:t>
      </w:r>
    </w:p>
    <w:p>
      <w:pPr>
        <w:pStyle w:val="ListParagraph"/>
        <w:numPr>
          <w:ilvl w:val="0"/>
          <w:numId w:val="3"/>
        </w:numPr>
        <w:bidi/>
        <w:spacing w:after="100" w:line="300"/>
        <w:jc w:val="right"/>
      </w:pPr>
      <w:r>
        <w:rPr>
          <w:rFonts w:ascii="Arial" w:cs="Arial" w:eastAsia="Arial" w:hAnsi="Arial"/>
          <w:sz w:val="24"/>
          <w:szCs w:val="24"/>
          <w:rtl/>
        </w:rPr>
        <w:t xml:space="preserve">توثيق جميع التغييرات بمستندات أصلية ومعتمدة.</w:t>
      </w:r>
    </w:p>
    <w:p>
      <w:pPr>
        <w:pStyle w:val="ListParagraph"/>
        <w:numPr>
          <w:ilvl w:val="0"/>
          <w:numId w:val="3"/>
        </w:numPr>
        <w:bidi/>
        <w:spacing w:after="100" w:line="300"/>
        <w:jc w:val="right"/>
      </w:pPr>
      <w:r>
        <w:rPr>
          <w:rFonts w:ascii="Arial" w:cs="Arial" w:eastAsia="Arial" w:hAnsi="Arial"/>
          <w:sz w:val="24"/>
          <w:szCs w:val="24"/>
          <w:rtl/>
        </w:rPr>
        <w:t xml:space="preserve">إجراء تسوية دورية بين السجل وعدد الأسهم المصدرة.</w:t>
      </w:r>
    </w:p>
    <w:p>
      <w:pPr>
        <w:pStyle w:val="ListParagraph"/>
        <w:numPr>
          <w:ilvl w:val="0"/>
          <w:numId w:val="3"/>
        </w:numPr>
        <w:bidi/>
        <w:spacing w:after="100" w:line="300"/>
        <w:jc w:val="right"/>
      </w:pPr>
      <w:r>
        <w:rPr>
          <w:rFonts w:ascii="Arial" w:cs="Arial" w:eastAsia="Arial" w:hAnsi="Arial"/>
          <w:sz w:val="24"/>
          <w:szCs w:val="24"/>
          <w:rtl/>
        </w:rPr>
        <w:t xml:space="preserve">الاحتفاظ بنسخ احتياطية آمنة من السجل بشكل دوري.</w:t>
      </w:r>
    </w:p>
    <w:p>
      <w:pPr>
        <w:pStyle w:val="Heading3"/>
        <w:bidi/>
        <w:spacing w:after="120" w:before="200"/>
        <w:jc w:val="right"/>
      </w:pPr>
      <w:r>
        <w:rPr>
          <w:rFonts w:ascii="Arial" w:cs="Arial" w:eastAsia="Arial" w:hAnsi="Arial"/>
          <w:b/>
          <w:bCs/>
          <w:color w:val="1F4E79"/>
          <w:sz w:val="26"/>
          <w:szCs w:val="26"/>
          <w:rtl/>
        </w:rPr>
        <w:t xml:space="preserve">على مستوى الإفصاح</w:t>
      </w:r>
    </w:p>
    <w:p>
      <w:pPr>
        <w:pStyle w:val="ListParagraph"/>
        <w:numPr>
          <w:ilvl w:val="0"/>
          <w:numId w:val="3"/>
        </w:numPr>
        <w:bidi/>
        <w:spacing w:after="100" w:line="300"/>
        <w:jc w:val="right"/>
      </w:pPr>
      <w:r>
        <w:rPr>
          <w:rFonts w:ascii="Arial" w:cs="Arial" w:eastAsia="Arial" w:hAnsi="Arial"/>
          <w:sz w:val="24"/>
          <w:szCs w:val="24"/>
          <w:rtl/>
        </w:rPr>
        <w:t xml:space="preserve">إعداد تقرير كبار المساهمين (5% فأكثر) شهرياً للشركات المدرجة.</w:t>
      </w:r>
    </w:p>
    <w:p>
      <w:pPr>
        <w:pStyle w:val="ListParagraph"/>
        <w:numPr>
          <w:ilvl w:val="0"/>
          <w:numId w:val="3"/>
        </w:numPr>
        <w:bidi/>
        <w:spacing w:after="100" w:line="300"/>
        <w:jc w:val="right"/>
      </w:pPr>
      <w:r>
        <w:rPr>
          <w:rFonts w:ascii="Arial" w:cs="Arial" w:eastAsia="Arial" w:hAnsi="Arial"/>
          <w:sz w:val="24"/>
          <w:szCs w:val="24"/>
          <w:rtl/>
        </w:rPr>
        <w:t xml:space="preserve">توثيق تواريخ الأحقية لكل عملية شركة (Corporate Action).</w:t>
      </w:r>
    </w:p>
    <w:p>
      <w:pPr>
        <w:pStyle w:val="ListParagraph"/>
        <w:numPr>
          <w:ilvl w:val="0"/>
          <w:numId w:val="3"/>
        </w:numPr>
        <w:bidi/>
        <w:spacing w:after="100" w:line="300"/>
        <w:jc w:val="right"/>
      </w:pPr>
      <w:r>
        <w:rPr>
          <w:rFonts w:ascii="Arial" w:cs="Arial" w:eastAsia="Arial" w:hAnsi="Arial"/>
          <w:sz w:val="24"/>
          <w:szCs w:val="24"/>
          <w:rtl/>
        </w:rPr>
        <w:t xml:space="preserve">ضمان دقة المعلومات المُفصح عنها في التقرير السنوي.</w:t>
      </w:r>
    </w:p>
    <w:p>
      <w:pPr>
        <w:pStyle w:val="Heading3"/>
        <w:bidi/>
        <w:spacing w:after="120" w:before="200"/>
        <w:jc w:val="right"/>
      </w:pPr>
      <w:r>
        <w:rPr>
          <w:rFonts w:ascii="Arial" w:cs="Arial" w:eastAsia="Arial" w:hAnsi="Arial"/>
          <w:b/>
          <w:bCs/>
          <w:color w:val="1F4E79"/>
          <w:sz w:val="26"/>
          <w:szCs w:val="26"/>
          <w:rtl/>
        </w:rPr>
        <w:t xml:space="preserve">على مستوى الحماية والأمن</w:t>
      </w:r>
    </w:p>
    <w:p>
      <w:pPr>
        <w:pStyle w:val="ListParagraph"/>
        <w:numPr>
          <w:ilvl w:val="0"/>
          <w:numId w:val="3"/>
        </w:numPr>
        <w:bidi/>
        <w:spacing w:after="100" w:line="300"/>
        <w:jc w:val="right"/>
      </w:pPr>
      <w:r>
        <w:rPr>
          <w:rFonts w:ascii="Arial" w:cs="Arial" w:eastAsia="Arial" w:hAnsi="Arial"/>
          <w:sz w:val="24"/>
          <w:szCs w:val="24"/>
          <w:rtl/>
        </w:rPr>
        <w:t xml:space="preserve">تطبيق ضوابط صارمة للوصول إلى بيانات السجل.</w:t>
      </w:r>
    </w:p>
    <w:p>
      <w:pPr>
        <w:pStyle w:val="ListParagraph"/>
        <w:numPr>
          <w:ilvl w:val="0"/>
          <w:numId w:val="3"/>
        </w:numPr>
        <w:bidi/>
        <w:spacing w:after="100" w:line="300"/>
        <w:jc w:val="right"/>
      </w:pPr>
      <w:r>
        <w:rPr>
          <w:rFonts w:ascii="Arial" w:cs="Arial" w:eastAsia="Arial" w:hAnsi="Arial"/>
          <w:sz w:val="24"/>
          <w:szCs w:val="24"/>
          <w:rtl/>
        </w:rPr>
        <w:t xml:space="preserve">تشفير البيانات الإلكترونية وتأمين الوثائق الورقية.</w:t>
      </w:r>
    </w:p>
    <w:p>
      <w:pPr>
        <w:pStyle w:val="ListParagraph"/>
        <w:numPr>
          <w:ilvl w:val="0"/>
          <w:numId w:val="3"/>
        </w:numPr>
        <w:bidi/>
        <w:spacing w:after="100" w:line="300"/>
        <w:jc w:val="right"/>
      </w:pPr>
      <w:r>
        <w:rPr>
          <w:rFonts w:ascii="Arial" w:cs="Arial" w:eastAsia="Arial" w:hAnsi="Arial"/>
          <w:sz w:val="24"/>
          <w:szCs w:val="24"/>
          <w:rtl/>
        </w:rPr>
        <w:t xml:space="preserve">توثيق سجل عمليات الوصول والتعديل (Audit Trail).</w:t>
      </w:r>
    </w:p>
    <w:p>
      <w:pPr>
        <w:pStyle w:val="ListParagraph"/>
        <w:numPr>
          <w:ilvl w:val="0"/>
          <w:numId w:val="3"/>
        </w:numPr>
        <w:bidi/>
        <w:spacing w:after="100" w:line="300"/>
        <w:jc w:val="right"/>
      </w:pPr>
      <w:r>
        <w:rPr>
          <w:rFonts w:ascii="Arial" w:cs="Arial" w:eastAsia="Arial" w:hAnsi="Arial"/>
          <w:sz w:val="24"/>
          <w:szCs w:val="24"/>
          <w:rtl/>
        </w:rPr>
        <w:t xml:space="preserve">الامتثال لمتطلبات نظام حماية البيانات الشخصية.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سجل المساهمين ليس مجرد سجل إداري، بل ركيزة من ركائز الحوكمة الرشيدة في الشركات المساهمة، وأداة جوهرية لحماية حقوق المساهمين وتمكينهم من ممارستها بفعالية. ومع التطور التشريعي والتقني الذي تشهده المملكة العربية السعودية، تطورت متطلبات إدارة هذا السجل لتعكس أعلى المعايير الدولية.</w:t>
      </w:r>
    </w:p>
    <w:p>
      <w:pPr>
        <w:bidi/>
        <w:spacing w:after="140" w:line="320"/>
        <w:jc w:val="both"/>
      </w:pPr>
      <w:r>
        <w:rPr>
          <w:rFonts w:ascii="Arial" w:cs="Arial" w:eastAsia="Arial" w:hAnsi="Arial"/>
          <w:sz w:val="24"/>
          <w:szCs w:val="24"/>
          <w:rtl/>
        </w:rPr>
        <w:t xml:space="preserve">على المختصين في حوكمة الشركات وأمناء سر المجالس ومسؤولي علاقات المساهمين الإلمام بالأبعاد القانونية والتشغيلية والتقنية لإدارة سجل المساهمين، والتأكد من امتثال شركاتهم لجميع المتطلبات التنظيمية، مع تبنّي أفضل الممارسات الدولية لضمان الدقة والشفافية وحماية حقوق جميع الأطراف.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سجل المساهمين هو الإثبات القانوني لملكية الأسهم وممارسة الحقوق المرتبطة بها. 2) في الشركات المدرجة، يتولى مركز إيداع إدارة السجل إلكترونياً بشكل آني. 3) المسؤولية القانونية عن السجل تقع على عاتق الشركة ممثلة بمجلس إدارتها. 4) تشمل المنظومة التنظيمية: نظام الشركات، لائحته التنفيذية، نظام السوق المالية، ولوائح حوكمة الشركات. 5) الإدارة الفعّالة تتطلب التوازن بين الدقة القانونية، الكفاءة التشغيلية، الأمن المعلوماتي، وحماية البيانات الشخصية.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3"/>
        </w:numPr>
        <w:bidi/>
        <w:spacing w:after="100" w:line="300"/>
        <w:jc w:val="right"/>
      </w:pPr>
      <w:r>
        <w:rPr>
          <w:rFonts w:ascii="Arial" w:cs="Arial" w:eastAsia="Arial" w:hAnsi="Arial"/>
          <w:sz w:val="24"/>
          <w:szCs w:val="24"/>
          <w:rtl/>
        </w:rPr>
        <w:t xml:space="preserve">نظام الشركات السعودي الصادر بالمرسوم الملكي رقم (م/132) وتاريخ 1/12/1443هـ.</w:t>
      </w:r>
    </w:p>
    <w:p>
      <w:pPr>
        <w:pStyle w:val="ListParagraph"/>
        <w:numPr>
          <w:ilvl w:val="0"/>
          <w:numId w:val="3"/>
        </w:numPr>
        <w:bidi/>
        <w:spacing w:after="100" w:line="300"/>
        <w:jc w:val="right"/>
      </w:pPr>
      <w:r>
        <w:rPr>
          <w:rFonts w:ascii="Arial" w:cs="Arial" w:eastAsia="Arial" w:hAnsi="Arial"/>
          <w:sz w:val="24"/>
          <w:szCs w:val="24"/>
          <w:rtl/>
        </w:rPr>
        <w:t xml:space="preserve">اللائحة التنفيذية لنظام الشركات، وزارة التجارة، 2023م.</w:t>
      </w:r>
    </w:p>
    <w:p>
      <w:pPr>
        <w:pStyle w:val="ListParagraph"/>
        <w:numPr>
          <w:ilvl w:val="0"/>
          <w:numId w:val="3"/>
        </w:numPr>
        <w:bidi/>
        <w:spacing w:after="100" w:line="300"/>
        <w:jc w:val="right"/>
      </w:pPr>
      <w:r>
        <w:rPr>
          <w:rFonts w:ascii="Arial" w:cs="Arial" w:eastAsia="Arial" w:hAnsi="Arial"/>
          <w:sz w:val="24"/>
          <w:szCs w:val="24"/>
          <w:rtl/>
        </w:rPr>
        <w:t xml:space="preserve">نظام السوق المالية ولوائحه التنفيذية، هيئة السوق المالية السعودية.</w:t>
      </w:r>
    </w:p>
    <w:p>
      <w:pPr>
        <w:pStyle w:val="ListParagraph"/>
        <w:numPr>
          <w:ilvl w:val="0"/>
          <w:numId w:val="3"/>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3"/>
        </w:numPr>
        <w:bidi/>
        <w:spacing w:after="100" w:line="300"/>
        <w:jc w:val="right"/>
      </w:pPr>
      <w:r>
        <w:rPr>
          <w:rFonts w:ascii="Arial" w:cs="Arial" w:eastAsia="Arial" w:hAnsi="Arial"/>
          <w:sz w:val="24"/>
          <w:szCs w:val="24"/>
          <w:rtl/>
        </w:rPr>
        <w:t xml:space="preserve">الموقع الرسمي لشركة مركز إيداع الأوراق المالية (إيداع): edaa.com.sa</w:t>
      </w:r>
    </w:p>
    <w:p>
      <w:pPr>
        <w:pStyle w:val="ListParagraph"/>
        <w:numPr>
          <w:ilvl w:val="0"/>
          <w:numId w:val="3"/>
        </w:numPr>
        <w:bidi/>
        <w:spacing w:after="100" w:line="300"/>
        <w:jc w:val="right"/>
      </w:pPr>
      <w:r>
        <w:rPr>
          <w:rFonts w:ascii="Arial" w:cs="Arial" w:eastAsia="Arial" w:hAnsi="Arial"/>
          <w:sz w:val="24"/>
          <w:szCs w:val="24"/>
          <w:rtl/>
        </w:rPr>
        <w:t xml:space="preserve">مبادئ منظمة التعاون الاقتصادي والتنمية لحوكمة الشركات (OECD Corporate Governance Principles).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سجل المساهمين: الدليل الشامل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سجل المساهمين: الدليل الشامل</dc:title>
  <dc:creator>Corporate Governance Knowledge Base</dc:creator>
  <dc:description>مقدمة شاملة عن سجل المساهمين في المملكة العربية السعودية</dc:description>
  <cp:lastModifiedBy>Un-named</cp:lastModifiedBy>
  <cp:revision>1</cp:revision>
  <dcterms:created xsi:type="dcterms:W3CDTF">2026-05-15T23:37:16.883Z</dcterms:created>
  <dcterms:modified xsi:type="dcterms:W3CDTF">2026-05-15T23:37:16.883Z</dcterms:modified>
</cp:coreProperties>
</file>

<file path=docProps/custom.xml><?xml version="1.0" encoding="utf-8"?>
<Properties xmlns="http://schemas.openxmlformats.org/officeDocument/2006/custom-properties" xmlns:vt="http://schemas.openxmlformats.org/officeDocument/2006/docPropsVTypes"/>
</file>