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00" w:before="200"/>
        <w:jc w:val="center"/>
      </w:pPr>
      <w:r>
        <w:rPr>
          <w:rFonts w:ascii="Arial" w:cs="Arial" w:eastAsia="Arial" w:hAnsi="Arial"/>
          <w:b/>
          <w:bCs/>
          <w:color w:val="1F4E79"/>
          <w:sz w:val="44"/>
          <w:szCs w:val="44"/>
          <w:rtl/>
        </w:rPr>
        <w:t xml:space="preserve">مكونات سجل المساهمين</w:t>
      </w:r>
    </w:p>
    <w:p>
      <w:pPr>
        <w:bidi/>
        <w:spacing w:after="400"/>
        <w:jc w:val="center"/>
      </w:pPr>
      <w:r>
        <w:rPr>
          <w:rFonts w:ascii="Arial" w:cs="Arial" w:eastAsia="Arial" w:hAnsi="Arial"/>
          <w:i/>
          <w:iCs/>
          <w:color w:val="2E75B6"/>
          <w:sz w:val="26"/>
          <w:szCs w:val="26"/>
          <w:rtl/>
        </w:rPr>
        <w:t xml:space="preserve">البيانات الأساسية، أنواع الأسهم، وحقوق كل فئة</w:t>
      </w:r>
    </w:p>
    <w:p>
      <w:pPr>
        <w:pBdr>
          <w:bottom w:val="single" w:color="1F4E79" w:sz="12" w:space="4"/>
        </w:pBdr>
        <w:spacing w:after="300"/>
      </w:pPr>
    </w:p>
    <w:p>
      <w:pPr>
        <w:pStyle w:val="Heading1"/>
        <w:bidi/>
        <w:spacing w:after="200" w:before="360"/>
        <w:jc w:val="right"/>
      </w:pPr>
      <w:r>
        <w:rPr>
          <w:rFonts w:ascii="Arial" w:cs="Arial" w:eastAsia="Arial" w:hAnsi="Arial"/>
          <w:b/>
          <w:bCs/>
          <w:color w:val="1F4E79"/>
          <w:sz w:val="36"/>
          <w:szCs w:val="36"/>
          <w:rtl/>
        </w:rPr>
        <w:t xml:space="preserve">مقدمة</w:t>
      </w:r>
    </w:p>
    <w:p>
      <w:pPr>
        <w:bidi/>
        <w:spacing w:after="140" w:line="320"/>
        <w:jc w:val="both"/>
      </w:pPr>
      <w:r>
        <w:rPr>
          <w:rFonts w:ascii="Arial" w:cs="Arial" w:eastAsia="Arial" w:hAnsi="Arial"/>
          <w:sz w:val="24"/>
          <w:szCs w:val="24"/>
          <w:rtl/>
        </w:rPr>
        <w:t xml:space="preserve">بعد أن استعرضنا في المقال السابق مفهوم سجل المساهمين وأهميته وإطاره التنظيمي، نتناول في هذا المقال مكوناته الجوهرية بشكل تفصيلي. فالسجل ليس مجرد قائمة بأسماء، بل وثيقة معقدة تتضمن بيانات متعددة عن كل مساهم، وعن كل نوع من الأسهم التي يملكها، وحقوقه المرتبطة بكل فئة من هذه الأسهم.</w:t>
      </w:r>
    </w:p>
    <w:p>
      <w:pPr>
        <w:bidi/>
        <w:spacing w:after="140" w:line="320"/>
        <w:jc w:val="both"/>
      </w:pPr>
      <w:r>
        <w:rPr>
          <w:rFonts w:ascii="Arial" w:cs="Arial" w:eastAsia="Arial" w:hAnsi="Arial"/>
          <w:sz w:val="24"/>
          <w:szCs w:val="24"/>
          <w:rtl/>
        </w:rPr>
        <w:t xml:space="preserve">فهم مكونات السجل بدقة يُعدّ ركيزة أساسية لكل من يعمل في حوكمة الشركات وعلاقات المساهمين وأمانة سر مجالس الإدارة، لأن أي نقص أو خطأ في هذه البيانات قد يترتب عليه إخلال بحقوق المساهمين، أو تعطيل لعمليات الشركة، أو مخالفات تنظيمية. سنستعرض البيانات الإلزامية الواجب تضمينها، أنواع الأسهم التي يجيزها النظام السعودي، والحقوق المرتبطة بكل نوع.</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أولاً: البيانات الأساسية الإلزامية في سجل المساهمين</w:t>
      </w:r>
    </w:p>
    <w:p>
      <w:pPr>
        <w:bidi/>
        <w:spacing w:after="140" w:line="320"/>
        <w:jc w:val="both"/>
      </w:pPr>
      <w:r>
        <w:rPr>
          <w:rFonts w:ascii="Arial" w:cs="Arial" w:eastAsia="Arial" w:hAnsi="Arial"/>
          <w:sz w:val="24"/>
          <w:szCs w:val="24"/>
          <w:rtl/>
        </w:rPr>
        <w:t xml:space="preserve">يحدد نظام الشركات السعودي ولائحته التنفيذية الحد الأدنى من البيانات الواجب تضمينها في سجل المساهمين. غير أن الممارسة الجيدة - خاصةً للشركات المدرجة والشركات التي تتطلع لاستقطاب الاستثمار - تستوجب تضمين بيانات إضافية تتجاوز هذا الحد الأدنى لضمان الكفاءة التشغيلية والامتثال التنظيمي.</w:t>
      </w:r>
    </w:p>
    <w:p>
      <w:pPr>
        <w:pStyle w:val="Heading2"/>
        <w:bidi/>
        <w:spacing w:after="160" w:before="280"/>
        <w:jc w:val="right"/>
      </w:pPr>
      <w:r>
        <w:rPr>
          <w:rFonts w:ascii="Arial" w:cs="Arial" w:eastAsia="Arial" w:hAnsi="Arial"/>
          <w:b/>
          <w:bCs/>
          <w:color w:val="2E75B6"/>
          <w:sz w:val="30"/>
          <w:szCs w:val="30"/>
          <w:rtl/>
        </w:rPr>
        <w:t xml:space="preserve">1. بيانات تعريف المساهم</w:t>
      </w:r>
    </w:p>
    <w:p>
      <w:pPr>
        <w:bidi/>
        <w:spacing w:after="140" w:line="320"/>
        <w:jc w:val="both"/>
      </w:pPr>
      <w:r>
        <w:rPr>
          <w:rFonts w:ascii="Arial" w:cs="Arial" w:eastAsia="Arial" w:hAnsi="Arial"/>
          <w:sz w:val="24"/>
          <w:szCs w:val="24"/>
          <w:rtl/>
        </w:rPr>
        <w:t xml:space="preserve">تُعدّ هذه البيانات الركن الأول في السجل، وتختلف بحسب طبيعة المساهم (شخص طبيعي أو اعتباري):</w:t>
      </w:r>
    </w:p>
    <w:p>
      <w:pPr>
        <w:pStyle w:val="Heading3"/>
        <w:bidi/>
        <w:spacing w:after="120" w:before="200"/>
        <w:jc w:val="right"/>
      </w:pPr>
      <w:r>
        <w:rPr>
          <w:rFonts w:ascii="Arial" w:cs="Arial" w:eastAsia="Arial" w:hAnsi="Arial"/>
          <w:b/>
          <w:bCs/>
          <w:color w:val="1F4E79"/>
          <w:sz w:val="26"/>
          <w:szCs w:val="26"/>
          <w:rtl/>
        </w:rPr>
        <w:t xml:space="preserve">للأشخاص الطبيعيين</w:t>
      </w:r>
    </w:p>
    <w:p>
      <w:pPr>
        <w:pStyle w:val="ListParagraph"/>
        <w:numPr>
          <w:ilvl w:val="0"/>
          <w:numId w:val="2"/>
        </w:numPr>
        <w:bidi/>
        <w:spacing w:after="100" w:line="300"/>
        <w:jc w:val="right"/>
      </w:pPr>
      <w:r>
        <w:rPr>
          <w:rFonts w:ascii="Arial" w:cs="Arial" w:eastAsia="Arial" w:hAnsi="Arial"/>
          <w:sz w:val="24"/>
          <w:szCs w:val="24"/>
          <w:rtl/>
        </w:rPr>
        <w:t xml:space="preserve">الاسم الرباعي كاملاً كما هو وارد في وثيقة الهوية الرسمية.</w:t>
      </w:r>
    </w:p>
    <w:p>
      <w:pPr>
        <w:pStyle w:val="ListParagraph"/>
        <w:numPr>
          <w:ilvl w:val="0"/>
          <w:numId w:val="2"/>
        </w:numPr>
        <w:bidi/>
        <w:spacing w:after="100" w:line="300"/>
        <w:jc w:val="right"/>
      </w:pPr>
      <w:r>
        <w:rPr>
          <w:rFonts w:ascii="Arial" w:cs="Arial" w:eastAsia="Arial" w:hAnsi="Arial"/>
          <w:sz w:val="24"/>
          <w:szCs w:val="24"/>
          <w:rtl/>
        </w:rPr>
        <w:t xml:space="preserve">الجنسية ورقم الهوية الوطنية أو الإقامة أو جواز السفر.</w:t>
      </w:r>
    </w:p>
    <w:p>
      <w:pPr>
        <w:pStyle w:val="ListParagraph"/>
        <w:numPr>
          <w:ilvl w:val="0"/>
          <w:numId w:val="2"/>
        </w:numPr>
        <w:bidi/>
        <w:spacing w:after="100" w:line="300"/>
        <w:jc w:val="right"/>
      </w:pPr>
      <w:r>
        <w:rPr>
          <w:rFonts w:ascii="Arial" w:cs="Arial" w:eastAsia="Arial" w:hAnsi="Arial"/>
          <w:sz w:val="24"/>
          <w:szCs w:val="24"/>
          <w:rtl/>
        </w:rPr>
        <w:t xml:space="preserve">تاريخ الميلاد.</w:t>
      </w:r>
    </w:p>
    <w:p>
      <w:pPr>
        <w:pStyle w:val="ListParagraph"/>
        <w:numPr>
          <w:ilvl w:val="0"/>
          <w:numId w:val="2"/>
        </w:numPr>
        <w:bidi/>
        <w:spacing w:after="100" w:line="300"/>
        <w:jc w:val="right"/>
      </w:pPr>
      <w:r>
        <w:rPr>
          <w:rFonts w:ascii="Arial" w:cs="Arial" w:eastAsia="Arial" w:hAnsi="Arial"/>
          <w:sz w:val="24"/>
          <w:szCs w:val="24"/>
          <w:rtl/>
        </w:rPr>
        <w:t xml:space="preserve">العنوان الوطني المسجّل لدى العنوان الوطني السعودي.</w:t>
      </w:r>
    </w:p>
    <w:p>
      <w:pPr>
        <w:pStyle w:val="ListParagraph"/>
        <w:numPr>
          <w:ilvl w:val="0"/>
          <w:numId w:val="2"/>
        </w:numPr>
        <w:bidi/>
        <w:spacing w:after="100" w:line="300"/>
        <w:jc w:val="right"/>
      </w:pPr>
      <w:r>
        <w:rPr>
          <w:rFonts w:ascii="Arial" w:cs="Arial" w:eastAsia="Arial" w:hAnsi="Arial"/>
          <w:sz w:val="24"/>
          <w:szCs w:val="24"/>
          <w:rtl/>
        </w:rPr>
        <w:t xml:space="preserve">رقم الجوال والبريد الإلكتروني للتواصل الرسمي.</w:t>
      </w:r>
    </w:p>
    <w:p>
      <w:pPr>
        <w:pStyle w:val="ListParagraph"/>
        <w:numPr>
          <w:ilvl w:val="0"/>
          <w:numId w:val="2"/>
        </w:numPr>
        <w:bidi/>
        <w:spacing w:after="100" w:line="300"/>
        <w:jc w:val="right"/>
      </w:pPr>
      <w:r>
        <w:rPr>
          <w:rFonts w:ascii="Arial" w:cs="Arial" w:eastAsia="Arial" w:hAnsi="Arial"/>
          <w:sz w:val="24"/>
          <w:szCs w:val="24"/>
          <w:rtl/>
        </w:rPr>
        <w:t xml:space="preserve">الحالة الاجتماعية في بعض الحالات (للضرورة القانونية المتعلقة بالأحوال الشخصية).</w:t>
      </w:r>
    </w:p>
    <w:p>
      <w:pPr>
        <w:pStyle w:val="Heading3"/>
        <w:bidi/>
        <w:spacing w:after="120" w:before="200"/>
        <w:jc w:val="right"/>
      </w:pPr>
      <w:r>
        <w:rPr>
          <w:rFonts w:ascii="Arial" w:cs="Arial" w:eastAsia="Arial" w:hAnsi="Arial"/>
          <w:b/>
          <w:bCs/>
          <w:color w:val="1F4E79"/>
          <w:sz w:val="26"/>
          <w:szCs w:val="26"/>
          <w:rtl/>
        </w:rPr>
        <w:t xml:space="preserve">للأشخاص الاعتباريين</w:t>
      </w:r>
    </w:p>
    <w:p>
      <w:pPr>
        <w:pStyle w:val="ListParagraph"/>
        <w:numPr>
          <w:ilvl w:val="0"/>
          <w:numId w:val="2"/>
        </w:numPr>
        <w:bidi/>
        <w:spacing w:after="100" w:line="300"/>
        <w:jc w:val="right"/>
      </w:pPr>
      <w:r>
        <w:rPr>
          <w:rFonts w:ascii="Arial" w:cs="Arial" w:eastAsia="Arial" w:hAnsi="Arial"/>
          <w:sz w:val="24"/>
          <w:szCs w:val="24"/>
          <w:rtl/>
        </w:rPr>
        <w:t xml:space="preserve">الاسم الكامل للكيان الاعتباري كما هو مسجل رسمياً.</w:t>
      </w:r>
    </w:p>
    <w:p>
      <w:pPr>
        <w:pStyle w:val="ListParagraph"/>
        <w:numPr>
          <w:ilvl w:val="0"/>
          <w:numId w:val="2"/>
        </w:numPr>
        <w:bidi/>
        <w:spacing w:after="100" w:line="300"/>
        <w:jc w:val="right"/>
      </w:pPr>
      <w:r>
        <w:rPr>
          <w:rFonts w:ascii="Arial" w:cs="Arial" w:eastAsia="Arial" w:hAnsi="Arial"/>
          <w:sz w:val="24"/>
          <w:szCs w:val="24"/>
          <w:rtl/>
        </w:rPr>
        <w:t xml:space="preserve">رقم السجل التجاري أو رقم الترخيص النظامي.</w:t>
      </w:r>
    </w:p>
    <w:p>
      <w:pPr>
        <w:pStyle w:val="ListParagraph"/>
        <w:numPr>
          <w:ilvl w:val="0"/>
          <w:numId w:val="2"/>
        </w:numPr>
        <w:bidi/>
        <w:spacing w:after="100" w:line="300"/>
        <w:jc w:val="right"/>
      </w:pPr>
      <w:r>
        <w:rPr>
          <w:rFonts w:ascii="Arial" w:cs="Arial" w:eastAsia="Arial" w:hAnsi="Arial"/>
          <w:sz w:val="24"/>
          <w:szCs w:val="24"/>
          <w:rtl/>
        </w:rPr>
        <w:t xml:space="preserve">الدولة التي يقع فيها المركز الرئيسي.</w:t>
      </w:r>
    </w:p>
    <w:p>
      <w:pPr>
        <w:pStyle w:val="ListParagraph"/>
        <w:numPr>
          <w:ilvl w:val="0"/>
          <w:numId w:val="2"/>
        </w:numPr>
        <w:bidi/>
        <w:spacing w:after="100" w:line="300"/>
        <w:jc w:val="right"/>
      </w:pPr>
      <w:r>
        <w:rPr>
          <w:rFonts w:ascii="Arial" w:cs="Arial" w:eastAsia="Arial" w:hAnsi="Arial"/>
          <w:sz w:val="24"/>
          <w:szCs w:val="24"/>
          <w:rtl/>
        </w:rPr>
        <w:t xml:space="preserve">بيانات الممثل النظامي المخوّل.</w:t>
      </w:r>
    </w:p>
    <w:p>
      <w:pPr>
        <w:pStyle w:val="ListParagraph"/>
        <w:numPr>
          <w:ilvl w:val="0"/>
          <w:numId w:val="2"/>
        </w:numPr>
        <w:bidi/>
        <w:spacing w:after="100" w:line="300"/>
        <w:jc w:val="right"/>
      </w:pPr>
      <w:r>
        <w:rPr>
          <w:rFonts w:ascii="Arial" w:cs="Arial" w:eastAsia="Arial" w:hAnsi="Arial"/>
          <w:sz w:val="24"/>
          <w:szCs w:val="24"/>
          <w:rtl/>
        </w:rPr>
        <w:t xml:space="preserve">عنوان المراسلات الرسمية وبيانات التواصل.</w:t>
      </w:r>
    </w:p>
    <w:p>
      <w:pPr>
        <w:pStyle w:val="ListParagraph"/>
        <w:numPr>
          <w:ilvl w:val="0"/>
          <w:numId w:val="2"/>
        </w:numPr>
        <w:bidi/>
        <w:spacing w:after="100" w:line="300"/>
        <w:jc w:val="right"/>
      </w:pPr>
      <w:r>
        <w:rPr>
          <w:rFonts w:ascii="Arial" w:cs="Arial" w:eastAsia="Arial" w:hAnsi="Arial"/>
          <w:sz w:val="24"/>
          <w:szCs w:val="24"/>
          <w:rtl/>
        </w:rPr>
        <w:t xml:space="preserve">بيانات المستفيد الحقيقي وفقاً لمتطلبات الإفصاح.</w:t>
      </w:r>
    </w:p>
    <w:p>
      <w:pPr>
        <w:pStyle w:val="Heading2"/>
        <w:bidi/>
        <w:spacing w:after="160" w:before="280"/>
        <w:jc w:val="right"/>
      </w:pPr>
      <w:r>
        <w:rPr>
          <w:rFonts w:ascii="Arial" w:cs="Arial" w:eastAsia="Arial" w:hAnsi="Arial"/>
          <w:b/>
          <w:bCs/>
          <w:color w:val="2E75B6"/>
          <w:sz w:val="30"/>
          <w:szCs w:val="30"/>
          <w:rtl/>
        </w:rPr>
        <w:t xml:space="preserve">2. بيانات الأسهم المملوكة</w:t>
      </w:r>
    </w:p>
    <w:p>
      <w:pPr>
        <w:bidi/>
        <w:spacing w:after="140" w:line="320"/>
        <w:jc w:val="both"/>
      </w:pPr>
      <w:r>
        <w:rPr>
          <w:rFonts w:ascii="Arial" w:cs="Arial" w:eastAsia="Arial" w:hAnsi="Arial"/>
          <w:sz w:val="24"/>
          <w:szCs w:val="24"/>
          <w:rtl/>
        </w:rPr>
        <w:t xml:space="preserve">هذا الجزء يوثّق العلاقة بين المساهم وأسهمه، ويشمل:</w:t>
      </w:r>
    </w:p>
    <w:p>
      <w:pPr>
        <w:pStyle w:val="ListParagraph"/>
        <w:numPr>
          <w:ilvl w:val="0"/>
          <w:numId w:val="2"/>
        </w:numPr>
        <w:bidi/>
        <w:spacing w:after="100" w:line="300"/>
        <w:jc w:val="right"/>
      </w:pPr>
      <w:r>
        <w:rPr>
          <w:rFonts w:ascii="Arial" w:cs="Arial" w:eastAsia="Arial" w:hAnsi="Arial"/>
          <w:sz w:val="24"/>
          <w:szCs w:val="24"/>
          <w:rtl/>
        </w:rPr>
        <w:t xml:space="preserve">عدد الأسهم المملوكة لكل مساهم.</w:t>
      </w:r>
    </w:p>
    <w:p>
      <w:pPr>
        <w:pStyle w:val="ListParagraph"/>
        <w:numPr>
          <w:ilvl w:val="0"/>
          <w:numId w:val="2"/>
        </w:numPr>
        <w:bidi/>
        <w:spacing w:after="100" w:line="300"/>
        <w:jc w:val="right"/>
      </w:pPr>
      <w:r>
        <w:rPr>
          <w:rFonts w:ascii="Arial" w:cs="Arial" w:eastAsia="Arial" w:hAnsi="Arial"/>
          <w:sz w:val="24"/>
          <w:szCs w:val="24"/>
          <w:rtl/>
        </w:rPr>
        <w:t xml:space="preserve">نوع الأسهم (عادية، ممتازة، قابلة للاسترداد).</w:t>
      </w:r>
    </w:p>
    <w:p>
      <w:pPr>
        <w:pStyle w:val="ListParagraph"/>
        <w:numPr>
          <w:ilvl w:val="0"/>
          <w:numId w:val="2"/>
        </w:numPr>
        <w:bidi/>
        <w:spacing w:after="100" w:line="300"/>
        <w:jc w:val="right"/>
      </w:pPr>
      <w:r>
        <w:rPr>
          <w:rFonts w:ascii="Arial" w:cs="Arial" w:eastAsia="Arial" w:hAnsi="Arial"/>
          <w:sz w:val="24"/>
          <w:szCs w:val="24"/>
          <w:rtl/>
        </w:rPr>
        <w:t xml:space="preserve">فئة الأسهم إذا كانت هناك فئات متعددة من نفس النوع.</w:t>
      </w:r>
    </w:p>
    <w:p>
      <w:pPr>
        <w:pStyle w:val="ListParagraph"/>
        <w:numPr>
          <w:ilvl w:val="0"/>
          <w:numId w:val="2"/>
        </w:numPr>
        <w:bidi/>
        <w:spacing w:after="100" w:line="300"/>
        <w:jc w:val="right"/>
      </w:pPr>
      <w:r>
        <w:rPr>
          <w:rFonts w:ascii="Arial" w:cs="Arial" w:eastAsia="Arial" w:hAnsi="Arial"/>
          <w:sz w:val="24"/>
          <w:szCs w:val="24"/>
          <w:rtl/>
        </w:rPr>
        <w:t xml:space="preserve">القيمة الاسمية للسهم (10 ريالات وفقاً للنظام السعودي).</w:t>
      </w:r>
    </w:p>
    <w:p>
      <w:pPr>
        <w:pStyle w:val="ListParagraph"/>
        <w:numPr>
          <w:ilvl w:val="0"/>
          <w:numId w:val="2"/>
        </w:numPr>
        <w:bidi/>
        <w:spacing w:after="100" w:line="300"/>
        <w:jc w:val="right"/>
      </w:pPr>
      <w:r>
        <w:rPr>
          <w:rFonts w:ascii="Arial" w:cs="Arial" w:eastAsia="Arial" w:hAnsi="Arial"/>
          <w:sz w:val="24"/>
          <w:szCs w:val="24"/>
          <w:rtl/>
        </w:rPr>
        <w:t xml:space="preserve">القيمة المدفوعة من السهم (للأسهم غير مدفوعة القيمة بالكامل).</w:t>
      </w:r>
    </w:p>
    <w:p>
      <w:pPr>
        <w:pStyle w:val="ListParagraph"/>
        <w:numPr>
          <w:ilvl w:val="0"/>
          <w:numId w:val="2"/>
        </w:numPr>
        <w:bidi/>
        <w:spacing w:after="100" w:line="300"/>
        <w:jc w:val="right"/>
      </w:pPr>
      <w:r>
        <w:rPr>
          <w:rFonts w:ascii="Arial" w:cs="Arial" w:eastAsia="Arial" w:hAnsi="Arial"/>
          <w:sz w:val="24"/>
          <w:szCs w:val="24"/>
          <w:rtl/>
        </w:rPr>
        <w:t xml:space="preserve">أرقام الأسهم التسلسلية إن وُجدت.</w:t>
      </w:r>
    </w:p>
    <w:p>
      <w:pPr>
        <w:pStyle w:val="ListParagraph"/>
        <w:numPr>
          <w:ilvl w:val="0"/>
          <w:numId w:val="2"/>
        </w:numPr>
        <w:bidi/>
        <w:spacing w:after="100" w:line="300"/>
        <w:jc w:val="right"/>
      </w:pPr>
      <w:r>
        <w:rPr>
          <w:rFonts w:ascii="Arial" w:cs="Arial" w:eastAsia="Arial" w:hAnsi="Arial"/>
          <w:sz w:val="24"/>
          <w:szCs w:val="24"/>
          <w:rtl/>
        </w:rPr>
        <w:t xml:space="preserve">تاريخ التملك.</w:t>
      </w:r>
    </w:p>
    <w:p>
      <w:pPr>
        <w:pStyle w:val="ListParagraph"/>
        <w:numPr>
          <w:ilvl w:val="0"/>
          <w:numId w:val="2"/>
        </w:numPr>
        <w:bidi/>
        <w:spacing w:after="100" w:line="300"/>
        <w:jc w:val="right"/>
      </w:pPr>
      <w:r>
        <w:rPr>
          <w:rFonts w:ascii="Arial" w:cs="Arial" w:eastAsia="Arial" w:hAnsi="Arial"/>
          <w:sz w:val="24"/>
          <w:szCs w:val="24"/>
          <w:rtl/>
        </w:rPr>
        <w:t xml:space="preserve">مصدر التملك (اكتتاب، شراء، إرث، هبة، استحقاق).</w:t>
      </w:r>
    </w:p>
    <w:p>
      <w:pPr>
        <w:pStyle w:val="Heading2"/>
        <w:bidi/>
        <w:spacing w:after="160" w:before="280"/>
        <w:jc w:val="right"/>
      </w:pPr>
      <w:r>
        <w:rPr>
          <w:rFonts w:ascii="Arial" w:cs="Arial" w:eastAsia="Arial" w:hAnsi="Arial"/>
          <w:b/>
          <w:bCs/>
          <w:color w:val="2E75B6"/>
          <w:sz w:val="30"/>
          <w:szCs w:val="30"/>
          <w:rtl/>
        </w:rPr>
        <w:t xml:space="preserve">3. بيانات التغييرات والقيود</w:t>
      </w:r>
    </w:p>
    <w:p>
      <w:pPr>
        <w:bidi/>
        <w:spacing w:after="140" w:line="320"/>
        <w:jc w:val="both"/>
      </w:pPr>
      <w:r>
        <w:rPr>
          <w:rFonts w:ascii="Arial" w:cs="Arial" w:eastAsia="Arial" w:hAnsi="Arial"/>
          <w:sz w:val="24"/>
          <w:szCs w:val="24"/>
          <w:rtl/>
        </w:rPr>
        <w:t xml:space="preserve">هذه البيانات تُسجَّل عند طروء أي تغيير على ملكية الأسهم أو تقييد للتصرف فيها:</w:t>
      </w:r>
    </w:p>
    <w:p>
      <w:pPr>
        <w:pStyle w:val="ListParagraph"/>
        <w:numPr>
          <w:ilvl w:val="0"/>
          <w:numId w:val="2"/>
        </w:numPr>
        <w:bidi/>
        <w:spacing w:after="100" w:line="300"/>
        <w:jc w:val="right"/>
      </w:pPr>
      <w:r>
        <w:rPr>
          <w:rFonts w:ascii="Arial" w:cs="Arial" w:eastAsia="Arial" w:hAnsi="Arial"/>
          <w:sz w:val="24"/>
          <w:szCs w:val="24"/>
          <w:rtl/>
        </w:rPr>
        <w:t xml:space="preserve">تاريخ كل عملية نقل ملكية.</w:t>
      </w:r>
    </w:p>
    <w:p>
      <w:pPr>
        <w:pStyle w:val="ListParagraph"/>
        <w:numPr>
          <w:ilvl w:val="0"/>
          <w:numId w:val="2"/>
        </w:numPr>
        <w:bidi/>
        <w:spacing w:after="100" w:line="300"/>
        <w:jc w:val="right"/>
      </w:pPr>
      <w:r>
        <w:rPr>
          <w:rFonts w:ascii="Arial" w:cs="Arial" w:eastAsia="Arial" w:hAnsi="Arial"/>
          <w:sz w:val="24"/>
          <w:szCs w:val="24"/>
          <w:rtl/>
        </w:rPr>
        <w:t xml:space="preserve">بيانات المتنازل والمتنازل إليه.</w:t>
      </w:r>
    </w:p>
    <w:p>
      <w:pPr>
        <w:pStyle w:val="ListParagraph"/>
        <w:numPr>
          <w:ilvl w:val="0"/>
          <w:numId w:val="2"/>
        </w:numPr>
        <w:bidi/>
        <w:spacing w:after="100" w:line="300"/>
        <w:jc w:val="right"/>
      </w:pPr>
      <w:r>
        <w:rPr>
          <w:rFonts w:ascii="Arial" w:cs="Arial" w:eastAsia="Arial" w:hAnsi="Arial"/>
          <w:sz w:val="24"/>
          <w:szCs w:val="24"/>
          <w:rtl/>
        </w:rPr>
        <w:t xml:space="preserve">سند نقل الملكية ورقمه.</w:t>
      </w:r>
    </w:p>
    <w:p>
      <w:pPr>
        <w:pStyle w:val="ListParagraph"/>
        <w:numPr>
          <w:ilvl w:val="0"/>
          <w:numId w:val="2"/>
        </w:numPr>
        <w:bidi/>
        <w:spacing w:after="100" w:line="300"/>
        <w:jc w:val="right"/>
      </w:pPr>
      <w:r>
        <w:rPr>
          <w:rFonts w:ascii="Arial" w:cs="Arial" w:eastAsia="Arial" w:hAnsi="Arial"/>
          <w:sz w:val="24"/>
          <w:szCs w:val="24"/>
          <w:rtl/>
        </w:rPr>
        <w:t xml:space="preserve">قيود الرهن: بيانات المرتهن، قيمة الدين المضمون، الحد الأقصى.</w:t>
      </w:r>
    </w:p>
    <w:p>
      <w:pPr>
        <w:pStyle w:val="ListParagraph"/>
        <w:numPr>
          <w:ilvl w:val="0"/>
          <w:numId w:val="2"/>
        </w:numPr>
        <w:bidi/>
        <w:spacing w:after="100" w:line="300"/>
        <w:jc w:val="right"/>
      </w:pPr>
      <w:r>
        <w:rPr>
          <w:rFonts w:ascii="Arial" w:cs="Arial" w:eastAsia="Arial" w:hAnsi="Arial"/>
          <w:sz w:val="24"/>
          <w:szCs w:val="24"/>
          <w:rtl/>
        </w:rPr>
        <w:t xml:space="preserve">قيود الحجز: الجهة الحاجزة، رقم القرار، تاريخه.</w:t>
      </w:r>
    </w:p>
    <w:p>
      <w:pPr>
        <w:pStyle w:val="ListParagraph"/>
        <w:numPr>
          <w:ilvl w:val="0"/>
          <w:numId w:val="2"/>
        </w:numPr>
        <w:bidi/>
        <w:spacing w:after="100" w:line="300"/>
        <w:jc w:val="right"/>
      </w:pPr>
      <w:r>
        <w:rPr>
          <w:rFonts w:ascii="Arial" w:cs="Arial" w:eastAsia="Arial" w:hAnsi="Arial"/>
          <w:sz w:val="24"/>
          <w:szCs w:val="24"/>
          <w:rtl/>
        </w:rPr>
        <w:t xml:space="preserve">قيود التحفظ والمنع من التصرف إن وُجدت.</w:t>
      </w:r>
    </w:p>
    <w:p>
      <w:pPr>
        <w:pStyle w:val="Heading2"/>
        <w:bidi/>
        <w:spacing w:after="160" w:before="280"/>
        <w:jc w:val="right"/>
      </w:pPr>
      <w:r>
        <w:rPr>
          <w:rFonts w:ascii="Arial" w:cs="Arial" w:eastAsia="Arial" w:hAnsi="Arial"/>
          <w:b/>
          <w:bCs/>
          <w:color w:val="2E75B6"/>
          <w:sz w:val="30"/>
          <w:szCs w:val="30"/>
          <w:rtl/>
        </w:rPr>
        <w:t xml:space="preserve">4. بيانات تمثيل المساهم</w:t>
      </w:r>
    </w:p>
    <w:p>
      <w:pPr>
        <w:pStyle w:val="ListParagraph"/>
        <w:numPr>
          <w:ilvl w:val="0"/>
          <w:numId w:val="2"/>
        </w:numPr>
        <w:bidi/>
        <w:spacing w:after="100" w:line="300"/>
        <w:jc w:val="right"/>
      </w:pPr>
      <w:r>
        <w:rPr>
          <w:rFonts w:ascii="Arial" w:cs="Arial" w:eastAsia="Arial" w:hAnsi="Arial"/>
          <w:sz w:val="24"/>
          <w:szCs w:val="24"/>
          <w:rtl/>
        </w:rPr>
        <w:t xml:space="preserve">بيانات الوكيل أو الولي أو القيّم في حالات النيابة.</w:t>
      </w:r>
    </w:p>
    <w:p>
      <w:pPr>
        <w:pStyle w:val="ListParagraph"/>
        <w:numPr>
          <w:ilvl w:val="0"/>
          <w:numId w:val="2"/>
        </w:numPr>
        <w:bidi/>
        <w:spacing w:after="100" w:line="300"/>
        <w:jc w:val="right"/>
      </w:pPr>
      <w:r>
        <w:rPr>
          <w:rFonts w:ascii="Arial" w:cs="Arial" w:eastAsia="Arial" w:hAnsi="Arial"/>
          <w:sz w:val="24"/>
          <w:szCs w:val="24"/>
          <w:rtl/>
        </w:rPr>
        <w:t xml:space="preserve">بيانات وثيقة التوكيل أو القرار القضائي.</w:t>
      </w:r>
    </w:p>
    <w:p>
      <w:pPr>
        <w:pStyle w:val="ListParagraph"/>
        <w:numPr>
          <w:ilvl w:val="0"/>
          <w:numId w:val="2"/>
        </w:numPr>
        <w:bidi/>
        <w:spacing w:after="100" w:line="300"/>
        <w:jc w:val="right"/>
      </w:pPr>
      <w:r>
        <w:rPr>
          <w:rFonts w:ascii="Arial" w:cs="Arial" w:eastAsia="Arial" w:hAnsi="Arial"/>
          <w:sz w:val="24"/>
          <w:szCs w:val="24"/>
          <w:rtl/>
        </w:rPr>
        <w:t xml:space="preserve">نطاق صلاحيات الممثل.</w:t>
      </w:r>
    </w:p>
    <w:p>
      <w:pPr>
        <w:pStyle w:val="ListParagraph"/>
        <w:numPr>
          <w:ilvl w:val="0"/>
          <w:numId w:val="2"/>
        </w:numPr>
        <w:bidi/>
        <w:spacing w:after="100" w:line="300"/>
        <w:jc w:val="right"/>
      </w:pPr>
      <w:r>
        <w:rPr>
          <w:rFonts w:ascii="Arial" w:cs="Arial" w:eastAsia="Arial" w:hAnsi="Arial"/>
          <w:sz w:val="24"/>
          <w:szCs w:val="24"/>
          <w:rtl/>
        </w:rPr>
        <w:t xml:space="preserve">تاريخ بدء وانتهاء التمثيل.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D9E2F3" w:val="clear"/>
            <w:tcMar>
              <w:top w:type="dxa" w:w="160"/>
              <w:left w:type="dxa" w:w="200"/>
              <w:bottom w:type="dxa" w:w="160"/>
              <w:right w:type="dxa" w:w="200"/>
            </w:tcMar>
          </w:tcPr>
          <w:p>
            <w:pPr>
              <w:bidi/>
              <w:spacing w:after="100"/>
              <w:jc w:val="right"/>
            </w:pPr>
            <w:r>
              <w:rPr>
                <w:rFonts w:ascii="Arial" w:cs="Arial" w:eastAsia="Arial" w:hAnsi="Arial"/>
                <w:b/>
                <w:bCs/>
                <w:color w:val="1F4E79"/>
                <w:sz w:val="26"/>
                <w:szCs w:val="26"/>
                <w:rtl/>
              </w:rPr>
              <w:t xml:space="preserve">📋 ملاحظة تنظيمية</w:t>
            </w:r>
          </w:p>
          <w:p>
            <w:pPr>
              <w:bidi/>
              <w:spacing w:line="300"/>
              <w:jc w:val="both"/>
            </w:pPr>
            <w:r>
              <w:rPr>
                <w:rFonts w:ascii="Arial" w:cs="Arial" w:eastAsia="Arial" w:hAnsi="Arial"/>
                <w:sz w:val="24"/>
                <w:szCs w:val="24"/>
                <w:rtl/>
              </w:rPr>
              <w:t xml:space="preserve">وفقاً للائحة التنفيذية لنظام الشركات، يجب أن تكون البيانات المسجلة في السجل متطابقة مع البيانات الواردة في الوثائق الرسمية الأصلية، وأن تُحدَّث فور علم الشركة بأي تغيير. كما يتعين على المساهم إبلاغ الشركة بأي تغيير في بياناته الشخصية أو في العنوان أو وسائل التواصل.</w:t>
            </w:r>
          </w:p>
        </w:tc>
      </w:tr>
    </w:tbl>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ثانياً: أنواع الأسهم وفقاً للنظام السعودي</w:t>
      </w:r>
    </w:p>
    <w:p>
      <w:pPr>
        <w:bidi/>
        <w:spacing w:after="140" w:line="320"/>
        <w:jc w:val="both"/>
      </w:pPr>
      <w:r>
        <w:rPr>
          <w:rFonts w:ascii="Arial" w:cs="Arial" w:eastAsia="Arial" w:hAnsi="Arial"/>
          <w:sz w:val="24"/>
          <w:szCs w:val="24"/>
          <w:rtl/>
        </w:rPr>
        <w:t xml:space="preserve">نصّت المادة الثامنة بعد المائة من نظام الشركات السعودي على أن الأسهم التي يجوز للشركة إصدارها تنقسم إلى ثلاثة أنواع رئيسية: الأسهم العادية، والأسهم الممتازة، والأسهم القابلة للاسترداد. كما يجوز النص في النظام الأساس للشركة على فئات مختلفة من كل نوع، مع منح بعض الحقوق أو الامتيازات أو وضع قيود على بعض هذه الفئات.</w:t>
      </w:r>
    </w:p>
    <w:p>
      <w:pPr>
        <w:pStyle w:val="Heading2"/>
        <w:bidi/>
        <w:spacing w:after="160" w:before="280"/>
        <w:jc w:val="right"/>
      </w:pPr>
      <w:r>
        <w:rPr>
          <w:rFonts w:ascii="Arial" w:cs="Arial" w:eastAsia="Arial" w:hAnsi="Arial"/>
          <w:b/>
          <w:bCs/>
          <w:color w:val="2E75B6"/>
          <w:sz w:val="30"/>
          <w:szCs w:val="30"/>
          <w:rtl/>
        </w:rPr>
        <w:t xml:space="preserve">1. الأسهم العادية (Common/Ordinary Shares)</w:t>
      </w:r>
    </w:p>
    <w:p>
      <w:pPr>
        <w:bidi/>
        <w:spacing w:after="140" w:line="320"/>
        <w:jc w:val="both"/>
      </w:pPr>
      <w:r>
        <w:rPr>
          <w:rFonts w:ascii="Arial" w:cs="Arial" w:eastAsia="Arial" w:hAnsi="Arial"/>
          <w:sz w:val="24"/>
          <w:szCs w:val="24"/>
          <w:rtl/>
        </w:rPr>
        <w:t xml:space="preserve">الأسهم العادية هي الشكل الأكثر شيوعاً والأساس الذي تُبنى عليه ملكية رأس المال في الشركات المساهمة. ويتمتع مالكوها بحزمة كاملة من الحقوق التي تجسد المركز القانوني للشريك في الشركة.</w:t>
      </w:r>
    </w:p>
    <w:p>
      <w:pPr>
        <w:pStyle w:val="Heading3"/>
        <w:bidi/>
        <w:spacing w:after="120" w:before="200"/>
        <w:jc w:val="right"/>
      </w:pPr>
      <w:r>
        <w:rPr>
          <w:rFonts w:ascii="Arial" w:cs="Arial" w:eastAsia="Arial" w:hAnsi="Arial"/>
          <w:b/>
          <w:bCs/>
          <w:color w:val="1F4E79"/>
          <w:sz w:val="26"/>
          <w:szCs w:val="26"/>
          <w:rtl/>
        </w:rPr>
        <w:t xml:space="preserve">خصائص الأسهم العادية</w:t>
      </w:r>
    </w:p>
    <w:p>
      <w:pPr>
        <w:pStyle w:val="ListParagraph"/>
        <w:numPr>
          <w:ilvl w:val="0"/>
          <w:numId w:val="2"/>
        </w:numPr>
        <w:bidi/>
        <w:spacing w:after="100" w:line="300"/>
        <w:jc w:val="right"/>
      </w:pPr>
      <w:r>
        <w:rPr>
          <w:rFonts w:ascii="Arial" w:cs="Arial" w:eastAsia="Arial" w:hAnsi="Arial"/>
          <w:sz w:val="24"/>
          <w:szCs w:val="24"/>
          <w:rtl/>
        </w:rPr>
        <w:t xml:space="preserve">متساوية القيمة الاسمية، وتمنح حقوقاً والتزامات متساوية لأصحابها.</w:t>
      </w:r>
    </w:p>
    <w:p>
      <w:pPr>
        <w:pStyle w:val="ListParagraph"/>
        <w:numPr>
          <w:ilvl w:val="0"/>
          <w:numId w:val="2"/>
        </w:numPr>
        <w:bidi/>
        <w:spacing w:after="100" w:line="300"/>
        <w:jc w:val="right"/>
      </w:pPr>
      <w:r>
        <w:rPr>
          <w:rFonts w:ascii="Arial" w:cs="Arial" w:eastAsia="Arial" w:hAnsi="Arial"/>
          <w:sz w:val="24"/>
          <w:szCs w:val="24"/>
          <w:rtl/>
        </w:rPr>
        <w:t xml:space="preserve">قابلة للتداول وفقاً للضوابط النظامية والقانونية.</w:t>
      </w:r>
    </w:p>
    <w:p>
      <w:pPr>
        <w:pStyle w:val="ListParagraph"/>
        <w:numPr>
          <w:ilvl w:val="0"/>
          <w:numId w:val="2"/>
        </w:numPr>
        <w:bidi/>
        <w:spacing w:after="100" w:line="300"/>
        <w:jc w:val="right"/>
      </w:pPr>
      <w:r>
        <w:rPr>
          <w:rFonts w:ascii="Arial" w:cs="Arial" w:eastAsia="Arial" w:hAnsi="Arial"/>
          <w:sz w:val="24"/>
          <w:szCs w:val="24"/>
          <w:rtl/>
        </w:rPr>
        <w:t xml:space="preserve">لا يجوز إصدارها بأقل من قيمتها الاسمية، ويجوز إصدارها بأعلى منها (علاوة إصدار).</w:t>
      </w:r>
    </w:p>
    <w:p>
      <w:pPr>
        <w:pStyle w:val="ListParagraph"/>
        <w:numPr>
          <w:ilvl w:val="0"/>
          <w:numId w:val="2"/>
        </w:numPr>
        <w:bidi/>
        <w:spacing w:after="100" w:line="300"/>
        <w:jc w:val="right"/>
      </w:pPr>
      <w:r>
        <w:rPr>
          <w:rFonts w:ascii="Arial" w:cs="Arial" w:eastAsia="Arial" w:hAnsi="Arial"/>
          <w:sz w:val="24"/>
          <w:szCs w:val="24"/>
          <w:rtl/>
        </w:rPr>
        <w:t xml:space="preserve">تمنح حقوق تصويت في الجمعيات العمومية.</w:t>
      </w:r>
    </w:p>
    <w:p>
      <w:pPr>
        <w:pStyle w:val="ListParagraph"/>
        <w:numPr>
          <w:ilvl w:val="0"/>
          <w:numId w:val="2"/>
        </w:numPr>
        <w:bidi/>
        <w:spacing w:after="100" w:line="300"/>
        <w:jc w:val="right"/>
      </w:pPr>
      <w:r>
        <w:rPr>
          <w:rFonts w:ascii="Arial" w:cs="Arial" w:eastAsia="Arial" w:hAnsi="Arial"/>
          <w:sz w:val="24"/>
          <w:szCs w:val="24"/>
          <w:rtl/>
        </w:rPr>
        <w:t xml:space="preserve">توزع عليها الأرباح بعد توزيع أرباح الأسهم الممتازة.</w:t>
      </w:r>
    </w:p>
    <w:p>
      <w:pPr>
        <w:pStyle w:val="Heading3"/>
        <w:bidi/>
        <w:spacing w:after="120" w:before="200"/>
        <w:jc w:val="right"/>
      </w:pPr>
      <w:r>
        <w:rPr>
          <w:rFonts w:ascii="Arial" w:cs="Arial" w:eastAsia="Arial" w:hAnsi="Arial"/>
          <w:b/>
          <w:bCs/>
          <w:color w:val="1F4E79"/>
          <w:sz w:val="26"/>
          <w:szCs w:val="26"/>
          <w:rtl/>
        </w:rPr>
        <w:t xml:space="preserve">حقوق حاملي الأسهم العادية</w:t>
      </w:r>
    </w:p>
    <w:p>
      <w:pPr>
        <w:pStyle w:val="ListParagraph"/>
        <w:numPr>
          <w:ilvl w:val="0"/>
          <w:numId w:val="3"/>
        </w:numPr>
        <w:bidi/>
        <w:spacing w:after="100" w:line="300"/>
        <w:jc w:val="right"/>
      </w:pPr>
      <w:r>
        <w:rPr>
          <w:rFonts w:ascii="Arial" w:cs="Arial" w:eastAsia="Arial" w:hAnsi="Arial"/>
          <w:sz w:val="24"/>
          <w:szCs w:val="24"/>
          <w:rtl/>
        </w:rPr>
        <w:t xml:space="preserve">حق التصويت في الجمعيات العمومية والمشاركة في انتخاب أعضاء مجلس الإدارة.</w:t>
      </w:r>
    </w:p>
    <w:p>
      <w:pPr>
        <w:pStyle w:val="ListParagraph"/>
        <w:numPr>
          <w:ilvl w:val="0"/>
          <w:numId w:val="3"/>
        </w:numPr>
        <w:bidi/>
        <w:spacing w:after="100" w:line="300"/>
        <w:jc w:val="right"/>
      </w:pPr>
      <w:r>
        <w:rPr>
          <w:rFonts w:ascii="Arial" w:cs="Arial" w:eastAsia="Arial" w:hAnsi="Arial"/>
          <w:sz w:val="24"/>
          <w:szCs w:val="24"/>
          <w:rtl/>
        </w:rPr>
        <w:t xml:space="preserve">الحق في الحصول على نصيب من الأرباح الموزعة.</w:t>
      </w:r>
    </w:p>
    <w:p>
      <w:pPr>
        <w:pStyle w:val="ListParagraph"/>
        <w:numPr>
          <w:ilvl w:val="0"/>
          <w:numId w:val="3"/>
        </w:numPr>
        <w:bidi/>
        <w:spacing w:after="100" w:line="300"/>
        <w:jc w:val="right"/>
      </w:pPr>
      <w:r>
        <w:rPr>
          <w:rFonts w:ascii="Arial" w:cs="Arial" w:eastAsia="Arial" w:hAnsi="Arial"/>
          <w:sz w:val="24"/>
          <w:szCs w:val="24"/>
          <w:rtl/>
        </w:rPr>
        <w:t xml:space="preserve">حق الأولوية في الاكتتاب في الأسهم الجديدة عند زيادة رأس المال.</w:t>
      </w:r>
    </w:p>
    <w:p>
      <w:pPr>
        <w:pStyle w:val="ListParagraph"/>
        <w:numPr>
          <w:ilvl w:val="0"/>
          <w:numId w:val="3"/>
        </w:numPr>
        <w:bidi/>
        <w:spacing w:after="100" w:line="300"/>
        <w:jc w:val="right"/>
      </w:pPr>
      <w:r>
        <w:rPr>
          <w:rFonts w:ascii="Arial" w:cs="Arial" w:eastAsia="Arial" w:hAnsi="Arial"/>
          <w:sz w:val="24"/>
          <w:szCs w:val="24"/>
          <w:rtl/>
        </w:rPr>
        <w:t xml:space="preserve">الحق في الاطلاع على وثائق الشركة وفق الضوابط النظامية.</w:t>
      </w:r>
    </w:p>
    <w:p>
      <w:pPr>
        <w:pStyle w:val="ListParagraph"/>
        <w:numPr>
          <w:ilvl w:val="0"/>
          <w:numId w:val="3"/>
        </w:numPr>
        <w:bidi/>
        <w:spacing w:after="100" w:line="300"/>
        <w:jc w:val="right"/>
      </w:pPr>
      <w:r>
        <w:rPr>
          <w:rFonts w:ascii="Arial" w:cs="Arial" w:eastAsia="Arial" w:hAnsi="Arial"/>
          <w:sz w:val="24"/>
          <w:szCs w:val="24"/>
          <w:rtl/>
        </w:rPr>
        <w:t xml:space="preserve">الحق في رفع دعوى المسؤولية ضد أعضاء مجلس الإدارة.</w:t>
      </w:r>
    </w:p>
    <w:p>
      <w:pPr>
        <w:pStyle w:val="ListParagraph"/>
        <w:numPr>
          <w:ilvl w:val="0"/>
          <w:numId w:val="3"/>
        </w:numPr>
        <w:bidi/>
        <w:spacing w:after="100" w:line="300"/>
        <w:jc w:val="right"/>
      </w:pPr>
      <w:r>
        <w:rPr>
          <w:rFonts w:ascii="Arial" w:cs="Arial" w:eastAsia="Arial" w:hAnsi="Arial"/>
          <w:sz w:val="24"/>
          <w:szCs w:val="24"/>
          <w:rtl/>
        </w:rPr>
        <w:t xml:space="preserve">الحق في نصيب من موجودات الشركة عند التصفية بعد سداد جميع الديون.</w:t>
      </w:r>
    </w:p>
    <w:p>
      <w:pPr>
        <w:pStyle w:val="ListParagraph"/>
        <w:numPr>
          <w:ilvl w:val="0"/>
          <w:numId w:val="3"/>
        </w:numPr>
        <w:bidi/>
        <w:spacing w:after="100" w:line="300"/>
        <w:jc w:val="right"/>
      </w:pPr>
      <w:r>
        <w:rPr>
          <w:rFonts w:ascii="Arial" w:cs="Arial" w:eastAsia="Arial" w:hAnsi="Arial"/>
          <w:sz w:val="24"/>
          <w:szCs w:val="24"/>
          <w:rtl/>
        </w:rPr>
        <w:t xml:space="preserve">حق نقل الملكية والتصرف في الأسهم وفق النظام.</w:t>
      </w:r>
    </w:p>
    <w:p>
      <w:pPr>
        <w:pStyle w:val="Heading2"/>
        <w:bidi/>
        <w:spacing w:after="160" w:before="280"/>
        <w:jc w:val="right"/>
      </w:pPr>
      <w:r>
        <w:rPr>
          <w:rFonts w:ascii="Arial" w:cs="Arial" w:eastAsia="Arial" w:hAnsi="Arial"/>
          <w:b/>
          <w:bCs/>
          <w:color w:val="2E75B6"/>
          <w:sz w:val="30"/>
          <w:szCs w:val="30"/>
          <w:rtl/>
        </w:rPr>
        <w:t xml:space="preserve">2. الأسهم الممتازة (Preferred Shares)</w:t>
      </w:r>
    </w:p>
    <w:p>
      <w:pPr>
        <w:bidi/>
        <w:spacing w:after="140" w:line="320"/>
        <w:jc w:val="both"/>
      </w:pPr>
      <w:r>
        <w:rPr>
          <w:rFonts w:ascii="Arial" w:cs="Arial" w:eastAsia="Arial" w:hAnsi="Arial"/>
          <w:sz w:val="24"/>
          <w:szCs w:val="24"/>
          <w:rtl/>
        </w:rPr>
        <w:t xml:space="preserve">الأسهم الممتازة هي نوع خاص من الأسهم يمنح حامليه حقوقاً وامتيازات تتجاوز ما يحصل عليه حملة الأسهم العادية، مقابل التنازل عن بعض الحقوق الأخرى - كحق التصويت في الغالب. وقد نظّم النظام السعودي إصدار هذه الأسهم بضوابط محددة لضمان عدم الإضرار بحقوق المساهمين الآخرين.</w:t>
      </w:r>
    </w:p>
    <w:p>
      <w:pPr>
        <w:pStyle w:val="Heading3"/>
        <w:bidi/>
        <w:spacing w:after="120" w:before="200"/>
        <w:jc w:val="right"/>
      </w:pPr>
      <w:r>
        <w:rPr>
          <w:rFonts w:ascii="Arial" w:cs="Arial" w:eastAsia="Arial" w:hAnsi="Arial"/>
          <w:b/>
          <w:bCs/>
          <w:color w:val="1F4E79"/>
          <w:sz w:val="26"/>
          <w:szCs w:val="26"/>
          <w:rtl/>
        </w:rPr>
        <w:t xml:space="preserve">ضوابط إصدار الأسهم الممتازة</w:t>
      </w:r>
    </w:p>
    <w:p>
      <w:pPr>
        <w:pStyle w:val="ListParagraph"/>
        <w:numPr>
          <w:ilvl w:val="0"/>
          <w:numId w:val="3"/>
        </w:numPr>
        <w:bidi/>
        <w:spacing w:after="100" w:line="300"/>
        <w:jc w:val="right"/>
      </w:pPr>
      <w:r>
        <w:rPr>
          <w:rFonts w:ascii="Arial" w:cs="Arial" w:eastAsia="Arial" w:hAnsi="Arial"/>
          <w:sz w:val="24"/>
          <w:szCs w:val="24"/>
          <w:rtl/>
        </w:rPr>
        <w:t xml:space="preserve">أن ينص النظام الأساس للشركة على جواز إصدارها.</w:t>
      </w:r>
    </w:p>
    <w:p>
      <w:pPr>
        <w:pStyle w:val="ListParagraph"/>
        <w:numPr>
          <w:ilvl w:val="0"/>
          <w:numId w:val="3"/>
        </w:numPr>
        <w:bidi/>
        <w:spacing w:after="100" w:line="300"/>
        <w:jc w:val="right"/>
      </w:pPr>
      <w:r>
        <w:rPr>
          <w:rFonts w:ascii="Arial" w:cs="Arial" w:eastAsia="Arial" w:hAnsi="Arial"/>
          <w:sz w:val="24"/>
          <w:szCs w:val="24"/>
          <w:rtl/>
        </w:rPr>
        <w:t xml:space="preserve">أن يكون رأس المال المصدر قد دُفع بالكامل.</w:t>
      </w:r>
    </w:p>
    <w:p>
      <w:pPr>
        <w:pStyle w:val="ListParagraph"/>
        <w:numPr>
          <w:ilvl w:val="0"/>
          <w:numId w:val="3"/>
        </w:numPr>
        <w:bidi/>
        <w:spacing w:after="100" w:line="300"/>
        <w:jc w:val="right"/>
      </w:pPr>
      <w:r>
        <w:rPr>
          <w:rFonts w:ascii="Arial" w:cs="Arial" w:eastAsia="Arial" w:hAnsi="Arial"/>
          <w:sz w:val="24"/>
          <w:szCs w:val="24"/>
          <w:rtl/>
        </w:rPr>
        <w:t xml:space="preserve">الحصول على موافقة الجمعية العامة غير العادية.</w:t>
      </w:r>
    </w:p>
    <w:p>
      <w:pPr>
        <w:pStyle w:val="ListParagraph"/>
        <w:numPr>
          <w:ilvl w:val="0"/>
          <w:numId w:val="3"/>
        </w:numPr>
        <w:bidi/>
        <w:spacing w:after="100" w:line="300"/>
        <w:jc w:val="right"/>
      </w:pPr>
      <w:r>
        <w:rPr>
          <w:rFonts w:ascii="Arial" w:cs="Arial" w:eastAsia="Arial" w:hAnsi="Arial"/>
          <w:sz w:val="24"/>
          <w:szCs w:val="24"/>
          <w:rtl/>
        </w:rPr>
        <w:t xml:space="preserve">الحصول على موافقة جمعية خاصة من المساهمين المتضررين إن وُجدوا.</w:t>
      </w:r>
    </w:p>
    <w:p>
      <w:pPr>
        <w:pStyle w:val="ListParagraph"/>
        <w:numPr>
          <w:ilvl w:val="0"/>
          <w:numId w:val="3"/>
        </w:numPr>
        <w:bidi/>
        <w:spacing w:after="100" w:line="300"/>
        <w:jc w:val="right"/>
      </w:pPr>
      <w:r>
        <w:rPr>
          <w:rFonts w:ascii="Arial" w:cs="Arial" w:eastAsia="Arial" w:hAnsi="Arial"/>
          <w:sz w:val="24"/>
          <w:szCs w:val="24"/>
          <w:rtl/>
        </w:rPr>
        <w:t xml:space="preserve">ألا تتجاوز نسبة الأسهم الممتازة والقابلة للاسترداد مجتمعةً 50% من رأس المال.</w:t>
      </w:r>
    </w:p>
    <w:p>
      <w:pPr>
        <w:pStyle w:val="ListParagraph"/>
        <w:numPr>
          <w:ilvl w:val="0"/>
          <w:numId w:val="3"/>
        </w:numPr>
        <w:bidi/>
        <w:spacing w:after="100" w:line="300"/>
        <w:jc w:val="right"/>
      </w:pPr>
      <w:r>
        <w:rPr>
          <w:rFonts w:ascii="Arial" w:cs="Arial" w:eastAsia="Arial" w:hAnsi="Arial"/>
          <w:sz w:val="24"/>
          <w:szCs w:val="24"/>
          <w:rtl/>
        </w:rPr>
        <w:t xml:space="preserve">أن يتم الوفاء بقيمة الأسهم الممتازة كاملةً عند الاكتتاب.</w:t>
      </w:r>
    </w:p>
    <w:p>
      <w:pPr>
        <w:pStyle w:val="Heading3"/>
        <w:bidi/>
        <w:spacing w:after="120" w:before="200"/>
        <w:jc w:val="right"/>
      </w:pPr>
      <w:r>
        <w:rPr>
          <w:rFonts w:ascii="Arial" w:cs="Arial" w:eastAsia="Arial" w:hAnsi="Arial"/>
          <w:b/>
          <w:bCs/>
          <w:color w:val="1F4E79"/>
          <w:sz w:val="26"/>
          <w:szCs w:val="26"/>
          <w:rtl/>
        </w:rPr>
        <w:t xml:space="preserve">الامتيازات الشائعة للأسهم الممتازة</w:t>
      </w:r>
    </w:p>
    <w:p>
      <w:pPr>
        <w:pStyle w:val="ListParagraph"/>
        <w:numPr>
          <w:ilvl w:val="0"/>
          <w:numId w:val="2"/>
        </w:numPr>
        <w:bidi/>
        <w:spacing w:after="100" w:line="300"/>
        <w:jc w:val="right"/>
      </w:pPr>
      <w:r>
        <w:rPr>
          <w:rFonts w:ascii="Arial" w:cs="Arial" w:eastAsia="Arial" w:hAnsi="Arial"/>
          <w:sz w:val="24"/>
          <w:szCs w:val="24"/>
          <w:rtl/>
        </w:rPr>
        <w:t xml:space="preserve">الأولوية في الحصول على نسبة محددة من الأرباح قبل توزيع الأرباح على حملة الأسهم العادية.</w:t>
      </w:r>
    </w:p>
    <w:p>
      <w:pPr>
        <w:pStyle w:val="ListParagraph"/>
        <w:numPr>
          <w:ilvl w:val="0"/>
          <w:numId w:val="2"/>
        </w:numPr>
        <w:bidi/>
        <w:spacing w:after="100" w:line="300"/>
        <w:jc w:val="right"/>
      </w:pPr>
      <w:r>
        <w:rPr>
          <w:rFonts w:ascii="Arial" w:cs="Arial" w:eastAsia="Arial" w:hAnsi="Arial"/>
          <w:sz w:val="24"/>
          <w:szCs w:val="24"/>
          <w:rtl/>
        </w:rPr>
        <w:t xml:space="preserve">الأولوية في الحصول على نصيب من موجودات الشركة عند التصفية.</w:t>
      </w:r>
    </w:p>
    <w:p>
      <w:pPr>
        <w:pStyle w:val="ListParagraph"/>
        <w:numPr>
          <w:ilvl w:val="0"/>
          <w:numId w:val="2"/>
        </w:numPr>
        <w:bidi/>
        <w:spacing w:after="100" w:line="300"/>
        <w:jc w:val="right"/>
      </w:pPr>
      <w:r>
        <w:rPr>
          <w:rFonts w:ascii="Arial" w:cs="Arial" w:eastAsia="Arial" w:hAnsi="Arial"/>
          <w:sz w:val="24"/>
          <w:szCs w:val="24"/>
          <w:rtl/>
        </w:rPr>
        <w:t xml:space="preserve">ضمان توزيع نسبة ثابتة من الأرباح بغض النظر عن أداء الشركة (في بعض الفئات).</w:t>
      </w:r>
    </w:p>
    <w:p>
      <w:pPr>
        <w:pStyle w:val="ListParagraph"/>
        <w:numPr>
          <w:ilvl w:val="0"/>
          <w:numId w:val="2"/>
        </w:numPr>
        <w:bidi/>
        <w:spacing w:after="100" w:line="300"/>
        <w:jc w:val="right"/>
      </w:pPr>
      <w:r>
        <w:rPr>
          <w:rFonts w:ascii="Arial" w:cs="Arial" w:eastAsia="Arial" w:hAnsi="Arial"/>
          <w:sz w:val="24"/>
          <w:szCs w:val="24"/>
          <w:rtl/>
        </w:rPr>
        <w:t xml:space="preserve">حقوق تراكمية بحيث تُرحَّل الأرباح غير الموزعة إلى السنوات اللاحقة.</w:t>
      </w:r>
    </w:p>
    <w:p>
      <w:pPr>
        <w:pStyle w:val="Heading3"/>
        <w:bidi/>
        <w:spacing w:after="120" w:before="200"/>
        <w:jc w:val="right"/>
      </w:pPr>
      <w:r>
        <w:rPr>
          <w:rFonts w:ascii="Arial" w:cs="Arial" w:eastAsia="Arial" w:hAnsi="Arial"/>
          <w:b/>
          <w:bCs/>
          <w:color w:val="1F4E79"/>
          <w:sz w:val="26"/>
          <w:szCs w:val="26"/>
          <w:rtl/>
        </w:rPr>
        <w:t xml:space="preserve">القيود الشائعة على الأسهم الممتازة</w:t>
      </w:r>
    </w:p>
    <w:p>
      <w:pPr>
        <w:pStyle w:val="ListParagraph"/>
        <w:numPr>
          <w:ilvl w:val="0"/>
          <w:numId w:val="2"/>
        </w:numPr>
        <w:bidi/>
        <w:spacing w:after="100" w:line="300"/>
        <w:jc w:val="right"/>
      </w:pPr>
      <w:r>
        <w:rPr>
          <w:rFonts w:ascii="Arial" w:cs="Arial" w:eastAsia="Arial" w:hAnsi="Arial"/>
          <w:sz w:val="24"/>
          <w:szCs w:val="24"/>
          <w:rtl/>
        </w:rPr>
        <w:t xml:space="preserve">عدم وجود حق التصويت في الجمعيات العامة (في الغالب).</w:t>
      </w:r>
    </w:p>
    <w:p>
      <w:pPr>
        <w:pStyle w:val="ListParagraph"/>
        <w:numPr>
          <w:ilvl w:val="0"/>
          <w:numId w:val="2"/>
        </w:numPr>
        <w:bidi/>
        <w:spacing w:after="100" w:line="300"/>
        <w:jc w:val="right"/>
      </w:pPr>
      <w:r>
        <w:rPr>
          <w:rFonts w:ascii="Arial" w:cs="Arial" w:eastAsia="Arial" w:hAnsi="Arial"/>
          <w:sz w:val="24"/>
          <w:szCs w:val="24"/>
          <w:rtl/>
        </w:rPr>
        <w:t xml:space="preserve">سقف على نسبة الأرباح الموزعة (في حالة الأرباح غير التراكمية).</w:t>
      </w:r>
    </w:p>
    <w:p>
      <w:pPr>
        <w:pStyle w:val="ListParagraph"/>
        <w:numPr>
          <w:ilvl w:val="0"/>
          <w:numId w:val="2"/>
        </w:numPr>
        <w:bidi/>
        <w:spacing w:after="100" w:line="300"/>
        <w:jc w:val="right"/>
      </w:pPr>
      <w:r>
        <w:rPr>
          <w:rFonts w:ascii="Arial" w:cs="Arial" w:eastAsia="Arial" w:hAnsi="Arial"/>
          <w:sz w:val="24"/>
          <w:szCs w:val="24"/>
          <w:rtl/>
        </w:rPr>
        <w:t xml:space="preserve">قابلية الاسترداد من قبل الشركة في تاريخ محدد.</w:t>
      </w:r>
    </w:p>
    <w:p>
      <w:pPr>
        <w:pStyle w:val="Heading2"/>
        <w:bidi/>
        <w:spacing w:after="160" w:before="280"/>
        <w:jc w:val="right"/>
      </w:pPr>
      <w:r>
        <w:rPr>
          <w:rFonts w:ascii="Arial" w:cs="Arial" w:eastAsia="Arial" w:hAnsi="Arial"/>
          <w:b/>
          <w:bCs/>
          <w:color w:val="2E75B6"/>
          <w:sz w:val="30"/>
          <w:szCs w:val="30"/>
          <w:rtl/>
        </w:rPr>
        <w:t xml:space="preserve">3. الأسهم القابلة للاسترداد (Redeemable Shares)</w:t>
      </w:r>
    </w:p>
    <w:p>
      <w:pPr>
        <w:bidi/>
        <w:spacing w:after="140" w:line="320"/>
        <w:jc w:val="both"/>
      </w:pPr>
      <w:r>
        <w:rPr>
          <w:rFonts w:ascii="Arial" w:cs="Arial" w:eastAsia="Arial" w:hAnsi="Arial"/>
          <w:sz w:val="24"/>
          <w:szCs w:val="24"/>
          <w:rtl/>
        </w:rPr>
        <w:t xml:space="preserve">هي أسهم تُصدرها الشركة بشرط أن يكون لها الحق في إعادة شرائها من المساهمين في موعد محدد أو عند تحقق شروط معينة. وتُستخدم عادةً كأداة مرنة لجمع رأس المال مع توفر إمكانية تخفيضه لاحقاً.</w:t>
      </w:r>
    </w:p>
    <w:p>
      <w:pPr>
        <w:pStyle w:val="Heading3"/>
        <w:bidi/>
        <w:spacing w:after="120" w:before="200"/>
        <w:jc w:val="right"/>
      </w:pPr>
      <w:r>
        <w:rPr>
          <w:rFonts w:ascii="Arial" w:cs="Arial" w:eastAsia="Arial" w:hAnsi="Arial"/>
          <w:b/>
          <w:bCs/>
          <w:color w:val="1F4E79"/>
          <w:sz w:val="26"/>
          <w:szCs w:val="26"/>
          <w:rtl/>
        </w:rPr>
        <w:t xml:space="preserve">خصائص الأسهم القابلة للاسترداد</w:t>
      </w:r>
    </w:p>
    <w:p>
      <w:pPr>
        <w:pStyle w:val="ListParagraph"/>
        <w:numPr>
          <w:ilvl w:val="0"/>
          <w:numId w:val="2"/>
        </w:numPr>
        <w:bidi/>
        <w:spacing w:after="100" w:line="300"/>
        <w:jc w:val="right"/>
      </w:pPr>
      <w:r>
        <w:rPr>
          <w:rFonts w:ascii="Arial" w:cs="Arial" w:eastAsia="Arial" w:hAnsi="Arial"/>
          <w:sz w:val="24"/>
          <w:szCs w:val="24"/>
          <w:rtl/>
        </w:rPr>
        <w:t xml:space="preserve">تُحدد شروط الاسترداد وآلياته في النظام الأساس للشركة.</w:t>
      </w:r>
    </w:p>
    <w:p>
      <w:pPr>
        <w:pStyle w:val="ListParagraph"/>
        <w:numPr>
          <w:ilvl w:val="0"/>
          <w:numId w:val="2"/>
        </w:numPr>
        <w:bidi/>
        <w:spacing w:after="100" w:line="300"/>
        <w:jc w:val="right"/>
      </w:pPr>
      <w:r>
        <w:rPr>
          <w:rFonts w:ascii="Arial" w:cs="Arial" w:eastAsia="Arial" w:hAnsi="Arial"/>
          <w:sz w:val="24"/>
          <w:szCs w:val="24"/>
          <w:rtl/>
        </w:rPr>
        <w:t xml:space="preserve">يجب الوفاء بقيمتها كاملةً عند الاكتتاب.</w:t>
      </w:r>
    </w:p>
    <w:p>
      <w:pPr>
        <w:pStyle w:val="ListParagraph"/>
        <w:numPr>
          <w:ilvl w:val="0"/>
          <w:numId w:val="2"/>
        </w:numPr>
        <w:bidi/>
        <w:spacing w:after="100" w:line="300"/>
        <w:jc w:val="right"/>
      </w:pPr>
      <w:r>
        <w:rPr>
          <w:rFonts w:ascii="Arial" w:cs="Arial" w:eastAsia="Arial" w:hAnsi="Arial"/>
          <w:sz w:val="24"/>
          <w:szCs w:val="24"/>
          <w:rtl/>
        </w:rPr>
        <w:t xml:space="preserve">لا يكون لها حق التصويت في الجمعيات العامة (في الغالب).</w:t>
      </w:r>
    </w:p>
    <w:p>
      <w:pPr>
        <w:pStyle w:val="ListParagraph"/>
        <w:numPr>
          <w:ilvl w:val="0"/>
          <w:numId w:val="2"/>
        </w:numPr>
        <w:bidi/>
        <w:spacing w:after="100" w:line="300"/>
        <w:jc w:val="right"/>
      </w:pPr>
      <w:r>
        <w:rPr>
          <w:rFonts w:ascii="Arial" w:cs="Arial" w:eastAsia="Arial" w:hAnsi="Arial"/>
          <w:sz w:val="24"/>
          <w:szCs w:val="24"/>
          <w:rtl/>
        </w:rPr>
        <w:t xml:space="preserve">تُمنح أصحابها حقوقاً مالية محددة قد تشمل توزيعات أرباح.</w:t>
      </w:r>
    </w:p>
    <w:p>
      <w:pPr>
        <w:pStyle w:val="ListParagraph"/>
        <w:numPr>
          <w:ilvl w:val="0"/>
          <w:numId w:val="2"/>
        </w:numPr>
        <w:bidi/>
        <w:spacing w:after="100" w:line="300"/>
        <w:jc w:val="right"/>
      </w:pPr>
      <w:r>
        <w:rPr>
          <w:rFonts w:ascii="Arial" w:cs="Arial" w:eastAsia="Arial" w:hAnsi="Arial"/>
          <w:sz w:val="24"/>
          <w:szCs w:val="24"/>
          <w:rtl/>
        </w:rPr>
        <w:t xml:space="preserve">تخضع لنفس سقف الـ 50% المشترك مع الأسهم الممتازة.</w:t>
      </w:r>
    </w:p>
    <w:p>
      <w:pPr>
        <w:pStyle w:val="Heading2"/>
        <w:bidi/>
        <w:spacing w:after="160" w:before="280"/>
        <w:jc w:val="right"/>
      </w:pPr>
      <w:r>
        <w:rPr>
          <w:rFonts w:ascii="Arial" w:cs="Arial" w:eastAsia="Arial" w:hAnsi="Arial"/>
          <w:b/>
          <w:bCs/>
          <w:color w:val="2E75B6"/>
          <w:sz w:val="30"/>
          <w:szCs w:val="30"/>
          <w:rtl/>
        </w:rPr>
        <w:t xml:space="preserve">4. أسهم الخزينة (Treasury Shares)</w:t>
      </w:r>
    </w:p>
    <w:p>
      <w:pPr>
        <w:bidi/>
        <w:spacing w:after="140" w:line="320"/>
        <w:jc w:val="both"/>
      </w:pPr>
      <w:r>
        <w:rPr>
          <w:rFonts w:ascii="Arial" w:cs="Arial" w:eastAsia="Arial" w:hAnsi="Arial"/>
          <w:sz w:val="24"/>
          <w:szCs w:val="24"/>
          <w:rtl/>
        </w:rPr>
        <w:t xml:space="preserve">أسهم الخزينة هي أسهم اشترتها الشركة من السوق وتحتفظ بها كأسهم خزينة. وقد أجاز النظام السعودي هذا النوع من العمليات بضوابط صارمة لحماية المساهمين والدائنين.</w:t>
      </w:r>
    </w:p>
    <w:p>
      <w:pPr>
        <w:pStyle w:val="Heading3"/>
        <w:bidi/>
        <w:spacing w:after="120" w:before="200"/>
        <w:jc w:val="right"/>
      </w:pPr>
      <w:r>
        <w:rPr>
          <w:rFonts w:ascii="Arial" w:cs="Arial" w:eastAsia="Arial" w:hAnsi="Arial"/>
          <w:b/>
          <w:bCs/>
          <w:color w:val="1F4E79"/>
          <w:sz w:val="26"/>
          <w:szCs w:val="26"/>
          <w:rtl/>
        </w:rPr>
        <w:t xml:space="preserve">ضوابط أسهم الخزينة وفقاً للنظام السعودي</w:t>
      </w:r>
    </w:p>
    <w:p>
      <w:pPr>
        <w:pStyle w:val="ListParagraph"/>
        <w:numPr>
          <w:ilvl w:val="0"/>
          <w:numId w:val="3"/>
        </w:numPr>
        <w:bidi/>
        <w:spacing w:after="100" w:line="300"/>
        <w:jc w:val="right"/>
      </w:pPr>
      <w:r>
        <w:rPr>
          <w:rFonts w:ascii="Arial" w:cs="Arial" w:eastAsia="Arial" w:hAnsi="Arial"/>
          <w:sz w:val="24"/>
          <w:szCs w:val="24"/>
          <w:rtl/>
        </w:rPr>
        <w:t xml:space="preserve">أن ينص النظام الأساس على جواز ذلك.</w:t>
      </w:r>
    </w:p>
    <w:p>
      <w:pPr>
        <w:pStyle w:val="ListParagraph"/>
        <w:numPr>
          <w:ilvl w:val="0"/>
          <w:numId w:val="3"/>
        </w:numPr>
        <w:bidi/>
        <w:spacing w:after="100" w:line="300"/>
        <w:jc w:val="right"/>
      </w:pPr>
      <w:r>
        <w:rPr>
          <w:rFonts w:ascii="Arial" w:cs="Arial" w:eastAsia="Arial" w:hAnsi="Arial"/>
          <w:sz w:val="24"/>
          <w:szCs w:val="24"/>
          <w:rtl/>
        </w:rPr>
        <w:t xml:space="preserve">ألا تتجاوز نسبة أسهم الخزينة 10% من إجمالي فئة الأسهم محل الشراء.</w:t>
      </w:r>
    </w:p>
    <w:p>
      <w:pPr>
        <w:pStyle w:val="ListParagraph"/>
        <w:numPr>
          <w:ilvl w:val="0"/>
          <w:numId w:val="3"/>
        </w:numPr>
        <w:bidi/>
        <w:spacing w:after="100" w:line="300"/>
        <w:jc w:val="right"/>
      </w:pPr>
      <w:r>
        <w:rPr>
          <w:rFonts w:ascii="Arial" w:cs="Arial" w:eastAsia="Arial" w:hAnsi="Arial"/>
          <w:sz w:val="24"/>
          <w:szCs w:val="24"/>
          <w:rtl/>
        </w:rPr>
        <w:t xml:space="preserve">أن يكون الغرض من الشراء إما تخفيض رأس المال أو الاحتفاظ بها كأسهم خزينة.</w:t>
      </w:r>
    </w:p>
    <w:p>
      <w:pPr>
        <w:pStyle w:val="ListParagraph"/>
        <w:numPr>
          <w:ilvl w:val="0"/>
          <w:numId w:val="3"/>
        </w:numPr>
        <w:bidi/>
        <w:spacing w:after="100" w:line="300"/>
        <w:jc w:val="right"/>
      </w:pPr>
      <w:r>
        <w:rPr>
          <w:rFonts w:ascii="Arial" w:cs="Arial" w:eastAsia="Arial" w:hAnsi="Arial"/>
          <w:sz w:val="24"/>
          <w:szCs w:val="24"/>
          <w:rtl/>
        </w:rPr>
        <w:t xml:space="preserve">ألا يكون لها أصوات في الجمعيات العامة.</w:t>
      </w:r>
    </w:p>
    <w:p>
      <w:pPr>
        <w:pStyle w:val="ListParagraph"/>
        <w:numPr>
          <w:ilvl w:val="0"/>
          <w:numId w:val="3"/>
        </w:numPr>
        <w:bidi/>
        <w:spacing w:after="100" w:line="300"/>
        <w:jc w:val="right"/>
      </w:pPr>
      <w:r>
        <w:rPr>
          <w:rFonts w:ascii="Arial" w:cs="Arial" w:eastAsia="Arial" w:hAnsi="Arial"/>
          <w:sz w:val="24"/>
          <w:szCs w:val="24"/>
          <w:rtl/>
        </w:rPr>
        <w:t xml:space="preserve">لا يستحق عنها توزيعات أرباح ما دامت في حوزة الشركة.</w:t>
      </w:r>
    </w:p>
    <w:p>
      <w:pPr>
        <w:pStyle w:val="Heading3"/>
        <w:bidi/>
        <w:spacing w:after="120" w:before="200"/>
        <w:jc w:val="right"/>
      </w:pPr>
      <w:r>
        <w:rPr>
          <w:rFonts w:ascii="Arial" w:cs="Arial" w:eastAsia="Arial" w:hAnsi="Arial"/>
          <w:b/>
          <w:bCs/>
          <w:color w:val="1F4E79"/>
          <w:sz w:val="26"/>
          <w:szCs w:val="26"/>
          <w:rtl/>
        </w:rPr>
        <w:t xml:space="preserve">الاستخدامات الشائعة لأسهم الخزينة</w:t>
      </w:r>
    </w:p>
    <w:p>
      <w:pPr>
        <w:pStyle w:val="ListParagraph"/>
        <w:numPr>
          <w:ilvl w:val="0"/>
          <w:numId w:val="2"/>
        </w:numPr>
        <w:bidi/>
        <w:spacing w:after="100" w:line="300"/>
        <w:jc w:val="right"/>
      </w:pPr>
      <w:r>
        <w:rPr>
          <w:rFonts w:ascii="Arial" w:cs="Arial" w:eastAsia="Arial" w:hAnsi="Arial"/>
          <w:sz w:val="24"/>
          <w:szCs w:val="24"/>
          <w:rtl/>
        </w:rPr>
        <w:t xml:space="preserve">دعم سعر السهم في أوقات تراجع السوق.</w:t>
      </w:r>
    </w:p>
    <w:p>
      <w:pPr>
        <w:pStyle w:val="ListParagraph"/>
        <w:numPr>
          <w:ilvl w:val="0"/>
          <w:numId w:val="2"/>
        </w:numPr>
        <w:bidi/>
        <w:spacing w:after="100" w:line="300"/>
        <w:jc w:val="right"/>
      </w:pPr>
      <w:r>
        <w:rPr>
          <w:rFonts w:ascii="Arial" w:cs="Arial" w:eastAsia="Arial" w:hAnsi="Arial"/>
          <w:sz w:val="24"/>
          <w:szCs w:val="24"/>
          <w:rtl/>
        </w:rPr>
        <w:t xml:space="preserve">توفير أسهم لبرامج تحفيز الموظفين (الأسهم المقيدة وخيارات الأسهم).</w:t>
      </w:r>
    </w:p>
    <w:p>
      <w:pPr>
        <w:pStyle w:val="ListParagraph"/>
        <w:numPr>
          <w:ilvl w:val="0"/>
          <w:numId w:val="2"/>
        </w:numPr>
        <w:bidi/>
        <w:spacing w:after="100" w:line="300"/>
        <w:jc w:val="right"/>
      </w:pPr>
      <w:r>
        <w:rPr>
          <w:rFonts w:ascii="Arial" w:cs="Arial" w:eastAsia="Arial" w:hAnsi="Arial"/>
          <w:sz w:val="24"/>
          <w:szCs w:val="24"/>
          <w:rtl/>
        </w:rPr>
        <w:t xml:space="preserve">إعادة هيكلة رأس المال.</w:t>
      </w:r>
    </w:p>
    <w:p>
      <w:pPr>
        <w:pStyle w:val="ListParagraph"/>
        <w:numPr>
          <w:ilvl w:val="0"/>
          <w:numId w:val="2"/>
        </w:numPr>
        <w:bidi/>
        <w:spacing w:after="100" w:line="300"/>
        <w:jc w:val="right"/>
      </w:pPr>
      <w:r>
        <w:rPr>
          <w:rFonts w:ascii="Arial" w:cs="Arial" w:eastAsia="Arial" w:hAnsi="Arial"/>
          <w:sz w:val="24"/>
          <w:szCs w:val="24"/>
          <w:rtl/>
        </w:rPr>
        <w:t xml:space="preserve">الاستحواذ على شركات أخرى مقابل أسهم.</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ثالثاً: مقارنة شاملة بين أنواع الأسهم</w:t>
      </w:r>
    </w:p>
    <w:p>
      <w:pPr>
        <w:bidi/>
        <w:spacing w:after="140" w:line="320"/>
        <w:jc w:val="both"/>
      </w:pPr>
      <w:r>
        <w:rPr>
          <w:rFonts w:ascii="Arial" w:cs="Arial" w:eastAsia="Arial" w:hAnsi="Arial"/>
          <w:sz w:val="24"/>
          <w:szCs w:val="24"/>
          <w:rtl/>
        </w:rPr>
        <w:t xml:space="preserve">للتمييز الواضح بين أنواع الأسهم المختلفة وفهم خصائص كل منها، نقدم الجدول المقارن التالي:</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80"/>
        <w:gridCol w:w="2382"/>
        <w:gridCol w:w="2382"/>
        <w:gridCol w:w="2382"/>
      </w:tblGrid>
      <w:tr>
        <w:trPr>
          <w:tblHeader/>
        </w:trPr>
        <w:tc>
          <w:tcPr>
            <w:tcW w:type="dxa" w:w="188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tcPr>
          <w:p>
            <w:pPr>
              <w:bidi/>
              <w:jc w:val="center"/>
            </w:pPr>
            <w:r>
              <w:rPr>
                <w:rFonts w:ascii="Arial" w:cs="Arial" w:eastAsia="Arial" w:hAnsi="Arial"/>
                <w:b/>
                <w:bCs/>
                <w:color w:val="FFFFFF"/>
                <w:sz w:val="24"/>
                <w:szCs w:val="24"/>
                <w:rtl/>
              </w:rPr>
              <w:t xml:space="preserve">وجه المقارنة</w:t>
            </w:r>
          </w:p>
        </w:tc>
        <w:tc>
          <w:tcPr>
            <w:tcW w:type="dxa" w:w="2382"/>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tcPr>
          <w:p>
            <w:pPr>
              <w:bidi/>
              <w:jc w:val="center"/>
            </w:pPr>
            <w:r>
              <w:rPr>
                <w:rFonts w:ascii="Arial" w:cs="Arial" w:eastAsia="Arial" w:hAnsi="Arial"/>
                <w:b/>
                <w:bCs/>
                <w:color w:val="FFFFFF"/>
                <w:sz w:val="24"/>
                <w:szCs w:val="24"/>
                <w:rtl/>
              </w:rPr>
              <w:t xml:space="preserve">الأسهم العادية</w:t>
            </w:r>
          </w:p>
        </w:tc>
        <w:tc>
          <w:tcPr>
            <w:tcW w:type="dxa" w:w="2382"/>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tcPr>
          <w:p>
            <w:pPr>
              <w:bidi/>
              <w:jc w:val="center"/>
            </w:pPr>
            <w:r>
              <w:rPr>
                <w:rFonts w:ascii="Arial" w:cs="Arial" w:eastAsia="Arial" w:hAnsi="Arial"/>
                <w:b/>
                <w:bCs/>
                <w:color w:val="FFFFFF"/>
                <w:sz w:val="24"/>
                <w:szCs w:val="24"/>
                <w:rtl/>
              </w:rPr>
              <w:t xml:space="preserve">الأسهم الممتازة</w:t>
            </w:r>
          </w:p>
        </w:tc>
        <w:tc>
          <w:tcPr>
            <w:tcW w:type="dxa" w:w="2382"/>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tcPr>
          <w:p>
            <w:pPr>
              <w:bidi/>
              <w:jc w:val="center"/>
            </w:pPr>
            <w:r>
              <w:rPr>
                <w:rFonts w:ascii="Arial" w:cs="Arial" w:eastAsia="Arial" w:hAnsi="Arial"/>
                <w:b/>
                <w:bCs/>
                <w:color w:val="FFFFFF"/>
                <w:sz w:val="24"/>
                <w:szCs w:val="24"/>
                <w:rtl/>
              </w:rPr>
              <w:t xml:space="preserve">الأسهم القابلة للاسترداد</w:t>
            </w:r>
          </w:p>
        </w:tc>
      </w:tr>
      <w:tr>
        <w:tc>
          <w:tcPr>
            <w:tcW w:type="dxa" w:w="1880"/>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حق التصويت</w:t>
            </w:r>
          </w:p>
        </w:tc>
        <w:tc>
          <w:tcPr>
            <w:tcW w:type="dxa" w:w="2382"/>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نعم</w:t>
            </w:r>
          </w:p>
        </w:tc>
        <w:tc>
          <w:tcPr>
            <w:tcW w:type="dxa" w:w="2382"/>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لا (في الغالب)</w:t>
            </w:r>
          </w:p>
        </w:tc>
        <w:tc>
          <w:tcPr>
            <w:tcW w:type="dxa" w:w="2382"/>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لا (في الغالب)</w:t>
            </w:r>
          </w:p>
        </w:tc>
      </w:tr>
      <w:tr>
        <w:tc>
          <w:tcPr>
            <w:tcW w:type="dxa" w:w="1880"/>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الأولوية في الأرباح</w:t>
            </w:r>
          </w:p>
        </w:tc>
        <w:tc>
          <w:tcPr>
            <w:tcW w:type="dxa" w:w="2382"/>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لا</w:t>
            </w:r>
          </w:p>
        </w:tc>
        <w:tc>
          <w:tcPr>
            <w:tcW w:type="dxa" w:w="2382"/>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نعم</w:t>
            </w:r>
          </w:p>
        </w:tc>
        <w:tc>
          <w:tcPr>
            <w:tcW w:type="dxa" w:w="2382"/>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وفق شروط الإصدار</w:t>
            </w:r>
          </w:p>
        </w:tc>
      </w:tr>
      <w:tr>
        <w:tc>
          <w:tcPr>
            <w:tcW w:type="dxa" w:w="1880"/>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نسبة الأرباح</w:t>
            </w:r>
          </w:p>
        </w:tc>
        <w:tc>
          <w:tcPr>
            <w:tcW w:type="dxa" w:w="2382"/>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متغيرة</w:t>
            </w:r>
          </w:p>
        </w:tc>
        <w:tc>
          <w:tcPr>
            <w:tcW w:type="dxa" w:w="2382"/>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ثابتة عادةً</w:t>
            </w:r>
          </w:p>
        </w:tc>
        <w:tc>
          <w:tcPr>
            <w:tcW w:type="dxa" w:w="2382"/>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محددة عقدياً</w:t>
            </w:r>
          </w:p>
        </w:tc>
      </w:tr>
      <w:tr>
        <w:tc>
          <w:tcPr>
            <w:tcW w:type="dxa" w:w="1880"/>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الأولوية في التصفية</w:t>
            </w:r>
          </w:p>
        </w:tc>
        <w:tc>
          <w:tcPr>
            <w:tcW w:type="dxa" w:w="2382"/>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أخيرة</w:t>
            </w:r>
          </w:p>
        </w:tc>
        <w:tc>
          <w:tcPr>
            <w:tcW w:type="dxa" w:w="2382"/>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متقدمة</w:t>
            </w:r>
          </w:p>
        </w:tc>
        <w:tc>
          <w:tcPr>
            <w:tcW w:type="dxa" w:w="2382"/>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متقدمة</w:t>
            </w:r>
          </w:p>
        </w:tc>
      </w:tr>
      <w:tr>
        <w:tc>
          <w:tcPr>
            <w:tcW w:type="dxa" w:w="1880"/>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قابلية الاسترداد</w:t>
            </w:r>
          </w:p>
        </w:tc>
        <w:tc>
          <w:tcPr>
            <w:tcW w:type="dxa" w:w="2382"/>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لا</w:t>
            </w:r>
          </w:p>
        </w:tc>
        <w:tc>
          <w:tcPr>
            <w:tcW w:type="dxa" w:w="2382"/>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وفق الشروط</w:t>
            </w:r>
          </w:p>
        </w:tc>
        <w:tc>
          <w:tcPr>
            <w:tcW w:type="dxa" w:w="2382"/>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نعم</w:t>
            </w:r>
          </w:p>
        </w:tc>
      </w:tr>
      <w:tr>
        <w:tc>
          <w:tcPr>
            <w:tcW w:type="dxa" w:w="1880"/>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السقف من رأس المال</w:t>
            </w:r>
          </w:p>
        </w:tc>
        <w:tc>
          <w:tcPr>
            <w:tcW w:type="dxa" w:w="2382"/>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لا يوجد سقف</w:t>
            </w:r>
          </w:p>
        </w:tc>
        <w:tc>
          <w:tcPr>
            <w:tcW w:type="dxa" w:w="2382"/>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50% (مع القابلة للاسترداد)</w:t>
            </w:r>
          </w:p>
        </w:tc>
        <w:tc>
          <w:tcPr>
            <w:tcW w:type="dxa" w:w="2382"/>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50% (مع الممتازة)</w:t>
            </w:r>
          </w:p>
        </w:tc>
      </w:tr>
      <w:tr>
        <w:tc>
          <w:tcPr>
            <w:tcW w:type="dxa" w:w="1880"/>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جهة الموافقة على الإصدار</w:t>
            </w:r>
          </w:p>
        </w:tc>
        <w:tc>
          <w:tcPr>
            <w:tcW w:type="dxa" w:w="2382"/>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الجمعية غير العادية</w:t>
            </w:r>
          </w:p>
        </w:tc>
        <w:tc>
          <w:tcPr>
            <w:tcW w:type="dxa" w:w="2382"/>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الجمعية غير العادية + جمعية خاصة</w:t>
            </w:r>
          </w:p>
        </w:tc>
        <w:tc>
          <w:tcPr>
            <w:tcW w:type="dxa" w:w="2382"/>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الجمعية غير العادية + جمعية خاصة</w:t>
            </w:r>
          </w:p>
        </w:tc>
      </w:tr>
      <w:tr>
        <w:tc>
          <w:tcPr>
            <w:tcW w:type="dxa" w:w="1880"/>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دفع القيمة</w:t>
            </w:r>
          </w:p>
        </w:tc>
        <w:tc>
          <w:tcPr>
            <w:tcW w:type="dxa" w:w="2382"/>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ربع القيمة عند الاكتتاب</w:t>
            </w:r>
          </w:p>
        </w:tc>
        <w:tc>
          <w:tcPr>
            <w:tcW w:type="dxa" w:w="2382"/>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كاملة عند الاكتتاب</w:t>
            </w:r>
          </w:p>
        </w:tc>
        <w:tc>
          <w:tcPr>
            <w:tcW w:type="dxa" w:w="2382"/>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كاملة عند الاكتتاب</w:t>
            </w:r>
          </w:p>
        </w:tc>
      </w:tr>
    </w:tbl>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رابعاً: الفئات المختلفة داخل النوع الواحد</w:t>
      </w:r>
    </w:p>
    <w:p>
      <w:pPr>
        <w:bidi/>
        <w:spacing w:after="140" w:line="320"/>
        <w:jc w:val="both"/>
      </w:pPr>
      <w:r>
        <w:rPr>
          <w:rFonts w:ascii="Arial" w:cs="Arial" w:eastAsia="Arial" w:hAnsi="Arial"/>
          <w:sz w:val="24"/>
          <w:szCs w:val="24"/>
          <w:rtl/>
        </w:rPr>
        <w:t xml:space="preserve">سمح النظام السعودي للشركات بإصدار فئات مختلفة من النوع الواحد من الأسهم، بحيث تتمايز كل فئة بحقوق أو امتيازات أو قيود محددة. وهذا التنوع يفتح آفاقاً واسعة للشركات في هيكلة رأس المال بما يخدم أهدافها الاستراتيجية.</w:t>
      </w:r>
    </w:p>
    <w:p>
      <w:pPr>
        <w:pStyle w:val="Heading2"/>
        <w:bidi/>
        <w:spacing w:after="160" w:before="280"/>
        <w:jc w:val="right"/>
      </w:pPr>
      <w:r>
        <w:rPr>
          <w:rFonts w:ascii="Arial" w:cs="Arial" w:eastAsia="Arial" w:hAnsi="Arial"/>
          <w:b/>
          <w:bCs/>
          <w:color w:val="2E75B6"/>
          <w:sz w:val="30"/>
          <w:szCs w:val="30"/>
          <w:rtl/>
        </w:rPr>
        <w:t xml:space="preserve">أمثلة على الفئات المختلفة</w:t>
      </w:r>
    </w:p>
    <w:p>
      <w:pPr>
        <w:pStyle w:val="Heading3"/>
        <w:bidi/>
        <w:spacing w:after="120" w:before="200"/>
        <w:jc w:val="right"/>
      </w:pPr>
      <w:r>
        <w:rPr>
          <w:rFonts w:ascii="Arial" w:cs="Arial" w:eastAsia="Arial" w:hAnsi="Arial"/>
          <w:b/>
          <w:bCs/>
          <w:color w:val="1F4E79"/>
          <w:sz w:val="26"/>
          <w:szCs w:val="26"/>
          <w:rtl/>
        </w:rPr>
        <w:t xml:space="preserve">فئات الأسهم العادية</w:t>
      </w:r>
    </w:p>
    <w:p>
      <w:pPr>
        <w:pStyle w:val="ListParagraph"/>
        <w:numPr>
          <w:ilvl w:val="0"/>
          <w:numId w:val="2"/>
        </w:numPr>
        <w:bidi/>
        <w:spacing w:after="100" w:line="300"/>
        <w:jc w:val="right"/>
      </w:pPr>
      <w:r>
        <w:rPr>
          <w:rFonts w:ascii="Arial" w:cs="Arial" w:eastAsia="Arial" w:hAnsi="Arial"/>
          <w:sz w:val="24"/>
          <w:szCs w:val="24"/>
          <w:rtl/>
        </w:rPr>
        <w:t xml:space="preserve">أسهم الفئة (أ): تتمتع بحقوق تصويت مضاعفة، تُستخدم عادةً للحفاظ على سيطرة المؤسسين.</w:t>
      </w:r>
    </w:p>
    <w:p>
      <w:pPr>
        <w:pStyle w:val="ListParagraph"/>
        <w:numPr>
          <w:ilvl w:val="0"/>
          <w:numId w:val="2"/>
        </w:numPr>
        <w:bidi/>
        <w:spacing w:after="100" w:line="300"/>
        <w:jc w:val="right"/>
      </w:pPr>
      <w:r>
        <w:rPr>
          <w:rFonts w:ascii="Arial" w:cs="Arial" w:eastAsia="Arial" w:hAnsi="Arial"/>
          <w:sz w:val="24"/>
          <w:szCs w:val="24"/>
          <w:rtl/>
        </w:rPr>
        <w:t xml:space="preserve">أسهم الفئة (ب): حقوق تصويت عادية، متاحة للجمهور.</w:t>
      </w:r>
    </w:p>
    <w:p>
      <w:pPr>
        <w:pStyle w:val="ListParagraph"/>
        <w:numPr>
          <w:ilvl w:val="0"/>
          <w:numId w:val="2"/>
        </w:numPr>
        <w:bidi/>
        <w:spacing w:after="100" w:line="300"/>
        <w:jc w:val="right"/>
      </w:pPr>
      <w:r>
        <w:rPr>
          <w:rFonts w:ascii="Arial" w:cs="Arial" w:eastAsia="Arial" w:hAnsi="Arial"/>
          <w:sz w:val="24"/>
          <w:szCs w:val="24"/>
          <w:rtl/>
        </w:rPr>
        <w:t xml:space="preserve">أسهم الفئة (ج): بدون حقوق تصويت، لكن مع حقوق مالية كاملة.</w:t>
      </w:r>
    </w:p>
    <w:p>
      <w:pPr>
        <w:pStyle w:val="Heading3"/>
        <w:bidi/>
        <w:spacing w:after="120" w:before="200"/>
        <w:jc w:val="right"/>
      </w:pPr>
      <w:r>
        <w:rPr>
          <w:rFonts w:ascii="Arial" w:cs="Arial" w:eastAsia="Arial" w:hAnsi="Arial"/>
          <w:b/>
          <w:bCs/>
          <w:color w:val="1F4E79"/>
          <w:sz w:val="26"/>
          <w:szCs w:val="26"/>
          <w:rtl/>
        </w:rPr>
        <w:t xml:space="preserve">فئات الأسهم الممتازة</w:t>
      </w:r>
    </w:p>
    <w:p>
      <w:pPr>
        <w:pStyle w:val="ListParagraph"/>
        <w:numPr>
          <w:ilvl w:val="0"/>
          <w:numId w:val="2"/>
        </w:numPr>
        <w:bidi/>
        <w:spacing w:after="100" w:line="300"/>
        <w:jc w:val="right"/>
      </w:pPr>
      <w:r>
        <w:rPr>
          <w:rFonts w:ascii="Arial" w:cs="Arial" w:eastAsia="Arial" w:hAnsi="Arial"/>
          <w:sz w:val="24"/>
          <w:szCs w:val="24"/>
          <w:rtl/>
        </w:rPr>
        <w:t xml:space="preserve">الأسهم الممتازة التراكمية: تتراكم أرباحها غير الموزعة إلى السنوات اللاحقة.</w:t>
      </w:r>
    </w:p>
    <w:p>
      <w:pPr>
        <w:pStyle w:val="ListParagraph"/>
        <w:numPr>
          <w:ilvl w:val="0"/>
          <w:numId w:val="2"/>
        </w:numPr>
        <w:bidi/>
        <w:spacing w:after="100" w:line="300"/>
        <w:jc w:val="right"/>
      </w:pPr>
      <w:r>
        <w:rPr>
          <w:rFonts w:ascii="Arial" w:cs="Arial" w:eastAsia="Arial" w:hAnsi="Arial"/>
          <w:sz w:val="24"/>
          <w:szCs w:val="24"/>
          <w:rtl/>
        </w:rPr>
        <w:t xml:space="preserve">الأسهم الممتازة غير التراكمية: لا تُرحَّل أرباحها غير الموزعة.</w:t>
      </w:r>
    </w:p>
    <w:p>
      <w:pPr>
        <w:pStyle w:val="ListParagraph"/>
        <w:numPr>
          <w:ilvl w:val="0"/>
          <w:numId w:val="2"/>
        </w:numPr>
        <w:bidi/>
        <w:spacing w:after="100" w:line="300"/>
        <w:jc w:val="right"/>
      </w:pPr>
      <w:r>
        <w:rPr>
          <w:rFonts w:ascii="Arial" w:cs="Arial" w:eastAsia="Arial" w:hAnsi="Arial"/>
          <w:sz w:val="24"/>
          <w:szCs w:val="24"/>
          <w:rtl/>
        </w:rPr>
        <w:t xml:space="preserve">الأسهم الممتازة المشاركة: تحصل على نسبتها الثابتة بالإضافة إلى نصيب من الأرباح الإضافية.</w:t>
      </w:r>
    </w:p>
    <w:p>
      <w:pPr>
        <w:pStyle w:val="ListParagraph"/>
        <w:numPr>
          <w:ilvl w:val="0"/>
          <w:numId w:val="2"/>
        </w:numPr>
        <w:bidi/>
        <w:spacing w:after="100" w:line="300"/>
        <w:jc w:val="right"/>
      </w:pPr>
      <w:r>
        <w:rPr>
          <w:rFonts w:ascii="Arial" w:cs="Arial" w:eastAsia="Arial" w:hAnsi="Arial"/>
          <w:sz w:val="24"/>
          <w:szCs w:val="24"/>
          <w:rtl/>
        </w:rPr>
        <w:t xml:space="preserve">الأسهم الممتازة القابلة للتحويل: يمكن تحويلها إلى أسهم عادية وفق شروط محددة.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D9E2F3" w:val="clear"/>
            <w:tcMar>
              <w:top w:type="dxa" w:w="160"/>
              <w:left w:type="dxa" w:w="200"/>
              <w:bottom w:type="dxa" w:w="160"/>
              <w:right w:type="dxa" w:w="200"/>
            </w:tcMar>
          </w:tcPr>
          <w:p>
            <w:pPr>
              <w:bidi/>
              <w:spacing w:after="100"/>
              <w:jc w:val="right"/>
            </w:pPr>
            <w:r>
              <w:rPr>
                <w:rFonts w:ascii="Arial" w:cs="Arial" w:eastAsia="Arial" w:hAnsi="Arial"/>
                <w:b/>
                <w:bCs/>
                <w:color w:val="1F4E79"/>
                <w:sz w:val="26"/>
                <w:szCs w:val="26"/>
                <w:rtl/>
              </w:rPr>
              <w:t xml:space="preserve">💡 ملاحظة عملية</w:t>
            </w:r>
          </w:p>
          <w:p>
            <w:pPr>
              <w:bidi/>
              <w:spacing w:line="300"/>
              <w:jc w:val="both"/>
            </w:pPr>
            <w:r>
              <w:rPr>
                <w:rFonts w:ascii="Arial" w:cs="Arial" w:eastAsia="Arial" w:hAnsi="Arial"/>
                <w:sz w:val="24"/>
                <w:szCs w:val="24"/>
                <w:rtl/>
              </w:rPr>
              <w:t xml:space="preserve">تنوع فئات الأسهم يتطلب نظاماً إلكترونياً متطوراً لإدارة سجل المساهمين قادراً على تتبع كل فئة بحقوقها وقيودها بشكل مستقل. كما يستلزم إفصاحاً واضحاً للمستثمرين عن الفروقات بين الفئات، حتى يتمكنوا من اتخاذ قرارات استثمارية مدروسة.</w:t>
            </w:r>
          </w:p>
        </w:tc>
      </w:tr>
    </w:tbl>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خامساً: الحقوق المرتبطة بالأسهم (تفصيلاً)</w:t>
      </w:r>
    </w:p>
    <w:p>
      <w:pPr>
        <w:bidi/>
        <w:spacing w:after="140" w:line="320"/>
        <w:jc w:val="both"/>
      </w:pPr>
      <w:r>
        <w:rPr>
          <w:rFonts w:ascii="Arial" w:cs="Arial" w:eastAsia="Arial" w:hAnsi="Arial"/>
          <w:sz w:val="24"/>
          <w:szCs w:val="24"/>
          <w:rtl/>
        </w:rPr>
        <w:t xml:space="preserve">لكل سهم حزمة من الحقوق المرتبطة به، وتختلف هذه الحقوق بحسب نوع السهم وفئته وما ينص عليه النظام الأساس للشركة. ونستعرض فيما يلي الحقوق الأساسية بشيء من التفصيل:</w:t>
      </w:r>
    </w:p>
    <w:p>
      <w:pPr>
        <w:pStyle w:val="Heading2"/>
        <w:bidi/>
        <w:spacing w:after="160" w:before="280"/>
        <w:jc w:val="right"/>
      </w:pPr>
      <w:r>
        <w:rPr>
          <w:rFonts w:ascii="Arial" w:cs="Arial" w:eastAsia="Arial" w:hAnsi="Arial"/>
          <w:b/>
          <w:bCs/>
          <w:color w:val="2E75B6"/>
          <w:sz w:val="30"/>
          <w:szCs w:val="30"/>
          <w:rtl/>
        </w:rPr>
        <w:t xml:space="preserve">1. الحقوق المالية</w:t>
      </w:r>
    </w:p>
    <w:p>
      <w:pPr>
        <w:pStyle w:val="Heading3"/>
        <w:bidi/>
        <w:spacing w:after="120" w:before="200"/>
        <w:jc w:val="right"/>
      </w:pPr>
      <w:r>
        <w:rPr>
          <w:rFonts w:ascii="Arial" w:cs="Arial" w:eastAsia="Arial" w:hAnsi="Arial"/>
          <w:b/>
          <w:bCs/>
          <w:color w:val="1F4E79"/>
          <w:sz w:val="26"/>
          <w:szCs w:val="26"/>
          <w:rtl/>
        </w:rPr>
        <w:t xml:space="preserve">حق الحصول على الأرباح</w:t>
      </w:r>
    </w:p>
    <w:p>
      <w:pPr>
        <w:bidi/>
        <w:spacing w:after="140" w:line="320"/>
        <w:jc w:val="both"/>
      </w:pPr>
      <w:r>
        <w:rPr>
          <w:rFonts w:ascii="Arial" w:cs="Arial" w:eastAsia="Arial" w:hAnsi="Arial"/>
          <w:sz w:val="24"/>
          <w:szCs w:val="24"/>
          <w:rtl/>
        </w:rPr>
        <w:t xml:space="preserve">يستحق المساهم نصيباً من الأرباح الصافية القابلة للتوزيع عن كل سنة مالية، بنسبة عدد أسهمه وفئتها. ويُحدَّد المستحقون وفقاً لتاريخ الأحقية الذي تقرره الجمعية العامة. وتختلف آلية احتساب النصيب بحسب نوع السهم: ثابتة للأسهم الممتازة، ومتغيرة للأسهم العادية.</w:t>
      </w:r>
    </w:p>
    <w:p>
      <w:pPr>
        <w:pStyle w:val="Heading3"/>
        <w:bidi/>
        <w:spacing w:after="120" w:before="200"/>
        <w:jc w:val="right"/>
      </w:pPr>
      <w:r>
        <w:rPr>
          <w:rFonts w:ascii="Arial" w:cs="Arial" w:eastAsia="Arial" w:hAnsi="Arial"/>
          <w:b/>
          <w:bCs/>
          <w:color w:val="1F4E79"/>
          <w:sz w:val="26"/>
          <w:szCs w:val="26"/>
          <w:rtl/>
        </w:rPr>
        <w:t xml:space="preserve">حق الأولوية في الاكتتاب</w:t>
      </w:r>
    </w:p>
    <w:p>
      <w:pPr>
        <w:bidi/>
        <w:spacing w:after="140" w:line="320"/>
        <w:jc w:val="both"/>
      </w:pPr>
      <w:r>
        <w:rPr>
          <w:rFonts w:ascii="Arial" w:cs="Arial" w:eastAsia="Arial" w:hAnsi="Arial"/>
          <w:sz w:val="24"/>
          <w:szCs w:val="24"/>
          <w:rtl/>
        </w:rPr>
        <w:t xml:space="preserve">عند زيادة رأس مال الشركة بإصدار أسهم جديدة مقابل حصص نقدية، يحق لكل مساهم مقيد في السجل في نهاية يوم انعقاد الجمعية العامة غير العادية الحصول على حقوق أولوية بنسبة ما يمتلكه من أسهم. ويمكن للمساهم الاكتتاب بأسهم جديدة أو بيع/التنازل عن حقوق الأولوية للغير وفق الضوابط النظامية.</w:t>
      </w:r>
    </w:p>
    <w:p>
      <w:pPr>
        <w:pStyle w:val="Heading3"/>
        <w:bidi/>
        <w:spacing w:after="120" w:before="200"/>
        <w:jc w:val="right"/>
      </w:pPr>
      <w:r>
        <w:rPr>
          <w:rFonts w:ascii="Arial" w:cs="Arial" w:eastAsia="Arial" w:hAnsi="Arial"/>
          <w:b/>
          <w:bCs/>
          <w:color w:val="1F4E79"/>
          <w:sz w:val="26"/>
          <w:szCs w:val="26"/>
          <w:rtl/>
        </w:rPr>
        <w:t xml:space="preserve">حق المشاركة في موجودات الشركة عند التصفية</w:t>
      </w:r>
    </w:p>
    <w:p>
      <w:pPr>
        <w:bidi/>
        <w:spacing w:after="140" w:line="320"/>
        <w:jc w:val="both"/>
      </w:pPr>
      <w:r>
        <w:rPr>
          <w:rFonts w:ascii="Arial" w:cs="Arial" w:eastAsia="Arial" w:hAnsi="Arial"/>
          <w:sz w:val="24"/>
          <w:szCs w:val="24"/>
          <w:rtl/>
        </w:rPr>
        <w:t xml:space="preserve">عند تصفية الشركة، يحق لكل مساهم الحصول على نصيب من موجودات الشركة بعد سداد جميع الديون، بحسب نوع سهمه وفئته. وتأتي الأولوية لحملة الأسهم الممتازة، ثم لحملة الأسهم العادية.</w:t>
      </w:r>
    </w:p>
    <w:p>
      <w:pPr>
        <w:pStyle w:val="Heading2"/>
        <w:bidi/>
        <w:spacing w:after="160" w:before="280"/>
        <w:jc w:val="right"/>
      </w:pPr>
      <w:r>
        <w:rPr>
          <w:rFonts w:ascii="Arial" w:cs="Arial" w:eastAsia="Arial" w:hAnsi="Arial"/>
          <w:b/>
          <w:bCs/>
          <w:color w:val="2E75B6"/>
          <w:sz w:val="30"/>
          <w:szCs w:val="30"/>
          <w:rtl/>
        </w:rPr>
        <w:t xml:space="preserve">2. الحقوق غير المالية</w:t>
      </w:r>
    </w:p>
    <w:p>
      <w:pPr>
        <w:pStyle w:val="Heading3"/>
        <w:bidi/>
        <w:spacing w:after="120" w:before="200"/>
        <w:jc w:val="right"/>
      </w:pPr>
      <w:r>
        <w:rPr>
          <w:rFonts w:ascii="Arial" w:cs="Arial" w:eastAsia="Arial" w:hAnsi="Arial"/>
          <w:b/>
          <w:bCs/>
          <w:color w:val="1F4E79"/>
          <w:sz w:val="26"/>
          <w:szCs w:val="26"/>
          <w:rtl/>
        </w:rPr>
        <w:t xml:space="preserve">حق التصويت</w:t>
      </w:r>
    </w:p>
    <w:p>
      <w:pPr>
        <w:bidi/>
        <w:spacing w:after="140" w:line="320"/>
        <w:jc w:val="both"/>
      </w:pPr>
      <w:r>
        <w:rPr>
          <w:rFonts w:ascii="Arial" w:cs="Arial" w:eastAsia="Arial" w:hAnsi="Arial"/>
          <w:sz w:val="24"/>
          <w:szCs w:val="24"/>
          <w:rtl/>
        </w:rPr>
        <w:t xml:space="preserve">يحق لكل مساهم له حق التصويت أن يحضر اجتماعات الجمعيات العامة، أو ينيب عنه شخصاً آخر بموجب وكالة كتابية، ويصوّت على القرارات المعروضة وفقاً لعدد أسهمه. ويُستثنى من ذلك حملة الأسهم الممتازة في الغالب، ما لم ينص النظام الأساس على خلاف ذلك.</w:t>
      </w:r>
    </w:p>
    <w:p>
      <w:pPr>
        <w:pStyle w:val="Heading3"/>
        <w:bidi/>
        <w:spacing w:after="120" w:before="200"/>
        <w:jc w:val="right"/>
      </w:pPr>
      <w:r>
        <w:rPr>
          <w:rFonts w:ascii="Arial" w:cs="Arial" w:eastAsia="Arial" w:hAnsi="Arial"/>
          <w:b/>
          <w:bCs/>
          <w:color w:val="1F4E79"/>
          <w:sz w:val="26"/>
          <w:szCs w:val="26"/>
          <w:rtl/>
        </w:rPr>
        <w:t xml:space="preserve">حق الاطلاع والمعلومات</w:t>
      </w:r>
    </w:p>
    <w:p>
      <w:pPr>
        <w:bidi/>
        <w:spacing w:after="140" w:line="320"/>
        <w:jc w:val="both"/>
      </w:pPr>
      <w:r>
        <w:rPr>
          <w:rFonts w:ascii="Arial" w:cs="Arial" w:eastAsia="Arial" w:hAnsi="Arial"/>
          <w:sz w:val="24"/>
          <w:szCs w:val="24"/>
          <w:rtl/>
        </w:rPr>
        <w:t xml:space="preserve">يحق للمساهم الاطلاع على القوائم المالية المدققة، التقرير السنوي لمجلس الإدارة، تقرير المراجع الخارجي، النظام الأساس للشركة، ومحاضر الجمعيات العامة. كما يحق له الحصول على نسخ من هذه الوثائق وفق الضوابط النظامية.</w:t>
      </w:r>
    </w:p>
    <w:p>
      <w:pPr>
        <w:pStyle w:val="Heading3"/>
        <w:bidi/>
        <w:spacing w:after="120" w:before="200"/>
        <w:jc w:val="right"/>
      </w:pPr>
      <w:r>
        <w:rPr>
          <w:rFonts w:ascii="Arial" w:cs="Arial" w:eastAsia="Arial" w:hAnsi="Arial"/>
          <w:b/>
          <w:bCs/>
          <w:color w:val="1F4E79"/>
          <w:sz w:val="26"/>
          <w:szCs w:val="26"/>
          <w:rtl/>
        </w:rPr>
        <w:t xml:space="preserve">حق التقاضي والمراجعة</w:t>
      </w:r>
    </w:p>
    <w:p>
      <w:pPr>
        <w:pStyle w:val="ListParagraph"/>
        <w:numPr>
          <w:ilvl w:val="0"/>
          <w:numId w:val="2"/>
        </w:numPr>
        <w:bidi/>
        <w:spacing w:after="100" w:line="300"/>
        <w:jc w:val="right"/>
      </w:pPr>
      <w:r>
        <w:rPr>
          <w:rFonts w:ascii="Arial" w:cs="Arial" w:eastAsia="Arial" w:hAnsi="Arial"/>
          <w:sz w:val="24"/>
          <w:szCs w:val="24"/>
          <w:rtl/>
        </w:rPr>
        <w:t xml:space="preserve">حق رفع دعوى المسؤولية ضد أعضاء مجلس الإدارة عن أخطاء الإدارة.</w:t>
      </w:r>
    </w:p>
    <w:p>
      <w:pPr>
        <w:pStyle w:val="ListParagraph"/>
        <w:numPr>
          <w:ilvl w:val="0"/>
          <w:numId w:val="2"/>
        </w:numPr>
        <w:bidi/>
        <w:spacing w:after="100" w:line="300"/>
        <w:jc w:val="right"/>
      </w:pPr>
      <w:r>
        <w:rPr>
          <w:rFonts w:ascii="Arial" w:cs="Arial" w:eastAsia="Arial" w:hAnsi="Arial"/>
          <w:sz w:val="24"/>
          <w:szCs w:val="24"/>
          <w:rtl/>
        </w:rPr>
        <w:t xml:space="preserve">حق المساهمين الذين يملكون 5% فأكثر في طلب تعيين مراجع حسابات إضافي.</w:t>
      </w:r>
    </w:p>
    <w:p>
      <w:pPr>
        <w:pStyle w:val="ListParagraph"/>
        <w:numPr>
          <w:ilvl w:val="0"/>
          <w:numId w:val="2"/>
        </w:numPr>
        <w:bidi/>
        <w:spacing w:after="100" w:line="300"/>
        <w:jc w:val="right"/>
      </w:pPr>
      <w:r>
        <w:rPr>
          <w:rFonts w:ascii="Arial" w:cs="Arial" w:eastAsia="Arial" w:hAnsi="Arial"/>
          <w:sz w:val="24"/>
          <w:szCs w:val="24"/>
          <w:rtl/>
        </w:rPr>
        <w:t xml:space="preserve">حق المساهمين الذين يملكون 5% فأكثر في طلب وقف قرارات الجمعية العامة المخالفة للنظام.</w:t>
      </w:r>
    </w:p>
    <w:p>
      <w:pPr>
        <w:pStyle w:val="ListParagraph"/>
        <w:numPr>
          <w:ilvl w:val="0"/>
          <w:numId w:val="2"/>
        </w:numPr>
        <w:bidi/>
        <w:spacing w:after="100" w:line="300"/>
        <w:jc w:val="right"/>
      </w:pPr>
      <w:r>
        <w:rPr>
          <w:rFonts w:ascii="Arial" w:cs="Arial" w:eastAsia="Arial" w:hAnsi="Arial"/>
          <w:sz w:val="24"/>
          <w:szCs w:val="24"/>
          <w:rtl/>
        </w:rPr>
        <w:t xml:space="preserve">حق المطالبة بإدراج موضوع على جدول أعمال الجمعية العامة (للمساهمين الذين يملكون النسبة المحددة).</w:t>
      </w:r>
    </w:p>
    <w:p>
      <w:pPr>
        <w:pStyle w:val="Heading3"/>
        <w:bidi/>
        <w:spacing w:after="120" w:before="200"/>
        <w:jc w:val="right"/>
      </w:pPr>
      <w:r>
        <w:rPr>
          <w:rFonts w:ascii="Arial" w:cs="Arial" w:eastAsia="Arial" w:hAnsi="Arial"/>
          <w:b/>
          <w:bCs/>
          <w:color w:val="1F4E79"/>
          <w:sz w:val="26"/>
          <w:szCs w:val="26"/>
          <w:rtl/>
        </w:rPr>
        <w:t xml:space="preserve">حق الترشح والتصويت لعضوية المجلس</w:t>
      </w:r>
    </w:p>
    <w:p>
      <w:pPr>
        <w:bidi/>
        <w:spacing w:after="140" w:line="320"/>
        <w:jc w:val="both"/>
      </w:pPr>
      <w:r>
        <w:rPr>
          <w:rFonts w:ascii="Arial" w:cs="Arial" w:eastAsia="Arial" w:hAnsi="Arial"/>
          <w:sz w:val="24"/>
          <w:szCs w:val="24"/>
          <w:rtl/>
        </w:rPr>
        <w:t xml:space="preserve">يحق للمساهم الترشح لعضوية مجلس الإدارة وفقاً للضوابط النظامية ومتطلبات النظام الأساس للشركة. كما يحق له التصويت في انتخاب أعضاء المجلس باستخدام آلية التصويت التراكمي، التي تتيح له تجميع أصواته على مرشح واحد أو توزيعها على عدة مرشحين.</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سادساً: التزامات المساهم تجاه الشركة</w:t>
      </w:r>
    </w:p>
    <w:p>
      <w:pPr>
        <w:bidi/>
        <w:spacing w:after="140" w:line="320"/>
        <w:jc w:val="both"/>
      </w:pPr>
      <w:r>
        <w:rPr>
          <w:rFonts w:ascii="Arial" w:cs="Arial" w:eastAsia="Arial" w:hAnsi="Arial"/>
          <w:sz w:val="24"/>
          <w:szCs w:val="24"/>
          <w:rtl/>
        </w:rPr>
        <w:t xml:space="preserve">في مقابل الحقوق التي يحوزها المساهم، تترتب عليه عدة التزامات يجب أن تُسجّل وتُتابع في إطار سجل المساهمين:</w:t>
      </w:r>
    </w:p>
    <w:p>
      <w:pPr>
        <w:pStyle w:val="ListParagraph"/>
        <w:numPr>
          <w:ilvl w:val="0"/>
          <w:numId w:val="3"/>
        </w:numPr>
        <w:bidi/>
        <w:spacing w:after="100" w:line="300"/>
        <w:jc w:val="right"/>
      </w:pPr>
      <w:r>
        <w:rPr>
          <w:rFonts w:ascii="Arial" w:cs="Arial" w:eastAsia="Arial" w:hAnsi="Arial"/>
          <w:sz w:val="24"/>
          <w:szCs w:val="24"/>
          <w:rtl/>
        </w:rPr>
        <w:t xml:space="preserve">الوفاء بقيمة الأسهم المكتتب بها وفق المواعيد المحددة (للأسهم غير مدفوعة القيمة بالكامل).</w:t>
      </w:r>
    </w:p>
    <w:p>
      <w:pPr>
        <w:pStyle w:val="ListParagraph"/>
        <w:numPr>
          <w:ilvl w:val="0"/>
          <w:numId w:val="3"/>
        </w:numPr>
        <w:bidi/>
        <w:spacing w:after="100" w:line="300"/>
        <w:jc w:val="right"/>
      </w:pPr>
      <w:r>
        <w:rPr>
          <w:rFonts w:ascii="Arial" w:cs="Arial" w:eastAsia="Arial" w:hAnsi="Arial"/>
          <w:sz w:val="24"/>
          <w:szCs w:val="24"/>
          <w:rtl/>
        </w:rPr>
        <w:t xml:space="preserve">الإفصاح عن البيانات الصحيحة للشركة، وتحديثها فور تغيرها.</w:t>
      </w:r>
    </w:p>
    <w:p>
      <w:pPr>
        <w:pStyle w:val="ListParagraph"/>
        <w:numPr>
          <w:ilvl w:val="0"/>
          <w:numId w:val="3"/>
        </w:numPr>
        <w:bidi/>
        <w:spacing w:after="100" w:line="300"/>
        <w:jc w:val="right"/>
      </w:pPr>
      <w:r>
        <w:rPr>
          <w:rFonts w:ascii="Arial" w:cs="Arial" w:eastAsia="Arial" w:hAnsi="Arial"/>
          <w:sz w:val="24"/>
          <w:szCs w:val="24"/>
          <w:rtl/>
        </w:rPr>
        <w:t xml:space="preserve">الالتزام بقرارات الجمعيات العامة الصادرة وفق النظام.</w:t>
      </w:r>
    </w:p>
    <w:p>
      <w:pPr>
        <w:pStyle w:val="ListParagraph"/>
        <w:numPr>
          <w:ilvl w:val="0"/>
          <w:numId w:val="3"/>
        </w:numPr>
        <w:bidi/>
        <w:spacing w:after="100" w:line="300"/>
        <w:jc w:val="right"/>
      </w:pPr>
      <w:r>
        <w:rPr>
          <w:rFonts w:ascii="Arial" w:cs="Arial" w:eastAsia="Arial" w:hAnsi="Arial"/>
          <w:sz w:val="24"/>
          <w:szCs w:val="24"/>
          <w:rtl/>
        </w:rPr>
        <w:t xml:space="preserve">احترام أحكام النظام الأساس للشركة.</w:t>
      </w:r>
    </w:p>
    <w:p>
      <w:pPr>
        <w:pStyle w:val="ListParagraph"/>
        <w:numPr>
          <w:ilvl w:val="0"/>
          <w:numId w:val="3"/>
        </w:numPr>
        <w:bidi/>
        <w:spacing w:after="100" w:line="300"/>
        <w:jc w:val="right"/>
      </w:pPr>
      <w:r>
        <w:rPr>
          <w:rFonts w:ascii="Arial" w:cs="Arial" w:eastAsia="Arial" w:hAnsi="Arial"/>
          <w:sz w:val="24"/>
          <w:szCs w:val="24"/>
          <w:rtl/>
        </w:rPr>
        <w:t xml:space="preserve">عدم استخدام المعلومات الداخلية للشركة للحصول على منافع غير مشروعة (تجنب التداول بناءً على معلومات داخلية).</w:t>
      </w:r>
    </w:p>
    <w:p>
      <w:pPr>
        <w:pStyle w:val="ListParagraph"/>
        <w:numPr>
          <w:ilvl w:val="0"/>
          <w:numId w:val="3"/>
        </w:numPr>
        <w:bidi/>
        <w:spacing w:after="100" w:line="300"/>
        <w:jc w:val="right"/>
      </w:pPr>
      <w:r>
        <w:rPr>
          <w:rFonts w:ascii="Arial" w:cs="Arial" w:eastAsia="Arial" w:hAnsi="Arial"/>
          <w:sz w:val="24"/>
          <w:szCs w:val="24"/>
          <w:rtl/>
        </w:rPr>
        <w:t xml:space="preserve">الإفصاح عن الملكية عند تجاوز نسب محددة (5% أو 10% أو 20% ... إلخ) في الشركات المدرجة.</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سابعاً: قائمة مراجعة لمكونات السجل</w:t>
      </w:r>
    </w:p>
    <w:p>
      <w:pPr>
        <w:bidi/>
        <w:spacing w:after="140" w:line="320"/>
        <w:jc w:val="both"/>
      </w:pPr>
      <w:r>
        <w:rPr>
          <w:rFonts w:ascii="Arial" w:cs="Arial" w:eastAsia="Arial" w:hAnsi="Arial"/>
          <w:sz w:val="24"/>
          <w:szCs w:val="24"/>
          <w:rtl/>
        </w:rPr>
        <w:t xml:space="preserve">نقدم فيما يلي قائمة مراجعة عملية للتحقق من اكتمال مكونات سجل المساهمين:</w:t>
      </w:r>
    </w:p>
    <w:p>
      <w:pPr>
        <w:pStyle w:val="Heading3"/>
        <w:bidi/>
        <w:spacing w:after="120" w:before="200"/>
        <w:jc w:val="right"/>
      </w:pPr>
      <w:r>
        <w:rPr>
          <w:rFonts w:ascii="Arial" w:cs="Arial" w:eastAsia="Arial" w:hAnsi="Arial"/>
          <w:b/>
          <w:bCs/>
          <w:color w:val="1F4E79"/>
          <w:sz w:val="26"/>
          <w:szCs w:val="26"/>
          <w:rtl/>
        </w:rPr>
        <w:t xml:space="preserve">بيانات التعريف</w:t>
      </w:r>
    </w:p>
    <w:p>
      <w:pPr>
        <w:pStyle w:val="ListParagraph"/>
        <w:numPr>
          <w:ilvl w:val="0"/>
          <w:numId w:val="2"/>
        </w:numPr>
        <w:bidi/>
        <w:spacing w:after="100" w:line="300"/>
        <w:jc w:val="right"/>
      </w:pPr>
      <w:r>
        <w:rPr>
          <w:rFonts w:ascii="Arial" w:cs="Arial" w:eastAsia="Arial" w:hAnsi="Arial"/>
          <w:sz w:val="24"/>
          <w:szCs w:val="24"/>
          <w:rtl/>
        </w:rPr>
        <w:t xml:space="preserve">الاسم الكامل مطابق لوثيقة الهوية.</w:t>
      </w:r>
    </w:p>
    <w:p>
      <w:pPr>
        <w:pStyle w:val="ListParagraph"/>
        <w:numPr>
          <w:ilvl w:val="0"/>
          <w:numId w:val="2"/>
        </w:numPr>
        <w:bidi/>
        <w:spacing w:after="100" w:line="300"/>
        <w:jc w:val="right"/>
      </w:pPr>
      <w:r>
        <w:rPr>
          <w:rFonts w:ascii="Arial" w:cs="Arial" w:eastAsia="Arial" w:hAnsi="Arial"/>
          <w:sz w:val="24"/>
          <w:szCs w:val="24"/>
          <w:rtl/>
        </w:rPr>
        <w:t xml:space="preserve">رقم الهوية / السجل التجاري كامل وصحيح.</w:t>
      </w:r>
    </w:p>
    <w:p>
      <w:pPr>
        <w:pStyle w:val="ListParagraph"/>
        <w:numPr>
          <w:ilvl w:val="0"/>
          <w:numId w:val="2"/>
        </w:numPr>
        <w:bidi/>
        <w:spacing w:after="100" w:line="300"/>
        <w:jc w:val="right"/>
      </w:pPr>
      <w:r>
        <w:rPr>
          <w:rFonts w:ascii="Arial" w:cs="Arial" w:eastAsia="Arial" w:hAnsi="Arial"/>
          <w:sz w:val="24"/>
          <w:szCs w:val="24"/>
          <w:rtl/>
        </w:rPr>
        <w:t xml:space="preserve">الجنسية مسجلة بدقة.</w:t>
      </w:r>
    </w:p>
    <w:p>
      <w:pPr>
        <w:pStyle w:val="ListParagraph"/>
        <w:numPr>
          <w:ilvl w:val="0"/>
          <w:numId w:val="2"/>
        </w:numPr>
        <w:bidi/>
        <w:spacing w:after="100" w:line="300"/>
        <w:jc w:val="right"/>
      </w:pPr>
      <w:r>
        <w:rPr>
          <w:rFonts w:ascii="Arial" w:cs="Arial" w:eastAsia="Arial" w:hAnsi="Arial"/>
          <w:sz w:val="24"/>
          <w:szCs w:val="24"/>
          <w:rtl/>
        </w:rPr>
        <w:t xml:space="preserve">العنوان الوطني مسجل ومحدّث.</w:t>
      </w:r>
    </w:p>
    <w:p>
      <w:pPr>
        <w:pStyle w:val="ListParagraph"/>
        <w:numPr>
          <w:ilvl w:val="0"/>
          <w:numId w:val="2"/>
        </w:numPr>
        <w:bidi/>
        <w:spacing w:after="100" w:line="300"/>
        <w:jc w:val="right"/>
      </w:pPr>
      <w:r>
        <w:rPr>
          <w:rFonts w:ascii="Arial" w:cs="Arial" w:eastAsia="Arial" w:hAnsi="Arial"/>
          <w:sz w:val="24"/>
          <w:szCs w:val="24"/>
          <w:rtl/>
        </w:rPr>
        <w:t xml:space="preserve">بيانات التواصل (جوال، بريد إلكتروني) صحيحة وفاعلة.</w:t>
      </w:r>
    </w:p>
    <w:p>
      <w:pPr>
        <w:pStyle w:val="Heading3"/>
        <w:bidi/>
        <w:spacing w:after="120" w:before="200"/>
        <w:jc w:val="right"/>
      </w:pPr>
      <w:r>
        <w:rPr>
          <w:rFonts w:ascii="Arial" w:cs="Arial" w:eastAsia="Arial" w:hAnsi="Arial"/>
          <w:b/>
          <w:bCs/>
          <w:color w:val="1F4E79"/>
          <w:sz w:val="26"/>
          <w:szCs w:val="26"/>
          <w:rtl/>
        </w:rPr>
        <w:t xml:space="preserve">بيانات الأسهم</w:t>
      </w:r>
    </w:p>
    <w:p>
      <w:pPr>
        <w:pStyle w:val="ListParagraph"/>
        <w:numPr>
          <w:ilvl w:val="0"/>
          <w:numId w:val="2"/>
        </w:numPr>
        <w:bidi/>
        <w:spacing w:after="100" w:line="300"/>
        <w:jc w:val="right"/>
      </w:pPr>
      <w:r>
        <w:rPr>
          <w:rFonts w:ascii="Arial" w:cs="Arial" w:eastAsia="Arial" w:hAnsi="Arial"/>
          <w:sz w:val="24"/>
          <w:szCs w:val="24"/>
          <w:rtl/>
        </w:rPr>
        <w:t xml:space="preserve">عدد الأسهم متطابق مع المستندات الرسمية.</w:t>
      </w:r>
    </w:p>
    <w:p>
      <w:pPr>
        <w:pStyle w:val="ListParagraph"/>
        <w:numPr>
          <w:ilvl w:val="0"/>
          <w:numId w:val="2"/>
        </w:numPr>
        <w:bidi/>
        <w:spacing w:after="100" w:line="300"/>
        <w:jc w:val="right"/>
      </w:pPr>
      <w:r>
        <w:rPr>
          <w:rFonts w:ascii="Arial" w:cs="Arial" w:eastAsia="Arial" w:hAnsi="Arial"/>
          <w:sz w:val="24"/>
          <w:szCs w:val="24"/>
          <w:rtl/>
        </w:rPr>
        <w:t xml:space="preserve">نوع الأسهم وفئتها محدد بوضوح.</w:t>
      </w:r>
    </w:p>
    <w:p>
      <w:pPr>
        <w:pStyle w:val="ListParagraph"/>
        <w:numPr>
          <w:ilvl w:val="0"/>
          <w:numId w:val="2"/>
        </w:numPr>
        <w:bidi/>
        <w:spacing w:after="100" w:line="300"/>
        <w:jc w:val="right"/>
      </w:pPr>
      <w:r>
        <w:rPr>
          <w:rFonts w:ascii="Arial" w:cs="Arial" w:eastAsia="Arial" w:hAnsi="Arial"/>
          <w:sz w:val="24"/>
          <w:szCs w:val="24"/>
          <w:rtl/>
        </w:rPr>
        <w:t xml:space="preserve">القيمة الاسمية والقيمة المدفوعة موثقة.</w:t>
      </w:r>
    </w:p>
    <w:p>
      <w:pPr>
        <w:pStyle w:val="ListParagraph"/>
        <w:numPr>
          <w:ilvl w:val="0"/>
          <w:numId w:val="2"/>
        </w:numPr>
        <w:bidi/>
        <w:spacing w:after="100" w:line="300"/>
        <w:jc w:val="right"/>
      </w:pPr>
      <w:r>
        <w:rPr>
          <w:rFonts w:ascii="Arial" w:cs="Arial" w:eastAsia="Arial" w:hAnsi="Arial"/>
          <w:sz w:val="24"/>
          <w:szCs w:val="24"/>
          <w:rtl/>
        </w:rPr>
        <w:t xml:space="preserve">تاريخ التملك ومصدره محددان.</w:t>
      </w:r>
    </w:p>
    <w:p>
      <w:pPr>
        <w:pStyle w:val="Heading3"/>
        <w:bidi/>
        <w:spacing w:after="120" w:before="200"/>
        <w:jc w:val="right"/>
      </w:pPr>
      <w:r>
        <w:rPr>
          <w:rFonts w:ascii="Arial" w:cs="Arial" w:eastAsia="Arial" w:hAnsi="Arial"/>
          <w:b/>
          <w:bCs/>
          <w:color w:val="1F4E79"/>
          <w:sz w:val="26"/>
          <w:szCs w:val="26"/>
          <w:rtl/>
        </w:rPr>
        <w:t xml:space="preserve">القيود والتغييرات</w:t>
      </w:r>
    </w:p>
    <w:p>
      <w:pPr>
        <w:pStyle w:val="ListParagraph"/>
        <w:numPr>
          <w:ilvl w:val="0"/>
          <w:numId w:val="2"/>
        </w:numPr>
        <w:bidi/>
        <w:spacing w:after="100" w:line="300"/>
        <w:jc w:val="right"/>
      </w:pPr>
      <w:r>
        <w:rPr>
          <w:rFonts w:ascii="Arial" w:cs="Arial" w:eastAsia="Arial" w:hAnsi="Arial"/>
          <w:sz w:val="24"/>
          <w:szCs w:val="24"/>
          <w:rtl/>
        </w:rPr>
        <w:t xml:space="preserve">تاريخ كل تغيير في الملكية موثق.</w:t>
      </w:r>
    </w:p>
    <w:p>
      <w:pPr>
        <w:pStyle w:val="ListParagraph"/>
        <w:numPr>
          <w:ilvl w:val="0"/>
          <w:numId w:val="2"/>
        </w:numPr>
        <w:bidi/>
        <w:spacing w:after="100" w:line="300"/>
        <w:jc w:val="right"/>
      </w:pPr>
      <w:r>
        <w:rPr>
          <w:rFonts w:ascii="Arial" w:cs="Arial" w:eastAsia="Arial" w:hAnsi="Arial"/>
          <w:sz w:val="24"/>
          <w:szCs w:val="24"/>
          <w:rtl/>
        </w:rPr>
        <w:t xml:space="preserve">سند نقل الملكية محفوظ ومرجَّع.</w:t>
      </w:r>
    </w:p>
    <w:p>
      <w:pPr>
        <w:pStyle w:val="ListParagraph"/>
        <w:numPr>
          <w:ilvl w:val="0"/>
          <w:numId w:val="2"/>
        </w:numPr>
        <w:bidi/>
        <w:spacing w:after="100" w:line="300"/>
        <w:jc w:val="right"/>
      </w:pPr>
      <w:r>
        <w:rPr>
          <w:rFonts w:ascii="Arial" w:cs="Arial" w:eastAsia="Arial" w:hAnsi="Arial"/>
          <w:sz w:val="24"/>
          <w:szCs w:val="24"/>
          <w:rtl/>
        </w:rPr>
        <w:t xml:space="preserve">الرهون والحجوزات مسجلة مع تفاصيلها الكاملة.</w:t>
      </w:r>
    </w:p>
    <w:p>
      <w:pPr>
        <w:pStyle w:val="ListParagraph"/>
        <w:numPr>
          <w:ilvl w:val="0"/>
          <w:numId w:val="2"/>
        </w:numPr>
        <w:bidi/>
        <w:spacing w:after="100" w:line="300"/>
        <w:jc w:val="right"/>
      </w:pPr>
      <w:r>
        <w:rPr>
          <w:rFonts w:ascii="Arial" w:cs="Arial" w:eastAsia="Arial" w:hAnsi="Arial"/>
          <w:sz w:val="24"/>
          <w:szCs w:val="24"/>
          <w:rtl/>
        </w:rPr>
        <w:t xml:space="preserve">بيانات النيابة والوكالة موثقة إن وُجدت.</w:t>
      </w:r>
    </w:p>
    <w:p>
      <w:pPr>
        <w:pStyle w:val="Heading3"/>
        <w:bidi/>
        <w:spacing w:after="120" w:before="200"/>
        <w:jc w:val="right"/>
      </w:pPr>
      <w:r>
        <w:rPr>
          <w:rFonts w:ascii="Arial" w:cs="Arial" w:eastAsia="Arial" w:hAnsi="Arial"/>
          <w:b/>
          <w:bCs/>
          <w:color w:val="1F4E79"/>
          <w:sz w:val="26"/>
          <w:szCs w:val="26"/>
          <w:rtl/>
        </w:rPr>
        <w:t xml:space="preserve">التوافق التنظيمي</w:t>
      </w:r>
    </w:p>
    <w:p>
      <w:pPr>
        <w:pStyle w:val="ListParagraph"/>
        <w:numPr>
          <w:ilvl w:val="0"/>
          <w:numId w:val="2"/>
        </w:numPr>
        <w:bidi/>
        <w:spacing w:after="100" w:line="300"/>
        <w:jc w:val="right"/>
      </w:pPr>
      <w:r>
        <w:rPr>
          <w:rFonts w:ascii="Arial" w:cs="Arial" w:eastAsia="Arial" w:hAnsi="Arial"/>
          <w:sz w:val="24"/>
          <w:szCs w:val="24"/>
          <w:rtl/>
        </w:rPr>
        <w:t xml:space="preserve">جميع البيانات الإلزامية وفق النظام مسجلة.</w:t>
      </w:r>
    </w:p>
    <w:p>
      <w:pPr>
        <w:pStyle w:val="ListParagraph"/>
        <w:numPr>
          <w:ilvl w:val="0"/>
          <w:numId w:val="2"/>
        </w:numPr>
        <w:bidi/>
        <w:spacing w:after="100" w:line="300"/>
        <w:jc w:val="right"/>
      </w:pPr>
      <w:r>
        <w:rPr>
          <w:rFonts w:ascii="Arial" w:cs="Arial" w:eastAsia="Arial" w:hAnsi="Arial"/>
          <w:sz w:val="24"/>
          <w:szCs w:val="24"/>
          <w:rtl/>
        </w:rPr>
        <w:t xml:space="preserve">التحديثات تتم خلال المهل النظامية.</w:t>
      </w:r>
    </w:p>
    <w:p>
      <w:pPr>
        <w:pStyle w:val="ListParagraph"/>
        <w:numPr>
          <w:ilvl w:val="0"/>
          <w:numId w:val="2"/>
        </w:numPr>
        <w:bidi/>
        <w:spacing w:after="100" w:line="300"/>
        <w:jc w:val="right"/>
      </w:pPr>
      <w:r>
        <w:rPr>
          <w:rFonts w:ascii="Arial" w:cs="Arial" w:eastAsia="Arial" w:hAnsi="Arial"/>
          <w:sz w:val="24"/>
          <w:szCs w:val="24"/>
          <w:rtl/>
        </w:rPr>
        <w:t xml:space="preserve">الإفصاحات الدورية تُستخرج بدقة من السجل.</w:t>
      </w:r>
    </w:p>
    <w:p>
      <w:pPr>
        <w:pStyle w:val="ListParagraph"/>
        <w:numPr>
          <w:ilvl w:val="0"/>
          <w:numId w:val="2"/>
        </w:numPr>
        <w:bidi/>
        <w:spacing w:after="100" w:line="300"/>
        <w:jc w:val="right"/>
      </w:pPr>
      <w:r>
        <w:rPr>
          <w:rFonts w:ascii="Arial" w:cs="Arial" w:eastAsia="Arial" w:hAnsi="Arial"/>
          <w:sz w:val="24"/>
          <w:szCs w:val="24"/>
          <w:rtl/>
        </w:rPr>
        <w:t xml:space="preserve">التوافق مع نظام حماية البيانات الشخصية.</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الخلاصة والنقاط الرئيسية</w:t>
      </w:r>
    </w:p>
    <w:p>
      <w:pPr>
        <w:bidi/>
        <w:spacing w:after="140" w:line="320"/>
        <w:jc w:val="both"/>
      </w:pPr>
      <w:r>
        <w:rPr>
          <w:rFonts w:ascii="Arial" w:cs="Arial" w:eastAsia="Arial" w:hAnsi="Arial"/>
          <w:sz w:val="24"/>
          <w:szCs w:val="24"/>
          <w:rtl/>
        </w:rPr>
        <w:t xml:space="preserve">يُعدّ سجل المساهمين بناءً معلوماتياً معقداً يضم بيانات متعددة الأبعاد عن المساهمين وأسهمهم وحقوقهم وقيودهم. وإدارته بكفاءة تتطلب فهماً عميقاً للأنواع المختلفة من الأسهم - العادية والممتازة والقابلة للاسترداد وأسهم الخزينة - وللحقوق والالتزامات المرتبطة بكل نوع، مع توافر آليات إلكترونية متطورة لإدارة هذا التنوع.</w:t>
      </w:r>
    </w:p>
    <w:p>
      <w:pPr>
        <w:bidi/>
        <w:spacing w:after="140" w:line="320"/>
        <w:jc w:val="both"/>
      </w:pPr>
      <w:r>
        <w:rPr>
          <w:rFonts w:ascii="Arial" w:cs="Arial" w:eastAsia="Arial" w:hAnsi="Arial"/>
          <w:sz w:val="24"/>
          <w:szCs w:val="24"/>
          <w:rtl/>
        </w:rPr>
        <w:t xml:space="preserve">الالتزام بدقة البيانات وشموليتها ليس مجرد متطلب نظامي، بل هو ركيزة لبناء الثقة بين الشركة ومساهميها، ولتمكين كل مساهم من ممارسة حقوقه بفعالية، ولضمان امتثال الشركة لمتطلبات الإفصاح والشفافية أمام الجهات التنظيمية.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FF2CC" w:val="clear"/>
            <w:tcMar>
              <w:top w:type="dxa" w:w="160"/>
              <w:left w:type="dxa" w:w="200"/>
              <w:bottom w:type="dxa" w:w="160"/>
              <w:right w:type="dxa" w:w="200"/>
            </w:tcMar>
          </w:tcPr>
          <w:p>
            <w:pPr>
              <w:bidi/>
              <w:spacing w:after="100"/>
              <w:jc w:val="right"/>
            </w:pPr>
            <w:r>
              <w:rPr>
                <w:rFonts w:ascii="Arial" w:cs="Arial" w:eastAsia="Arial" w:hAnsi="Arial"/>
                <w:b/>
                <w:bCs/>
                <w:color w:val="1F4E79"/>
                <w:sz w:val="26"/>
                <w:szCs w:val="26"/>
                <w:rtl/>
              </w:rPr>
              <w:t xml:space="preserve">🎯 النقاط الجوهرية للحفظ</w:t>
            </w:r>
          </w:p>
          <w:p>
            <w:pPr>
              <w:bidi/>
              <w:spacing w:line="300"/>
              <w:jc w:val="both"/>
            </w:pPr>
            <w:r>
              <w:rPr>
                <w:rFonts w:ascii="Arial" w:cs="Arial" w:eastAsia="Arial" w:hAnsi="Arial"/>
                <w:sz w:val="24"/>
                <w:szCs w:val="24"/>
                <w:rtl/>
              </w:rPr>
              <w:t xml:space="preserve">1) البيانات الإلزامية في السجل تشمل: بيانات التعريف، بيانات الأسهم، التغييرات والقيود، وبيانات التمثيل. 2) أنواع الأسهم في النظام السعودي: العادية، الممتازة، القابلة للاسترداد، بالإضافة إلى أسهم الخزينة. 3) لا تتجاوز نسبة الأسهم الممتازة والقابلة للاسترداد مجتمعةً 50% من رأس المال. 4) لا تتجاوز نسبة أسهم الخزينة 10% من فئة الأسهم محل الشراء. 5) لكل نوع من الأسهم حزمة محددة من الحقوق المالية وغير المالية والالتزامات.</w:t>
            </w:r>
          </w:p>
        </w:tc>
      </w:tr>
    </w:tbl>
    <w:p>
      <w:pPr>
        <w:spacing w:after="80"/>
      </w:pPr>
      <w:r>
        <w:rPr>
          <w:sz w:val="16"/>
          <w:szCs w:val="16"/>
        </w:rPr>
        <w:t xml:space="preserve"/>
      </w:r>
    </w:p>
    <w:p>
      <w:pPr>
        <w:spacing w:after="80"/>
      </w:pPr>
      <w:r>
        <w:rPr>
          <w:sz w:val="16"/>
          <w:szCs w:val="16"/>
        </w:rPr>
        <w:t xml:space="preserve"/>
      </w:r>
    </w:p>
    <w:p>
      <w:pPr>
        <w:pStyle w:val="Heading2"/>
        <w:bidi/>
        <w:spacing w:after="160" w:before="280"/>
        <w:jc w:val="right"/>
      </w:pPr>
      <w:r>
        <w:rPr>
          <w:rFonts w:ascii="Arial" w:cs="Arial" w:eastAsia="Arial" w:hAnsi="Arial"/>
          <w:b/>
          <w:bCs/>
          <w:color w:val="2E75B6"/>
          <w:sz w:val="30"/>
          <w:szCs w:val="30"/>
          <w:rtl/>
        </w:rPr>
        <w:t xml:space="preserve">المراجع والمصادر</w:t>
      </w:r>
    </w:p>
    <w:p>
      <w:pPr>
        <w:pStyle w:val="ListParagraph"/>
        <w:numPr>
          <w:ilvl w:val="0"/>
          <w:numId w:val="2"/>
        </w:numPr>
        <w:bidi/>
        <w:spacing w:after="100" w:line="300"/>
        <w:jc w:val="right"/>
      </w:pPr>
      <w:r>
        <w:rPr>
          <w:rFonts w:ascii="Arial" w:cs="Arial" w:eastAsia="Arial" w:hAnsi="Arial"/>
          <w:sz w:val="24"/>
          <w:szCs w:val="24"/>
          <w:rtl/>
        </w:rPr>
        <w:t xml:space="preserve">المادة (108) من نظام الشركات السعودي - أنواع الأسهم.</w:t>
      </w:r>
    </w:p>
    <w:p>
      <w:pPr>
        <w:pStyle w:val="ListParagraph"/>
        <w:numPr>
          <w:ilvl w:val="0"/>
          <w:numId w:val="2"/>
        </w:numPr>
        <w:bidi/>
        <w:spacing w:after="100" w:line="300"/>
        <w:jc w:val="right"/>
      </w:pPr>
      <w:r>
        <w:rPr>
          <w:rFonts w:ascii="Arial" w:cs="Arial" w:eastAsia="Arial" w:hAnsi="Arial"/>
          <w:sz w:val="24"/>
          <w:szCs w:val="24"/>
          <w:rtl/>
        </w:rPr>
        <w:t xml:space="preserve">المادة (114) من نظام الشركات السعودي - أسهم الخزينة.</w:t>
      </w:r>
    </w:p>
    <w:p>
      <w:pPr>
        <w:pStyle w:val="ListParagraph"/>
        <w:numPr>
          <w:ilvl w:val="0"/>
          <w:numId w:val="2"/>
        </w:numPr>
        <w:bidi/>
        <w:spacing w:after="100" w:line="300"/>
        <w:jc w:val="right"/>
      </w:pPr>
      <w:r>
        <w:rPr>
          <w:rFonts w:ascii="Arial" w:cs="Arial" w:eastAsia="Arial" w:hAnsi="Arial"/>
          <w:sz w:val="24"/>
          <w:szCs w:val="24"/>
          <w:rtl/>
        </w:rPr>
        <w:t xml:space="preserve">المادة (51) من اللائحة التنفيذية لنظام الشركات - ضوابط إصدار الأسهم الممتازة.</w:t>
      </w:r>
    </w:p>
    <w:p>
      <w:pPr>
        <w:pStyle w:val="ListParagraph"/>
        <w:numPr>
          <w:ilvl w:val="0"/>
          <w:numId w:val="2"/>
        </w:numPr>
        <w:bidi/>
        <w:spacing w:after="100" w:line="300"/>
        <w:jc w:val="right"/>
      </w:pPr>
      <w:r>
        <w:rPr>
          <w:rFonts w:ascii="Arial" w:cs="Arial" w:eastAsia="Arial" w:hAnsi="Arial"/>
          <w:sz w:val="24"/>
          <w:szCs w:val="24"/>
          <w:rtl/>
        </w:rPr>
        <w:t xml:space="preserve">المادة (34) من اللائحة التنفيذية لنظام الشركات - ضوابط أسهم الخزينة.</w:t>
      </w:r>
    </w:p>
    <w:p>
      <w:pPr>
        <w:pStyle w:val="ListParagraph"/>
        <w:numPr>
          <w:ilvl w:val="0"/>
          <w:numId w:val="2"/>
        </w:numPr>
        <w:bidi/>
        <w:spacing w:after="100" w:line="300"/>
        <w:jc w:val="right"/>
      </w:pPr>
      <w:r>
        <w:rPr>
          <w:rFonts w:ascii="Arial" w:cs="Arial" w:eastAsia="Arial" w:hAnsi="Arial"/>
          <w:sz w:val="24"/>
          <w:szCs w:val="24"/>
          <w:rtl/>
        </w:rPr>
        <w:t xml:space="preserve">المادة (106) من نظام الشركات - الحصص النقدية والعينية.</w:t>
      </w:r>
    </w:p>
    <w:p>
      <w:pPr>
        <w:pStyle w:val="ListParagraph"/>
        <w:numPr>
          <w:ilvl w:val="0"/>
          <w:numId w:val="2"/>
        </w:numPr>
        <w:bidi/>
        <w:spacing w:after="100" w:line="300"/>
        <w:jc w:val="right"/>
      </w:pPr>
      <w:r>
        <w:rPr>
          <w:rFonts w:ascii="Arial" w:cs="Arial" w:eastAsia="Arial" w:hAnsi="Arial"/>
          <w:sz w:val="24"/>
          <w:szCs w:val="24"/>
          <w:rtl/>
        </w:rPr>
        <w:t xml:space="preserve">لائحة حوكمة الشركات، هيئة السوق المالية السعودية.</w:t>
      </w:r>
    </w:p>
    <w:p>
      <w:pPr>
        <w:pStyle w:val="ListParagraph"/>
        <w:numPr>
          <w:ilvl w:val="0"/>
          <w:numId w:val="2"/>
        </w:numPr>
        <w:bidi/>
        <w:spacing w:after="100" w:line="300"/>
        <w:jc w:val="right"/>
      </w:pPr>
      <w:r>
        <w:rPr>
          <w:rFonts w:ascii="Arial" w:cs="Arial" w:eastAsia="Arial" w:hAnsi="Arial"/>
          <w:sz w:val="24"/>
          <w:szCs w:val="24"/>
          <w:rtl/>
        </w:rPr>
        <w:t xml:space="preserve">المبادئ الإرشادية لمنظمة التعاون الاقتصادي والتنمية (OECD) بشأن حقوق المساهمين.</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الصفحة </w:t>
      <w:fldChar w:fldCharType="begin"/>
      <w:instrText xml:space="preserve">PAGE</w:instrText>
      <w:fldChar w:fldCharType="separate"/>
      <w:fldChar w:fldCharType="end"/>
      <w:t xml:space="preserve"> من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4"/>
      </w:pBdr>
      <w:bidi/>
      <w:jc w:val="center"/>
    </w:pPr>
    <w:r>
      <w:rPr>
        <w:rFonts w:ascii="Arial" w:cs="Arial" w:eastAsia="Arial" w:hAnsi="Arial"/>
        <w:i/>
        <w:iCs/>
        <w:color w:val="808080"/>
        <w:sz w:val="18"/>
        <w:szCs w:val="18"/>
        <w:rtl/>
      </w:rPr>
      <w:t xml:space="preserve">مكونات سجل المساهمين | حوكمة الشركات</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720" w:hanging="360"/>
      </w:pPr>
    </w:lvl>
    <w:lvl w:ilvl="1" w15:tentative="1">
      <w:start w:val="1"/>
      <w:numFmt w:val="bullet"/>
      <w:lvlText w:val="◦"/>
      <w:lvlJc w:val="right"/>
      <w:pPr>
        <w:ind w:right="1080" w:hanging="360"/>
      </w:pPr>
    </w:lvl>
  </w:abstractNum>
  <w:abstractNum w:abstractNumId="3" w15:restartNumberingAfterBreak="0">
    <w:multiLevelType w:val="hybridMultilevel"/>
    <w:lvl w:ilvl="0" w15:tentative="1">
      <w:start w:val="1"/>
      <w:numFmt w:val="decimal"/>
      <w:lvlText w:val="%1."/>
      <w:lvlJc w:val="right"/>
      <w:pPr>
        <w:ind w:righ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مكونات سجل المساهمين</dc:title>
  <dc:creator>Corporate Governance Knowledge Base</dc:creator>
  <cp:lastModifiedBy>Un-named</cp:lastModifiedBy>
  <cp:revision>1</cp:revision>
  <dcterms:created xsi:type="dcterms:W3CDTF">2026-05-15T23:48:35.074Z</dcterms:created>
  <dcterms:modified xsi:type="dcterms:W3CDTF">2026-05-15T23:48:35.074Z</dcterms:modified>
</cp:coreProperties>
</file>

<file path=docProps/custom.xml><?xml version="1.0" encoding="utf-8"?>
<Properties xmlns="http://schemas.openxmlformats.org/officeDocument/2006/custom-properties" xmlns:vt="http://schemas.openxmlformats.org/officeDocument/2006/docPropsVTypes"/>
</file>