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دورة حياة المساهم</w:t>
      </w:r>
    </w:p>
    <w:p>
      <w:pPr>
        <w:bidi/>
        <w:spacing w:after="400"/>
        <w:jc w:val="center"/>
      </w:pPr>
      <w:r>
        <w:rPr>
          <w:rFonts w:ascii="Arial" w:cs="Arial" w:eastAsia="Arial" w:hAnsi="Arial"/>
          <w:i/>
          <w:iCs/>
          <w:color w:val="2E75B6"/>
          <w:sz w:val="26"/>
          <w:szCs w:val="26"/>
          <w:rtl/>
        </w:rPr>
        <w:t xml:space="preserve">من التسجيل الأولي إلى نقل الملكية والتصرف في الأسهم</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لا تبدأ علاقة المساهم بالشركة وتنتهي في لحظة واحدة، بل تمر بمراحل متعاقبة تشكل ما يمكن تسميته بـ"دورة حياة المساهم". هذه الدورة تبدأ من اللحظة التي يقرر فيها الشخص الاكتتاب في أسهم الشركة أو شرائها، ثم تمر بمراحل الاحتفاظ بالأسهم وممارسة الحقوق المرتبطة بها، وقد تنتهي ببيع الأسهم أو نقل ملكيتها بأي طريقة قانونية أخرى.</w:t>
      </w:r>
    </w:p>
    <w:p>
      <w:pPr>
        <w:bidi/>
        <w:spacing w:after="140" w:line="320"/>
        <w:jc w:val="both"/>
      </w:pPr>
      <w:r>
        <w:rPr>
          <w:rFonts w:ascii="Arial" w:cs="Arial" w:eastAsia="Arial" w:hAnsi="Arial"/>
          <w:sz w:val="24"/>
          <w:szCs w:val="24"/>
          <w:rtl/>
        </w:rPr>
        <w:t xml:space="preserve">فهم هذه الدورة بكامل تفاصيلها أمر بالغ الأهمية للمختصين في إدارة سجل المساهمين، لأن كل مرحلة من مراحلها تستوجب إجراءات محددة، ووثائق معينة، وتحديثات للسجل. وأي إخلال بهذه الإجراءات قد يُعرّض الشركة لمخاطر قانونية ويُضرّ بحقوق المساهمين.</w:t>
      </w:r>
    </w:p>
    <w:p>
      <w:pPr>
        <w:bidi/>
        <w:spacing w:after="140" w:line="320"/>
        <w:jc w:val="both"/>
      </w:pPr>
      <w:r>
        <w:rPr>
          <w:rFonts w:ascii="Arial" w:cs="Arial" w:eastAsia="Arial" w:hAnsi="Arial"/>
          <w:sz w:val="24"/>
          <w:szCs w:val="24"/>
          <w:rtl/>
        </w:rPr>
        <w:t xml:space="preserve">في هذا المقال، نستعرض دورة حياة المساهم من بدايتها إلى نهايتها، مع التركيز على الإجراءات النظامية المعتمدة في المملكة العربية السعودية وفقاً لنظام الشركات ولائحته التنفيذية.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المرحلة الأولى: اكتساب صفة المساهم</w:t>
      </w:r>
    </w:p>
    <w:p>
      <w:pPr>
        <w:bidi/>
        <w:spacing w:after="140" w:line="320"/>
        <w:jc w:val="both"/>
      </w:pPr>
      <w:r>
        <w:rPr>
          <w:rFonts w:ascii="Arial" w:cs="Arial" w:eastAsia="Arial" w:hAnsi="Arial"/>
          <w:sz w:val="24"/>
          <w:szCs w:val="24"/>
          <w:rtl/>
        </w:rPr>
        <w:t xml:space="preserve">يكتسب الشخص صفة المساهم عند تملكه لأسهم في الشركة بإحدى الطرق المشروعة. وتختلف الإجراءات بحسب الطريقة، لكنها تتفق جميعاً في ضرورة القيد الرسمي في سجل المساهمين لإكمال اكتساب الصفة القانونية.</w:t>
      </w:r>
    </w:p>
    <w:p>
      <w:pPr>
        <w:pStyle w:val="Heading2"/>
        <w:bidi/>
        <w:spacing w:after="160" w:before="280"/>
        <w:jc w:val="right"/>
      </w:pPr>
      <w:r>
        <w:rPr>
          <w:rFonts w:ascii="Arial" w:cs="Arial" w:eastAsia="Arial" w:hAnsi="Arial"/>
          <w:b/>
          <w:bCs/>
          <w:color w:val="2E75B6"/>
          <w:sz w:val="30"/>
          <w:szCs w:val="30"/>
          <w:rtl/>
        </w:rPr>
        <w:t xml:space="preserve">1. الاكتتاب في الأسهم عند التأسيس</w:t>
      </w:r>
    </w:p>
    <w:p>
      <w:pPr>
        <w:bidi/>
        <w:spacing w:after="140" w:line="320"/>
        <w:jc w:val="both"/>
      </w:pPr>
      <w:r>
        <w:rPr>
          <w:rFonts w:ascii="Arial" w:cs="Arial" w:eastAsia="Arial" w:hAnsi="Arial"/>
          <w:sz w:val="24"/>
          <w:szCs w:val="24"/>
          <w:rtl/>
        </w:rPr>
        <w:t xml:space="preserve">في هذه الحالة، يكتسب المؤسسون صفة المساهمين عند توقيعهم على عقد التأسيس واكتتابهم في الأسهم. وتشمل الإجراءات:</w:t>
      </w:r>
    </w:p>
    <w:p>
      <w:pPr>
        <w:pStyle w:val="ListParagraph"/>
        <w:numPr>
          <w:ilvl w:val="0"/>
          <w:numId w:val="2"/>
        </w:numPr>
        <w:bidi/>
        <w:spacing w:after="100" w:line="300"/>
        <w:jc w:val="right"/>
      </w:pPr>
      <w:r>
        <w:rPr>
          <w:rFonts w:ascii="Arial" w:cs="Arial" w:eastAsia="Arial" w:hAnsi="Arial"/>
          <w:sz w:val="24"/>
          <w:szCs w:val="24"/>
          <w:rtl/>
        </w:rPr>
        <w:t xml:space="preserve">التوقيع على عقد التأسيس والنظام الأساس للشركة.</w:t>
      </w:r>
    </w:p>
    <w:p>
      <w:pPr>
        <w:pStyle w:val="ListParagraph"/>
        <w:numPr>
          <w:ilvl w:val="0"/>
          <w:numId w:val="2"/>
        </w:numPr>
        <w:bidi/>
        <w:spacing w:after="100" w:line="300"/>
        <w:jc w:val="right"/>
      </w:pPr>
      <w:r>
        <w:rPr>
          <w:rFonts w:ascii="Arial" w:cs="Arial" w:eastAsia="Arial" w:hAnsi="Arial"/>
          <w:sz w:val="24"/>
          <w:szCs w:val="24"/>
          <w:rtl/>
        </w:rPr>
        <w:t xml:space="preserve">سداد القيمة المطلوبة من الأسهم المكتتب بها (لا تقل عن ربع القيمة للأسهم النقدية).</w:t>
      </w:r>
    </w:p>
    <w:p>
      <w:pPr>
        <w:pStyle w:val="ListParagraph"/>
        <w:numPr>
          <w:ilvl w:val="0"/>
          <w:numId w:val="2"/>
        </w:numPr>
        <w:bidi/>
        <w:spacing w:after="100" w:line="300"/>
        <w:jc w:val="right"/>
      </w:pPr>
      <w:r>
        <w:rPr>
          <w:rFonts w:ascii="Arial" w:cs="Arial" w:eastAsia="Arial" w:hAnsi="Arial"/>
          <w:sz w:val="24"/>
          <w:szCs w:val="24"/>
          <w:rtl/>
        </w:rPr>
        <w:t xml:space="preserve">إيداع المبالغ المسددة في حساب باسم الشركة قيد التأسيس.</w:t>
      </w:r>
    </w:p>
    <w:p>
      <w:pPr>
        <w:pStyle w:val="ListParagraph"/>
        <w:numPr>
          <w:ilvl w:val="0"/>
          <w:numId w:val="2"/>
        </w:numPr>
        <w:bidi/>
        <w:spacing w:after="100" w:line="300"/>
        <w:jc w:val="right"/>
      </w:pPr>
      <w:r>
        <w:rPr>
          <w:rFonts w:ascii="Arial" w:cs="Arial" w:eastAsia="Arial" w:hAnsi="Arial"/>
          <w:sz w:val="24"/>
          <w:szCs w:val="24"/>
          <w:rtl/>
        </w:rPr>
        <w:t xml:space="preserve">استكمال إجراءات التأسيس لدى وزارة التجارة.</w:t>
      </w:r>
    </w:p>
    <w:p>
      <w:pPr>
        <w:pStyle w:val="ListParagraph"/>
        <w:numPr>
          <w:ilvl w:val="0"/>
          <w:numId w:val="2"/>
        </w:numPr>
        <w:bidi/>
        <w:spacing w:after="100" w:line="300"/>
        <w:jc w:val="right"/>
      </w:pPr>
      <w:r>
        <w:rPr>
          <w:rFonts w:ascii="Arial" w:cs="Arial" w:eastAsia="Arial" w:hAnsi="Arial"/>
          <w:sz w:val="24"/>
          <w:szCs w:val="24"/>
          <w:rtl/>
        </w:rPr>
        <w:t xml:space="preserve">قيد المؤسسين في سجل المساهمين فور تأسيس الشركة.</w:t>
      </w:r>
    </w:p>
    <w:p>
      <w:pPr>
        <w:pStyle w:val="Heading2"/>
        <w:bidi/>
        <w:spacing w:after="160" w:before="280"/>
        <w:jc w:val="right"/>
      </w:pPr>
      <w:r>
        <w:rPr>
          <w:rFonts w:ascii="Arial" w:cs="Arial" w:eastAsia="Arial" w:hAnsi="Arial"/>
          <w:b/>
          <w:bCs/>
          <w:color w:val="2E75B6"/>
          <w:sz w:val="30"/>
          <w:szCs w:val="30"/>
          <w:rtl/>
        </w:rPr>
        <w:t xml:space="preserve">2. الاكتتاب في زيادة رأس المال</w:t>
      </w:r>
    </w:p>
    <w:p>
      <w:pPr>
        <w:bidi/>
        <w:spacing w:after="140" w:line="320"/>
        <w:jc w:val="both"/>
      </w:pPr>
      <w:r>
        <w:rPr>
          <w:rFonts w:ascii="Arial" w:cs="Arial" w:eastAsia="Arial" w:hAnsi="Arial"/>
          <w:sz w:val="24"/>
          <w:szCs w:val="24"/>
          <w:rtl/>
        </w:rPr>
        <w:t xml:space="preserve">عند قرار الشركة زيادة رأس مالها، يحق للمساهمين الحاليين الاكتتاب في الأسهم الجديدة بنسبة ما يملكون (حقوق الأولوية)، كما يمكن أن يُطرح جزء أو كل الزيادة على مساهمين جدد:</w:t>
      </w:r>
    </w:p>
    <w:p>
      <w:pPr>
        <w:pStyle w:val="Heading3"/>
        <w:bidi/>
        <w:spacing w:after="120" w:before="200"/>
        <w:jc w:val="right"/>
      </w:pPr>
      <w:r>
        <w:rPr>
          <w:rFonts w:ascii="Arial" w:cs="Arial" w:eastAsia="Arial" w:hAnsi="Arial"/>
          <w:b/>
          <w:bCs/>
          <w:color w:val="1F4E79"/>
          <w:sz w:val="26"/>
          <w:szCs w:val="26"/>
          <w:rtl/>
        </w:rPr>
        <w:t xml:space="preserve">للمساهمين الحاليين (حق الأولوية)</w:t>
      </w:r>
    </w:p>
    <w:p>
      <w:pPr>
        <w:pStyle w:val="ListParagraph"/>
        <w:numPr>
          <w:ilvl w:val="0"/>
          <w:numId w:val="3"/>
        </w:numPr>
        <w:bidi/>
        <w:spacing w:after="100" w:line="300"/>
        <w:jc w:val="right"/>
      </w:pPr>
      <w:r>
        <w:rPr>
          <w:rFonts w:ascii="Arial" w:cs="Arial" w:eastAsia="Arial" w:hAnsi="Arial"/>
          <w:sz w:val="24"/>
          <w:szCs w:val="24"/>
          <w:rtl/>
        </w:rPr>
        <w:t xml:space="preserve">يحصل كل مساهم مقيد في سجل المساهمين في نهاية يوم انعقاد الجمعية العامة غير العادية على حقوق أولوية.</w:t>
      </w:r>
    </w:p>
    <w:p>
      <w:pPr>
        <w:pStyle w:val="ListParagraph"/>
        <w:numPr>
          <w:ilvl w:val="0"/>
          <w:numId w:val="3"/>
        </w:numPr>
        <w:bidi/>
        <w:spacing w:after="100" w:line="300"/>
        <w:jc w:val="right"/>
      </w:pPr>
      <w:r>
        <w:rPr>
          <w:rFonts w:ascii="Arial" w:cs="Arial" w:eastAsia="Arial" w:hAnsi="Arial"/>
          <w:sz w:val="24"/>
          <w:szCs w:val="24"/>
          <w:rtl/>
        </w:rPr>
        <w:t xml:space="preserve">يحدد المساهم رغبته في الاكتتاب بكامل الحقوق أو جزء منها.</w:t>
      </w:r>
    </w:p>
    <w:p>
      <w:pPr>
        <w:pStyle w:val="ListParagraph"/>
        <w:numPr>
          <w:ilvl w:val="0"/>
          <w:numId w:val="3"/>
        </w:numPr>
        <w:bidi/>
        <w:spacing w:after="100" w:line="300"/>
        <w:jc w:val="right"/>
      </w:pPr>
      <w:r>
        <w:rPr>
          <w:rFonts w:ascii="Arial" w:cs="Arial" w:eastAsia="Arial" w:hAnsi="Arial"/>
          <w:sz w:val="24"/>
          <w:szCs w:val="24"/>
          <w:rtl/>
        </w:rPr>
        <w:t xml:space="preserve">يسدد قيمة الاكتتاب وفق الإجراءات المحددة.</w:t>
      </w:r>
    </w:p>
    <w:p>
      <w:pPr>
        <w:pStyle w:val="ListParagraph"/>
        <w:numPr>
          <w:ilvl w:val="0"/>
          <w:numId w:val="3"/>
        </w:numPr>
        <w:bidi/>
        <w:spacing w:after="100" w:line="300"/>
        <w:jc w:val="right"/>
      </w:pPr>
      <w:r>
        <w:rPr>
          <w:rFonts w:ascii="Arial" w:cs="Arial" w:eastAsia="Arial" w:hAnsi="Arial"/>
          <w:sz w:val="24"/>
          <w:szCs w:val="24"/>
          <w:rtl/>
        </w:rPr>
        <w:t xml:space="preserve">يُقيَّد التملك الجديد في السجل.</w:t>
      </w:r>
    </w:p>
    <w:p>
      <w:pPr>
        <w:pStyle w:val="Heading3"/>
        <w:bidi/>
        <w:spacing w:after="120" w:before="200"/>
        <w:jc w:val="right"/>
      </w:pPr>
      <w:r>
        <w:rPr>
          <w:rFonts w:ascii="Arial" w:cs="Arial" w:eastAsia="Arial" w:hAnsi="Arial"/>
          <w:b/>
          <w:bCs/>
          <w:color w:val="1F4E79"/>
          <w:sz w:val="26"/>
          <w:szCs w:val="26"/>
          <w:rtl/>
        </w:rPr>
        <w:t xml:space="preserve">للمكتتبين الجدد</w:t>
      </w:r>
    </w:p>
    <w:p>
      <w:pPr>
        <w:pStyle w:val="ListParagraph"/>
        <w:numPr>
          <w:ilvl w:val="0"/>
          <w:numId w:val="3"/>
        </w:numPr>
        <w:bidi/>
        <w:spacing w:after="100" w:line="300"/>
        <w:jc w:val="right"/>
      </w:pPr>
      <w:r>
        <w:rPr>
          <w:rFonts w:ascii="Arial" w:cs="Arial" w:eastAsia="Arial" w:hAnsi="Arial"/>
          <w:sz w:val="24"/>
          <w:szCs w:val="24"/>
          <w:rtl/>
        </w:rPr>
        <w:t xml:space="preserve">يقدم طلب الاكتتاب وفق الإعلان.</w:t>
      </w:r>
    </w:p>
    <w:p>
      <w:pPr>
        <w:pStyle w:val="ListParagraph"/>
        <w:numPr>
          <w:ilvl w:val="0"/>
          <w:numId w:val="3"/>
        </w:numPr>
        <w:bidi/>
        <w:spacing w:after="100" w:line="300"/>
        <w:jc w:val="right"/>
      </w:pPr>
      <w:r>
        <w:rPr>
          <w:rFonts w:ascii="Arial" w:cs="Arial" w:eastAsia="Arial" w:hAnsi="Arial"/>
          <w:sz w:val="24"/>
          <w:szCs w:val="24"/>
          <w:rtl/>
        </w:rPr>
        <w:t xml:space="preserve">يسدد قيمة الأسهم بالكامل.</w:t>
      </w:r>
    </w:p>
    <w:p>
      <w:pPr>
        <w:pStyle w:val="ListParagraph"/>
        <w:numPr>
          <w:ilvl w:val="0"/>
          <w:numId w:val="3"/>
        </w:numPr>
        <w:bidi/>
        <w:spacing w:after="100" w:line="300"/>
        <w:jc w:val="right"/>
      </w:pPr>
      <w:r>
        <w:rPr>
          <w:rFonts w:ascii="Arial" w:cs="Arial" w:eastAsia="Arial" w:hAnsi="Arial"/>
          <w:sz w:val="24"/>
          <w:szCs w:val="24"/>
          <w:rtl/>
        </w:rPr>
        <w:t xml:space="preserve">يُسجَّل في سجل المساهمين عند تخصيص الأسهم له.</w:t>
      </w:r>
    </w:p>
    <w:p>
      <w:pPr>
        <w:pStyle w:val="Heading2"/>
        <w:bidi/>
        <w:spacing w:after="160" w:before="280"/>
        <w:jc w:val="right"/>
      </w:pPr>
      <w:r>
        <w:rPr>
          <w:rFonts w:ascii="Arial" w:cs="Arial" w:eastAsia="Arial" w:hAnsi="Arial"/>
          <w:b/>
          <w:bCs/>
          <w:color w:val="2E75B6"/>
          <w:sz w:val="30"/>
          <w:szCs w:val="30"/>
          <w:rtl/>
        </w:rPr>
        <w:t xml:space="preserve">3. شراء الأسهم في السوق الثانوي</w:t>
      </w:r>
    </w:p>
    <w:p>
      <w:pPr>
        <w:bidi/>
        <w:spacing w:after="140" w:line="320"/>
        <w:jc w:val="both"/>
      </w:pPr>
      <w:r>
        <w:rPr>
          <w:rFonts w:ascii="Arial" w:cs="Arial" w:eastAsia="Arial" w:hAnsi="Arial"/>
          <w:sz w:val="24"/>
          <w:szCs w:val="24"/>
          <w:rtl/>
        </w:rPr>
        <w:t xml:space="preserve">بالنسبة للشركات المدرجة، يتم اكتساب صفة المساهم بشراء الأسهم عبر منصة تداول. والإجراءات هنا تكون آلية بالكامل:</w:t>
      </w:r>
    </w:p>
    <w:p>
      <w:pPr>
        <w:pStyle w:val="ListParagraph"/>
        <w:numPr>
          <w:ilvl w:val="0"/>
          <w:numId w:val="2"/>
        </w:numPr>
        <w:bidi/>
        <w:spacing w:after="100" w:line="300"/>
        <w:jc w:val="right"/>
      </w:pPr>
      <w:r>
        <w:rPr>
          <w:rFonts w:ascii="Arial" w:cs="Arial" w:eastAsia="Arial" w:hAnsi="Arial"/>
          <w:sz w:val="24"/>
          <w:szCs w:val="24"/>
          <w:rtl/>
        </w:rPr>
        <w:t xml:space="preserve">فتح حساب استثماري لدى وسيط مالي مرخص.</w:t>
      </w:r>
    </w:p>
    <w:p>
      <w:pPr>
        <w:pStyle w:val="ListParagraph"/>
        <w:numPr>
          <w:ilvl w:val="0"/>
          <w:numId w:val="2"/>
        </w:numPr>
        <w:bidi/>
        <w:spacing w:after="100" w:line="300"/>
        <w:jc w:val="right"/>
      </w:pPr>
      <w:r>
        <w:rPr>
          <w:rFonts w:ascii="Arial" w:cs="Arial" w:eastAsia="Arial" w:hAnsi="Arial"/>
          <w:sz w:val="24"/>
          <w:szCs w:val="24"/>
          <w:rtl/>
        </w:rPr>
        <w:t xml:space="preserve">فتح محفظة استثمارية لدى مركز إيداع الأوراق المالية.</w:t>
      </w:r>
    </w:p>
    <w:p>
      <w:pPr>
        <w:pStyle w:val="ListParagraph"/>
        <w:numPr>
          <w:ilvl w:val="0"/>
          <w:numId w:val="2"/>
        </w:numPr>
        <w:bidi/>
        <w:spacing w:after="100" w:line="300"/>
        <w:jc w:val="right"/>
      </w:pPr>
      <w:r>
        <w:rPr>
          <w:rFonts w:ascii="Arial" w:cs="Arial" w:eastAsia="Arial" w:hAnsi="Arial"/>
          <w:sz w:val="24"/>
          <w:szCs w:val="24"/>
          <w:rtl/>
        </w:rPr>
        <w:t xml:space="preserve">إيداع المبلغ في الحساب الاستثماري.</w:t>
      </w:r>
    </w:p>
    <w:p>
      <w:pPr>
        <w:pStyle w:val="ListParagraph"/>
        <w:numPr>
          <w:ilvl w:val="0"/>
          <w:numId w:val="2"/>
        </w:numPr>
        <w:bidi/>
        <w:spacing w:after="100" w:line="300"/>
        <w:jc w:val="right"/>
      </w:pPr>
      <w:r>
        <w:rPr>
          <w:rFonts w:ascii="Arial" w:cs="Arial" w:eastAsia="Arial" w:hAnsi="Arial"/>
          <w:sz w:val="24"/>
          <w:szCs w:val="24"/>
          <w:rtl/>
        </w:rPr>
        <w:t xml:space="preserve">تنفيذ أمر الشراء عبر الوسيط.</w:t>
      </w:r>
    </w:p>
    <w:p>
      <w:pPr>
        <w:pStyle w:val="ListParagraph"/>
        <w:numPr>
          <w:ilvl w:val="0"/>
          <w:numId w:val="2"/>
        </w:numPr>
        <w:bidi/>
        <w:spacing w:after="100" w:line="300"/>
        <w:jc w:val="right"/>
      </w:pPr>
      <w:r>
        <w:rPr>
          <w:rFonts w:ascii="Arial" w:cs="Arial" w:eastAsia="Arial" w:hAnsi="Arial"/>
          <w:sz w:val="24"/>
          <w:szCs w:val="24"/>
          <w:rtl/>
        </w:rPr>
        <w:t xml:space="preserve">التسوية الآلية للعملية (T+2 في السوق السعودي).</w:t>
      </w:r>
    </w:p>
    <w:p>
      <w:pPr>
        <w:pStyle w:val="ListParagraph"/>
        <w:numPr>
          <w:ilvl w:val="0"/>
          <w:numId w:val="2"/>
        </w:numPr>
        <w:bidi/>
        <w:spacing w:after="100" w:line="300"/>
        <w:jc w:val="right"/>
      </w:pPr>
      <w:r>
        <w:rPr>
          <w:rFonts w:ascii="Arial" w:cs="Arial" w:eastAsia="Arial" w:hAnsi="Arial"/>
          <w:sz w:val="24"/>
          <w:szCs w:val="24"/>
          <w:rtl/>
        </w:rPr>
        <w:t xml:space="preserve">تحديث سجل المساهمين تلقائياً لدى مركز إيداع.</w:t>
      </w:r>
    </w:p>
    <w:p>
      <w:pPr>
        <w:pStyle w:val="Heading2"/>
        <w:bidi/>
        <w:spacing w:after="160" w:before="280"/>
        <w:jc w:val="right"/>
      </w:pPr>
      <w:r>
        <w:rPr>
          <w:rFonts w:ascii="Arial" w:cs="Arial" w:eastAsia="Arial" w:hAnsi="Arial"/>
          <w:b/>
          <w:bCs/>
          <w:color w:val="2E75B6"/>
          <w:sz w:val="30"/>
          <w:szCs w:val="30"/>
          <w:rtl/>
        </w:rPr>
        <w:t xml:space="preserve">4. نقل الملكية في الشركات غير المدرجة</w:t>
      </w:r>
    </w:p>
    <w:p>
      <w:pPr>
        <w:bidi/>
        <w:spacing w:after="140" w:line="320"/>
        <w:jc w:val="both"/>
      </w:pPr>
      <w:r>
        <w:rPr>
          <w:rFonts w:ascii="Arial" w:cs="Arial" w:eastAsia="Arial" w:hAnsi="Arial"/>
          <w:sz w:val="24"/>
          <w:szCs w:val="24"/>
          <w:rtl/>
        </w:rPr>
        <w:t xml:space="preserve">في الشركات غير المدرجة، يتم نقل الملكية بإجراءات يدوية وفق ضوابط محددة:</w:t>
      </w:r>
    </w:p>
    <w:p>
      <w:pPr>
        <w:pStyle w:val="ListParagraph"/>
        <w:numPr>
          <w:ilvl w:val="0"/>
          <w:numId w:val="2"/>
        </w:numPr>
        <w:bidi/>
        <w:spacing w:after="100" w:line="300"/>
        <w:jc w:val="right"/>
      </w:pPr>
      <w:r>
        <w:rPr>
          <w:rFonts w:ascii="Arial" w:cs="Arial" w:eastAsia="Arial" w:hAnsi="Arial"/>
          <w:sz w:val="24"/>
          <w:szCs w:val="24"/>
          <w:rtl/>
        </w:rPr>
        <w:t xml:space="preserve">اتفاق بين البائع والمشتري على شروط النقل.</w:t>
      </w:r>
    </w:p>
    <w:p>
      <w:pPr>
        <w:pStyle w:val="ListParagraph"/>
        <w:numPr>
          <w:ilvl w:val="0"/>
          <w:numId w:val="2"/>
        </w:numPr>
        <w:bidi/>
        <w:spacing w:after="100" w:line="300"/>
        <w:jc w:val="right"/>
      </w:pPr>
      <w:r>
        <w:rPr>
          <w:rFonts w:ascii="Arial" w:cs="Arial" w:eastAsia="Arial" w:hAnsi="Arial"/>
          <w:sz w:val="24"/>
          <w:szCs w:val="24"/>
          <w:rtl/>
        </w:rPr>
        <w:t xml:space="preserve">تعبئة نموذج نقل الملكية المعتمد.</w:t>
      </w:r>
    </w:p>
    <w:p>
      <w:pPr>
        <w:pStyle w:val="ListParagraph"/>
        <w:numPr>
          <w:ilvl w:val="0"/>
          <w:numId w:val="2"/>
        </w:numPr>
        <w:bidi/>
        <w:spacing w:after="100" w:line="300"/>
        <w:jc w:val="right"/>
      </w:pPr>
      <w:r>
        <w:rPr>
          <w:rFonts w:ascii="Arial" w:cs="Arial" w:eastAsia="Arial" w:hAnsi="Arial"/>
          <w:sz w:val="24"/>
          <w:szCs w:val="24"/>
          <w:rtl/>
        </w:rPr>
        <w:t xml:space="preserve">توثيق التوقيعات لدى الجهات المختصة (كاتب العدل أو الأشخاص المرخص لهم).</w:t>
      </w:r>
    </w:p>
    <w:p>
      <w:pPr>
        <w:pStyle w:val="ListParagraph"/>
        <w:numPr>
          <w:ilvl w:val="0"/>
          <w:numId w:val="2"/>
        </w:numPr>
        <w:bidi/>
        <w:spacing w:after="100" w:line="300"/>
        <w:jc w:val="right"/>
      </w:pPr>
      <w:r>
        <w:rPr>
          <w:rFonts w:ascii="Arial" w:cs="Arial" w:eastAsia="Arial" w:hAnsi="Arial"/>
          <w:sz w:val="24"/>
          <w:szCs w:val="24"/>
          <w:rtl/>
        </w:rPr>
        <w:t xml:space="preserve">تقديم طلب النقل إلى رئيس مجلس إدارة الشركة أو الجهة المسؤولة عن السجل.</w:t>
      </w:r>
    </w:p>
    <w:p>
      <w:pPr>
        <w:pStyle w:val="ListParagraph"/>
        <w:numPr>
          <w:ilvl w:val="0"/>
          <w:numId w:val="2"/>
        </w:numPr>
        <w:bidi/>
        <w:spacing w:after="100" w:line="300"/>
        <w:jc w:val="right"/>
      </w:pPr>
      <w:r>
        <w:rPr>
          <w:rFonts w:ascii="Arial" w:cs="Arial" w:eastAsia="Arial" w:hAnsi="Arial"/>
          <w:sz w:val="24"/>
          <w:szCs w:val="24"/>
          <w:rtl/>
        </w:rPr>
        <w:t xml:space="preserve">مراجعة الطلب والتحقق من اكتمال المستندات.</w:t>
      </w:r>
    </w:p>
    <w:p>
      <w:pPr>
        <w:pStyle w:val="ListParagraph"/>
        <w:numPr>
          <w:ilvl w:val="0"/>
          <w:numId w:val="2"/>
        </w:numPr>
        <w:bidi/>
        <w:spacing w:after="100" w:line="300"/>
        <w:jc w:val="right"/>
      </w:pPr>
      <w:r>
        <w:rPr>
          <w:rFonts w:ascii="Arial" w:cs="Arial" w:eastAsia="Arial" w:hAnsi="Arial"/>
          <w:sz w:val="24"/>
          <w:szCs w:val="24"/>
          <w:rtl/>
        </w:rPr>
        <w:t xml:space="preserve">القيد في السجل وإخطار البائع والمشتري.</w:t>
      </w:r>
    </w:p>
    <w:p>
      <w:pPr>
        <w:pStyle w:val="ListParagraph"/>
        <w:numPr>
          <w:ilvl w:val="0"/>
          <w:numId w:val="2"/>
        </w:numPr>
        <w:bidi/>
        <w:spacing w:after="100" w:line="300"/>
        <w:jc w:val="right"/>
      </w:pPr>
      <w:r>
        <w:rPr>
          <w:rFonts w:ascii="Arial" w:cs="Arial" w:eastAsia="Arial" w:hAnsi="Arial"/>
          <w:sz w:val="24"/>
          <w:szCs w:val="24"/>
          <w:rtl/>
        </w:rPr>
        <w:t xml:space="preserve">التحديث في سجل المساهمين لدى وزارة التجارة (للشركات المساهمة المبسطة).</w:t>
      </w:r>
    </w:p>
    <w:p>
      <w:pPr>
        <w:pStyle w:val="Heading2"/>
        <w:bidi/>
        <w:spacing w:after="160" w:before="280"/>
        <w:jc w:val="right"/>
      </w:pPr>
      <w:r>
        <w:rPr>
          <w:rFonts w:ascii="Arial" w:cs="Arial" w:eastAsia="Arial" w:hAnsi="Arial"/>
          <w:b/>
          <w:bCs/>
          <w:color w:val="2E75B6"/>
          <w:sz w:val="30"/>
          <w:szCs w:val="30"/>
          <w:rtl/>
        </w:rPr>
        <w:t xml:space="preserve">5. اكتساب الأسهم بطرق أخرى</w:t>
      </w:r>
    </w:p>
    <w:p>
      <w:pPr>
        <w:pStyle w:val="ListParagraph"/>
        <w:numPr>
          <w:ilvl w:val="0"/>
          <w:numId w:val="3"/>
        </w:numPr>
        <w:bidi/>
        <w:spacing w:after="100" w:line="300"/>
        <w:jc w:val="right"/>
      </w:pPr>
      <w:r>
        <w:rPr>
          <w:rFonts w:ascii="Arial" w:cs="Arial" w:eastAsia="Arial" w:hAnsi="Arial"/>
          <w:sz w:val="24"/>
          <w:szCs w:val="24"/>
          <w:rtl/>
        </w:rPr>
        <w:t xml:space="preserve">الإرث: انتقال الأسهم للورثة بصدور صك حصر إرث وقسمة شرعية.</w:t>
      </w:r>
    </w:p>
    <w:p>
      <w:pPr>
        <w:pStyle w:val="ListParagraph"/>
        <w:numPr>
          <w:ilvl w:val="0"/>
          <w:numId w:val="3"/>
        </w:numPr>
        <w:bidi/>
        <w:spacing w:after="100" w:line="300"/>
        <w:jc w:val="right"/>
      </w:pPr>
      <w:r>
        <w:rPr>
          <w:rFonts w:ascii="Arial" w:cs="Arial" w:eastAsia="Arial" w:hAnsi="Arial"/>
          <w:sz w:val="24"/>
          <w:szCs w:val="24"/>
          <w:rtl/>
        </w:rPr>
        <w:t xml:space="preserve">الهبة: تحويل الأسهم بعقد هبة موثق.</w:t>
      </w:r>
    </w:p>
    <w:p>
      <w:pPr>
        <w:pStyle w:val="ListParagraph"/>
        <w:numPr>
          <w:ilvl w:val="0"/>
          <w:numId w:val="3"/>
        </w:numPr>
        <w:bidi/>
        <w:spacing w:after="100" w:line="300"/>
        <w:jc w:val="right"/>
      </w:pPr>
      <w:r>
        <w:rPr>
          <w:rFonts w:ascii="Arial" w:cs="Arial" w:eastAsia="Arial" w:hAnsi="Arial"/>
          <w:sz w:val="24"/>
          <w:szCs w:val="24"/>
          <w:rtl/>
        </w:rPr>
        <w:t xml:space="preserve">الوصية: تنفيذ وصية المتوفى وفق الأحكام الشرعية والنظامية.</w:t>
      </w:r>
    </w:p>
    <w:p>
      <w:pPr>
        <w:pStyle w:val="ListParagraph"/>
        <w:numPr>
          <w:ilvl w:val="0"/>
          <w:numId w:val="3"/>
        </w:numPr>
        <w:bidi/>
        <w:spacing w:after="100" w:line="300"/>
        <w:jc w:val="right"/>
      </w:pPr>
      <w:r>
        <w:rPr>
          <w:rFonts w:ascii="Arial" w:cs="Arial" w:eastAsia="Arial" w:hAnsi="Arial"/>
          <w:sz w:val="24"/>
          <w:szCs w:val="24"/>
          <w:rtl/>
        </w:rPr>
        <w:t xml:space="preserve">الاندماج: عند اندماج شركة في أخرى وانتقال أسهم المساهمين.</w:t>
      </w:r>
    </w:p>
    <w:p>
      <w:pPr>
        <w:pStyle w:val="ListParagraph"/>
        <w:numPr>
          <w:ilvl w:val="0"/>
          <w:numId w:val="3"/>
        </w:numPr>
        <w:bidi/>
        <w:spacing w:after="100" w:line="300"/>
        <w:jc w:val="right"/>
      </w:pPr>
      <w:r>
        <w:rPr>
          <w:rFonts w:ascii="Arial" w:cs="Arial" w:eastAsia="Arial" w:hAnsi="Arial"/>
          <w:sz w:val="24"/>
          <w:szCs w:val="24"/>
          <w:rtl/>
        </w:rPr>
        <w:t xml:space="preserve">التنفيذ القضائي: بيع الأسهم في المزاد العلني بحكم قضائي.</w:t>
      </w:r>
    </w:p>
    <w:p>
      <w:pPr>
        <w:pStyle w:val="ListParagraph"/>
        <w:numPr>
          <w:ilvl w:val="0"/>
          <w:numId w:val="3"/>
        </w:numPr>
        <w:bidi/>
        <w:spacing w:after="100" w:line="300"/>
        <w:jc w:val="right"/>
      </w:pPr>
      <w:r>
        <w:rPr>
          <w:rFonts w:ascii="Arial" w:cs="Arial" w:eastAsia="Arial" w:hAnsi="Arial"/>
          <w:sz w:val="24"/>
          <w:szCs w:val="24"/>
          <w:rtl/>
        </w:rPr>
        <w:t xml:space="preserve">التحويل: في حالات تحويل الأسهم الممتازة إلى عادية أو العكس.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قانونية مهمة</w:t>
            </w:r>
          </w:p>
          <w:p>
            <w:pPr>
              <w:bidi/>
              <w:spacing w:line="300"/>
              <w:jc w:val="both"/>
            </w:pPr>
            <w:r>
              <w:rPr>
                <w:rFonts w:ascii="Arial" w:cs="Arial" w:eastAsia="Arial" w:hAnsi="Arial"/>
                <w:sz w:val="24"/>
                <w:szCs w:val="24"/>
                <w:rtl/>
              </w:rPr>
              <w:t xml:space="preserve">لا تكتمل أي عملية لاكتساب الأسهم - مهما كان مصدرها - إلا بقيدها في سجل المساهمين. فالقيد في السجل هو الإثبات القانوني للصفة، وبه تنتقل الحقوق إلى المالك الجديد. وحتى ذلك التاريخ، تبقى الحقوق للمالك القديم المسجل في السجل.</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المرحلة الثانية: مرحلة الاحتفاظ بالأسهم وممارسة الحقوق</w:t>
      </w:r>
    </w:p>
    <w:p>
      <w:pPr>
        <w:bidi/>
        <w:spacing w:after="140" w:line="320"/>
        <w:jc w:val="both"/>
      </w:pPr>
      <w:r>
        <w:rPr>
          <w:rFonts w:ascii="Arial" w:cs="Arial" w:eastAsia="Arial" w:hAnsi="Arial"/>
          <w:sz w:val="24"/>
          <w:szCs w:val="24"/>
          <w:rtl/>
        </w:rPr>
        <w:t xml:space="preserve">بمجرد قيد المساهم في السجل، يبدأ مرحلة الاحتفاظ بالأسهم وممارسة الحقوق المرتبطة بها. وهذه المرحلة قد تستمر لسنوات أو عقود، وتتطلب من الشركة تواصلاً مستمراً مع المساهم وتحديثاً دائماً لبياناته.</w:t>
      </w:r>
    </w:p>
    <w:p>
      <w:pPr>
        <w:pStyle w:val="Heading2"/>
        <w:bidi/>
        <w:spacing w:after="160" w:before="280"/>
        <w:jc w:val="right"/>
      </w:pPr>
      <w:r>
        <w:rPr>
          <w:rFonts w:ascii="Arial" w:cs="Arial" w:eastAsia="Arial" w:hAnsi="Arial"/>
          <w:b/>
          <w:bCs/>
          <w:color w:val="2E75B6"/>
          <w:sz w:val="30"/>
          <w:szCs w:val="30"/>
          <w:rtl/>
        </w:rPr>
        <w:t xml:space="preserve">1. التواصل بين الشركة والمساهم</w:t>
      </w:r>
    </w:p>
    <w:p>
      <w:pPr>
        <w:bidi/>
        <w:spacing w:after="140" w:line="320"/>
        <w:jc w:val="both"/>
      </w:pPr>
      <w:r>
        <w:rPr>
          <w:rFonts w:ascii="Arial" w:cs="Arial" w:eastAsia="Arial" w:hAnsi="Arial"/>
          <w:sz w:val="24"/>
          <w:szCs w:val="24"/>
          <w:rtl/>
        </w:rPr>
        <w:t xml:space="preserve">تعتمد جودة العلاقة بين الشركة ومساهميها على قنوات تواصل واضحة وفعّالة. وتشمل القنوات الرسمية المعتمدة:</w:t>
      </w:r>
    </w:p>
    <w:p>
      <w:pPr>
        <w:pStyle w:val="ListParagraph"/>
        <w:numPr>
          <w:ilvl w:val="0"/>
          <w:numId w:val="3"/>
        </w:numPr>
        <w:bidi/>
        <w:spacing w:after="100" w:line="300"/>
        <w:jc w:val="right"/>
      </w:pPr>
      <w:r>
        <w:rPr>
          <w:rFonts w:ascii="Arial" w:cs="Arial" w:eastAsia="Arial" w:hAnsi="Arial"/>
          <w:sz w:val="24"/>
          <w:szCs w:val="24"/>
          <w:rtl/>
        </w:rPr>
        <w:t xml:space="preserve">الموقع الإلكتروني الرسمي للشركة (Investor Relations).</w:t>
      </w:r>
    </w:p>
    <w:p>
      <w:pPr>
        <w:pStyle w:val="ListParagraph"/>
        <w:numPr>
          <w:ilvl w:val="0"/>
          <w:numId w:val="3"/>
        </w:numPr>
        <w:bidi/>
        <w:spacing w:after="100" w:line="300"/>
        <w:jc w:val="right"/>
      </w:pPr>
      <w:r>
        <w:rPr>
          <w:rFonts w:ascii="Arial" w:cs="Arial" w:eastAsia="Arial" w:hAnsi="Arial"/>
          <w:sz w:val="24"/>
          <w:szCs w:val="24"/>
          <w:rtl/>
        </w:rPr>
        <w:t xml:space="preserve">نظام "تداولاتي" لمتابعة الإفصاحات للشركات المدرجة.</w:t>
      </w:r>
    </w:p>
    <w:p>
      <w:pPr>
        <w:pStyle w:val="ListParagraph"/>
        <w:numPr>
          <w:ilvl w:val="0"/>
          <w:numId w:val="3"/>
        </w:numPr>
        <w:bidi/>
        <w:spacing w:after="100" w:line="300"/>
        <w:jc w:val="right"/>
      </w:pPr>
      <w:r>
        <w:rPr>
          <w:rFonts w:ascii="Arial" w:cs="Arial" w:eastAsia="Arial" w:hAnsi="Arial"/>
          <w:sz w:val="24"/>
          <w:szCs w:val="24"/>
          <w:rtl/>
        </w:rPr>
        <w:t xml:space="preserve">الإفصاحات الرسمية عبر موقع السوق المالية (تداول).</w:t>
      </w:r>
    </w:p>
    <w:p>
      <w:pPr>
        <w:pStyle w:val="ListParagraph"/>
        <w:numPr>
          <w:ilvl w:val="0"/>
          <w:numId w:val="3"/>
        </w:numPr>
        <w:bidi/>
        <w:spacing w:after="100" w:line="300"/>
        <w:jc w:val="right"/>
      </w:pPr>
      <w:r>
        <w:rPr>
          <w:rFonts w:ascii="Arial" w:cs="Arial" w:eastAsia="Arial" w:hAnsi="Arial"/>
          <w:sz w:val="24"/>
          <w:szCs w:val="24"/>
          <w:rtl/>
        </w:rPr>
        <w:t xml:space="preserve">التقارير السنوية والربعية المنشورة.</w:t>
      </w:r>
    </w:p>
    <w:p>
      <w:pPr>
        <w:pStyle w:val="ListParagraph"/>
        <w:numPr>
          <w:ilvl w:val="0"/>
          <w:numId w:val="3"/>
        </w:numPr>
        <w:bidi/>
        <w:spacing w:after="100" w:line="300"/>
        <w:jc w:val="right"/>
      </w:pPr>
      <w:r>
        <w:rPr>
          <w:rFonts w:ascii="Arial" w:cs="Arial" w:eastAsia="Arial" w:hAnsi="Arial"/>
          <w:sz w:val="24"/>
          <w:szCs w:val="24"/>
          <w:rtl/>
        </w:rPr>
        <w:t xml:space="preserve">اجتماعات المحللين ومستثمرين.</w:t>
      </w:r>
    </w:p>
    <w:p>
      <w:pPr>
        <w:pStyle w:val="ListParagraph"/>
        <w:numPr>
          <w:ilvl w:val="0"/>
          <w:numId w:val="3"/>
        </w:numPr>
        <w:bidi/>
        <w:spacing w:after="100" w:line="300"/>
        <w:jc w:val="right"/>
      </w:pPr>
      <w:r>
        <w:rPr>
          <w:rFonts w:ascii="Arial" w:cs="Arial" w:eastAsia="Arial" w:hAnsi="Arial"/>
          <w:sz w:val="24"/>
          <w:szCs w:val="24"/>
          <w:rtl/>
        </w:rPr>
        <w:t xml:space="preserve">البريد الإلكتروني والرسائل النصية للمساهمين المسجلين.</w:t>
      </w:r>
    </w:p>
    <w:p>
      <w:pPr>
        <w:pStyle w:val="Heading2"/>
        <w:bidi/>
        <w:spacing w:after="160" w:before="280"/>
        <w:jc w:val="right"/>
      </w:pPr>
      <w:r>
        <w:rPr>
          <w:rFonts w:ascii="Arial" w:cs="Arial" w:eastAsia="Arial" w:hAnsi="Arial"/>
          <w:b/>
          <w:bCs/>
          <w:color w:val="2E75B6"/>
          <w:sz w:val="30"/>
          <w:szCs w:val="30"/>
          <w:rtl/>
        </w:rPr>
        <w:t xml:space="preserve">2. توزيعات الأرباح</w:t>
      </w:r>
    </w:p>
    <w:p>
      <w:pPr>
        <w:bidi/>
        <w:spacing w:after="140" w:line="320"/>
        <w:jc w:val="both"/>
      </w:pPr>
      <w:r>
        <w:rPr>
          <w:rFonts w:ascii="Arial" w:cs="Arial" w:eastAsia="Arial" w:hAnsi="Arial"/>
          <w:sz w:val="24"/>
          <w:szCs w:val="24"/>
          <w:rtl/>
        </w:rPr>
        <w:t xml:space="preserve">توزيعات الأرباح هي إحدى أهم المنافع التي يحصل عليها المساهم خلال فترة احتفاظه بالأسهم. ولها دورة كاملة بدءاً من التوصية وانتهاءً بالصرف:</w:t>
      </w:r>
    </w:p>
    <w:p>
      <w:pPr>
        <w:pStyle w:val="ListParagraph"/>
        <w:numPr>
          <w:ilvl w:val="0"/>
          <w:numId w:val="2"/>
        </w:numPr>
        <w:bidi/>
        <w:spacing w:after="100" w:line="300"/>
        <w:jc w:val="right"/>
      </w:pPr>
      <w:r>
        <w:rPr>
          <w:rFonts w:ascii="Arial" w:cs="Arial" w:eastAsia="Arial" w:hAnsi="Arial"/>
          <w:sz w:val="24"/>
          <w:szCs w:val="24"/>
          <w:rtl/>
        </w:rPr>
        <w:t xml:space="preserve">توصية مجلس الإدارة بتوزيع أرباح بناءً على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موافقة الجمعية العامة العادية على التوزيع المقترح.</w:t>
      </w:r>
    </w:p>
    <w:p>
      <w:pPr>
        <w:pStyle w:val="ListParagraph"/>
        <w:numPr>
          <w:ilvl w:val="0"/>
          <w:numId w:val="2"/>
        </w:numPr>
        <w:bidi/>
        <w:spacing w:after="100" w:line="300"/>
        <w:jc w:val="right"/>
      </w:pPr>
      <w:r>
        <w:rPr>
          <w:rFonts w:ascii="Arial" w:cs="Arial" w:eastAsia="Arial" w:hAnsi="Arial"/>
          <w:sz w:val="24"/>
          <w:szCs w:val="24"/>
          <w:rtl/>
        </w:rPr>
        <w:t xml:space="preserve">تحديد تاريخ الأحقية (Record Date) وتاريخ الاستحقاق.</w:t>
      </w:r>
    </w:p>
    <w:p>
      <w:pPr>
        <w:pStyle w:val="ListParagraph"/>
        <w:numPr>
          <w:ilvl w:val="0"/>
          <w:numId w:val="2"/>
        </w:numPr>
        <w:bidi/>
        <w:spacing w:after="100" w:line="300"/>
        <w:jc w:val="right"/>
      </w:pPr>
      <w:r>
        <w:rPr>
          <w:rFonts w:ascii="Arial" w:cs="Arial" w:eastAsia="Arial" w:hAnsi="Arial"/>
          <w:sz w:val="24"/>
          <w:szCs w:val="24"/>
          <w:rtl/>
        </w:rPr>
        <w:t xml:space="preserve">الإفصاح للجهات التنظيمية وللمساهمين بكامل التفاصيل.</w:t>
      </w:r>
    </w:p>
    <w:p>
      <w:pPr>
        <w:pStyle w:val="ListParagraph"/>
        <w:numPr>
          <w:ilvl w:val="0"/>
          <w:numId w:val="2"/>
        </w:numPr>
        <w:bidi/>
        <w:spacing w:after="100" w:line="300"/>
        <w:jc w:val="right"/>
      </w:pPr>
      <w:r>
        <w:rPr>
          <w:rFonts w:ascii="Arial" w:cs="Arial" w:eastAsia="Arial" w:hAnsi="Arial"/>
          <w:sz w:val="24"/>
          <w:szCs w:val="24"/>
          <w:rtl/>
        </w:rPr>
        <w:t xml:space="preserve">إعداد قائمة المستحقين من سجل المساهمين.</w:t>
      </w:r>
    </w:p>
    <w:p>
      <w:pPr>
        <w:pStyle w:val="ListParagraph"/>
        <w:numPr>
          <w:ilvl w:val="0"/>
          <w:numId w:val="2"/>
        </w:numPr>
        <w:bidi/>
        <w:spacing w:after="100" w:line="300"/>
        <w:jc w:val="right"/>
      </w:pPr>
      <w:r>
        <w:rPr>
          <w:rFonts w:ascii="Arial" w:cs="Arial" w:eastAsia="Arial" w:hAnsi="Arial"/>
          <w:sz w:val="24"/>
          <w:szCs w:val="24"/>
          <w:rtl/>
        </w:rPr>
        <w:t xml:space="preserve">احتساب نصيب كل مساهم بحسب عدد أسهمه وفئتها.</w:t>
      </w:r>
    </w:p>
    <w:p>
      <w:pPr>
        <w:pStyle w:val="ListParagraph"/>
        <w:numPr>
          <w:ilvl w:val="0"/>
          <w:numId w:val="2"/>
        </w:numPr>
        <w:bidi/>
        <w:spacing w:after="100" w:line="300"/>
        <w:jc w:val="right"/>
      </w:pPr>
      <w:r>
        <w:rPr>
          <w:rFonts w:ascii="Arial" w:cs="Arial" w:eastAsia="Arial" w:hAnsi="Arial"/>
          <w:sz w:val="24"/>
          <w:szCs w:val="24"/>
          <w:rtl/>
        </w:rPr>
        <w:t xml:space="preserve">صرف التوزيعات عبر الحسابات المصرفية المسجلة أو الآليات المعتمدة.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معلومة محورية</w:t>
            </w:r>
          </w:p>
          <w:p>
            <w:pPr>
              <w:bidi/>
              <w:spacing w:line="300"/>
              <w:jc w:val="both"/>
            </w:pPr>
            <w:r>
              <w:rPr>
                <w:rFonts w:ascii="Arial" w:cs="Arial" w:eastAsia="Arial" w:hAnsi="Arial"/>
                <w:sz w:val="24"/>
                <w:szCs w:val="24"/>
                <w:rtl/>
              </w:rPr>
              <w:t xml:space="preserve">في الشركات المدرجة، يقوم مركز إيداع الأوراق المالية بإدارة عملية توزيع الأرباح بالكامل، بدءاً من إعداد قائمة المستحقين في تاريخ الأحقية، إلى صرف المبالغ في الحسابات المسجلة. أما في الشركات غير المدرجة، فتتولى الشركة نفسها هذه الإجراءات أو تكلّف بها بنكاً محدداً.</w:t>
            </w:r>
          </w:p>
        </w:tc>
      </w:tr>
    </w:tbl>
    <w:p>
      <w:pPr>
        <w:pStyle w:val="Heading2"/>
        <w:bidi/>
        <w:spacing w:after="160" w:before="280"/>
        <w:jc w:val="right"/>
      </w:pPr>
      <w:r>
        <w:rPr>
          <w:rFonts w:ascii="Arial" w:cs="Arial" w:eastAsia="Arial" w:hAnsi="Arial"/>
          <w:b/>
          <w:bCs/>
          <w:color w:val="2E75B6"/>
          <w:sz w:val="30"/>
          <w:szCs w:val="30"/>
          <w:rtl/>
        </w:rPr>
        <w:t xml:space="preserve">3. حضور الجمعيات والتصويت</w:t>
      </w:r>
    </w:p>
    <w:p>
      <w:pPr>
        <w:bidi/>
        <w:spacing w:after="140" w:line="320"/>
        <w:jc w:val="both"/>
      </w:pPr>
      <w:r>
        <w:rPr>
          <w:rFonts w:ascii="Arial" w:cs="Arial" w:eastAsia="Arial" w:hAnsi="Arial"/>
          <w:sz w:val="24"/>
          <w:szCs w:val="24"/>
          <w:rtl/>
        </w:rPr>
        <w:t xml:space="preserve">ممارسة حق التصويت في الجمعيات العامة هي أحد أهم تجليات صفة المساهم. ويمر التصويت بمراحل تشمل:</w:t>
      </w:r>
    </w:p>
    <w:p>
      <w:pPr>
        <w:pStyle w:val="ListParagraph"/>
        <w:numPr>
          <w:ilvl w:val="0"/>
          <w:numId w:val="3"/>
        </w:numPr>
        <w:bidi/>
        <w:spacing w:after="100" w:line="300"/>
        <w:jc w:val="right"/>
      </w:pPr>
      <w:r>
        <w:rPr>
          <w:rFonts w:ascii="Arial" w:cs="Arial" w:eastAsia="Arial" w:hAnsi="Arial"/>
          <w:sz w:val="24"/>
          <w:szCs w:val="24"/>
          <w:rtl/>
        </w:rPr>
        <w:t xml:space="preserve">استلام الدعوة الرسمية لانعقاد الجمعية.</w:t>
      </w:r>
    </w:p>
    <w:p>
      <w:pPr>
        <w:pStyle w:val="ListParagraph"/>
        <w:numPr>
          <w:ilvl w:val="0"/>
          <w:numId w:val="3"/>
        </w:numPr>
        <w:bidi/>
        <w:spacing w:after="100" w:line="300"/>
        <w:jc w:val="right"/>
      </w:pPr>
      <w:r>
        <w:rPr>
          <w:rFonts w:ascii="Arial" w:cs="Arial" w:eastAsia="Arial" w:hAnsi="Arial"/>
          <w:sz w:val="24"/>
          <w:szCs w:val="24"/>
          <w:rtl/>
        </w:rPr>
        <w:t xml:space="preserve">الاطلاع على جدول الأعمال والوثائق المرفقة.</w:t>
      </w:r>
    </w:p>
    <w:p>
      <w:pPr>
        <w:pStyle w:val="ListParagraph"/>
        <w:numPr>
          <w:ilvl w:val="0"/>
          <w:numId w:val="3"/>
        </w:numPr>
        <w:bidi/>
        <w:spacing w:after="100" w:line="300"/>
        <w:jc w:val="right"/>
      </w:pPr>
      <w:r>
        <w:rPr>
          <w:rFonts w:ascii="Arial" w:cs="Arial" w:eastAsia="Arial" w:hAnsi="Arial"/>
          <w:sz w:val="24"/>
          <w:szCs w:val="24"/>
          <w:rtl/>
        </w:rPr>
        <w:t xml:space="preserve">التسجيل المسبق للحضور أو إصدار التوكيل.</w:t>
      </w:r>
    </w:p>
    <w:p>
      <w:pPr>
        <w:pStyle w:val="ListParagraph"/>
        <w:numPr>
          <w:ilvl w:val="0"/>
          <w:numId w:val="3"/>
        </w:numPr>
        <w:bidi/>
        <w:spacing w:after="100" w:line="300"/>
        <w:jc w:val="right"/>
      </w:pPr>
      <w:r>
        <w:rPr>
          <w:rFonts w:ascii="Arial" w:cs="Arial" w:eastAsia="Arial" w:hAnsi="Arial"/>
          <w:sz w:val="24"/>
          <w:szCs w:val="24"/>
          <w:rtl/>
        </w:rPr>
        <w:t xml:space="preserve">الحضور الفعلي أو الافتراضي للجمعية.</w:t>
      </w:r>
    </w:p>
    <w:p>
      <w:pPr>
        <w:pStyle w:val="ListParagraph"/>
        <w:numPr>
          <w:ilvl w:val="0"/>
          <w:numId w:val="3"/>
        </w:numPr>
        <w:bidi/>
        <w:spacing w:after="100" w:line="300"/>
        <w:jc w:val="right"/>
      </w:pPr>
      <w:r>
        <w:rPr>
          <w:rFonts w:ascii="Arial" w:cs="Arial" w:eastAsia="Arial" w:hAnsi="Arial"/>
          <w:sz w:val="24"/>
          <w:szCs w:val="24"/>
          <w:rtl/>
        </w:rPr>
        <w:t xml:space="preserve">التصويت على البنود وفق الآليات المعتمدة.</w:t>
      </w:r>
    </w:p>
    <w:p>
      <w:pPr>
        <w:pStyle w:val="ListParagraph"/>
        <w:numPr>
          <w:ilvl w:val="0"/>
          <w:numId w:val="3"/>
        </w:numPr>
        <w:bidi/>
        <w:spacing w:after="100" w:line="300"/>
        <w:jc w:val="right"/>
      </w:pPr>
      <w:r>
        <w:rPr>
          <w:rFonts w:ascii="Arial" w:cs="Arial" w:eastAsia="Arial" w:hAnsi="Arial"/>
          <w:sz w:val="24"/>
          <w:szCs w:val="24"/>
          <w:rtl/>
        </w:rPr>
        <w:t xml:space="preserve">استلام محضر الجمعية بنتائج التصويت.</w:t>
      </w:r>
    </w:p>
    <w:p>
      <w:pPr>
        <w:pStyle w:val="Heading2"/>
        <w:bidi/>
        <w:spacing w:after="160" w:before="280"/>
        <w:jc w:val="right"/>
      </w:pPr>
      <w:r>
        <w:rPr>
          <w:rFonts w:ascii="Arial" w:cs="Arial" w:eastAsia="Arial" w:hAnsi="Arial"/>
          <w:b/>
          <w:bCs/>
          <w:color w:val="2E75B6"/>
          <w:sz w:val="30"/>
          <w:szCs w:val="30"/>
          <w:rtl/>
        </w:rPr>
        <w:t xml:space="preserve">4. تحديث بيانات المساهم</w:t>
      </w:r>
    </w:p>
    <w:p>
      <w:pPr>
        <w:bidi/>
        <w:spacing w:after="140" w:line="320"/>
        <w:jc w:val="both"/>
      </w:pPr>
      <w:r>
        <w:rPr>
          <w:rFonts w:ascii="Arial" w:cs="Arial" w:eastAsia="Arial" w:hAnsi="Arial"/>
          <w:sz w:val="24"/>
          <w:szCs w:val="24"/>
          <w:rtl/>
        </w:rPr>
        <w:t xml:space="preserve">من واجبات المساهم تحديث بياناته فور تغيرها، ويمكن أن يشمل ذلك:</w:t>
      </w:r>
    </w:p>
    <w:p>
      <w:pPr>
        <w:pStyle w:val="ListParagraph"/>
        <w:numPr>
          <w:ilvl w:val="0"/>
          <w:numId w:val="3"/>
        </w:numPr>
        <w:bidi/>
        <w:spacing w:after="100" w:line="300"/>
        <w:jc w:val="right"/>
      </w:pPr>
      <w:r>
        <w:rPr>
          <w:rFonts w:ascii="Arial" w:cs="Arial" w:eastAsia="Arial" w:hAnsi="Arial"/>
          <w:sz w:val="24"/>
          <w:szCs w:val="24"/>
          <w:rtl/>
        </w:rPr>
        <w:t xml:space="preserve">تغيير العنوان الوطني أو عناوين المراسلة.</w:t>
      </w:r>
    </w:p>
    <w:p>
      <w:pPr>
        <w:pStyle w:val="ListParagraph"/>
        <w:numPr>
          <w:ilvl w:val="0"/>
          <w:numId w:val="3"/>
        </w:numPr>
        <w:bidi/>
        <w:spacing w:after="100" w:line="300"/>
        <w:jc w:val="right"/>
      </w:pPr>
      <w:r>
        <w:rPr>
          <w:rFonts w:ascii="Arial" w:cs="Arial" w:eastAsia="Arial" w:hAnsi="Arial"/>
          <w:sz w:val="24"/>
          <w:szCs w:val="24"/>
          <w:rtl/>
        </w:rPr>
        <w:t xml:space="preserve">تغيير رقم الجوال أو البريد الإلكتروني.</w:t>
      </w:r>
    </w:p>
    <w:p>
      <w:pPr>
        <w:pStyle w:val="ListParagraph"/>
        <w:numPr>
          <w:ilvl w:val="0"/>
          <w:numId w:val="3"/>
        </w:numPr>
        <w:bidi/>
        <w:spacing w:after="100" w:line="300"/>
        <w:jc w:val="right"/>
      </w:pPr>
      <w:r>
        <w:rPr>
          <w:rFonts w:ascii="Arial" w:cs="Arial" w:eastAsia="Arial" w:hAnsi="Arial"/>
          <w:sz w:val="24"/>
          <w:szCs w:val="24"/>
          <w:rtl/>
        </w:rPr>
        <w:t xml:space="preserve">تغيير الحساب المصرفي لاستلام التوزيعات.</w:t>
      </w:r>
    </w:p>
    <w:p>
      <w:pPr>
        <w:pStyle w:val="ListParagraph"/>
        <w:numPr>
          <w:ilvl w:val="0"/>
          <w:numId w:val="3"/>
        </w:numPr>
        <w:bidi/>
        <w:spacing w:after="100" w:line="300"/>
        <w:jc w:val="right"/>
      </w:pPr>
      <w:r>
        <w:rPr>
          <w:rFonts w:ascii="Arial" w:cs="Arial" w:eastAsia="Arial" w:hAnsi="Arial"/>
          <w:sz w:val="24"/>
          <w:szCs w:val="24"/>
          <w:rtl/>
        </w:rPr>
        <w:t xml:space="preserve">تغيير الحالة الاجتماعية إن كان لها أثر قانوني.</w:t>
      </w:r>
    </w:p>
    <w:p>
      <w:pPr>
        <w:pStyle w:val="ListParagraph"/>
        <w:numPr>
          <w:ilvl w:val="0"/>
          <w:numId w:val="3"/>
        </w:numPr>
        <w:bidi/>
        <w:spacing w:after="100" w:line="300"/>
        <w:jc w:val="right"/>
      </w:pPr>
      <w:r>
        <w:rPr>
          <w:rFonts w:ascii="Arial" w:cs="Arial" w:eastAsia="Arial" w:hAnsi="Arial"/>
          <w:sz w:val="24"/>
          <w:szCs w:val="24"/>
          <w:rtl/>
        </w:rPr>
        <w:t xml:space="preserve">تجديد الهوية الوطنية أو الإقامة (للمقيمين).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المرحلة الانتقالية: القيود على الأسهم</w:t>
      </w:r>
    </w:p>
    <w:p>
      <w:pPr>
        <w:bidi/>
        <w:spacing w:after="140" w:line="320"/>
        <w:jc w:val="both"/>
      </w:pPr>
      <w:r>
        <w:rPr>
          <w:rFonts w:ascii="Arial" w:cs="Arial" w:eastAsia="Arial" w:hAnsi="Arial"/>
          <w:sz w:val="24"/>
          <w:szCs w:val="24"/>
          <w:rtl/>
        </w:rPr>
        <w:t xml:space="preserve">خلال فترة الاحتفاظ بالأسهم، قد تطرأ على المساهم ظروف تستوجب فرض قيود على أسهمه. وهذه القيود يجب تسجيلها في سجل المساهمين وتقييد التصرف فيها وفقاً لطبيعة كل قيد.</w:t>
      </w:r>
    </w:p>
    <w:p>
      <w:pPr>
        <w:pStyle w:val="Heading2"/>
        <w:bidi/>
        <w:spacing w:after="160" w:before="280"/>
        <w:jc w:val="right"/>
      </w:pPr>
      <w:r>
        <w:rPr>
          <w:rFonts w:ascii="Arial" w:cs="Arial" w:eastAsia="Arial" w:hAnsi="Arial"/>
          <w:b/>
          <w:bCs/>
          <w:color w:val="2E75B6"/>
          <w:sz w:val="30"/>
          <w:szCs w:val="30"/>
          <w:rtl/>
        </w:rPr>
        <w:t xml:space="preserve">1. الرهن (Pledge)</w:t>
      </w:r>
    </w:p>
    <w:p>
      <w:pPr>
        <w:bidi/>
        <w:spacing w:after="140" w:line="320"/>
        <w:jc w:val="both"/>
      </w:pPr>
      <w:r>
        <w:rPr>
          <w:rFonts w:ascii="Arial" w:cs="Arial" w:eastAsia="Arial" w:hAnsi="Arial"/>
          <w:sz w:val="24"/>
          <w:szCs w:val="24"/>
          <w:rtl/>
        </w:rPr>
        <w:t xml:space="preserve">الرهن هو ضمان عيني يضعه المساهم على أسهمه لمصلحة دائن، ويُمكّن الدائن (المرتهن) من استيفاء حقه من قيمة الأسهم في حال إخلال المساهم بالتزامه.</w:t>
      </w:r>
    </w:p>
    <w:p>
      <w:pPr>
        <w:pStyle w:val="Heading3"/>
        <w:bidi/>
        <w:spacing w:after="120" w:before="200"/>
        <w:jc w:val="right"/>
      </w:pPr>
      <w:r>
        <w:rPr>
          <w:rFonts w:ascii="Arial" w:cs="Arial" w:eastAsia="Arial" w:hAnsi="Arial"/>
          <w:b/>
          <w:bCs/>
          <w:color w:val="1F4E79"/>
          <w:sz w:val="26"/>
          <w:szCs w:val="26"/>
          <w:rtl/>
        </w:rPr>
        <w:t xml:space="preserve">إجراءات رهن الأسهم وفقاً للنظام السعودي</w:t>
      </w:r>
    </w:p>
    <w:p>
      <w:pPr>
        <w:pStyle w:val="ListParagraph"/>
        <w:numPr>
          <w:ilvl w:val="0"/>
          <w:numId w:val="2"/>
        </w:numPr>
        <w:bidi/>
        <w:spacing w:after="100" w:line="300"/>
        <w:jc w:val="right"/>
      </w:pPr>
      <w:r>
        <w:rPr>
          <w:rFonts w:ascii="Arial" w:cs="Arial" w:eastAsia="Arial" w:hAnsi="Arial"/>
          <w:sz w:val="24"/>
          <w:szCs w:val="24"/>
          <w:rtl/>
        </w:rPr>
        <w:t xml:space="preserve">اتفاق رهن مكتوب بين المساهم والمرتهن.</w:t>
      </w:r>
    </w:p>
    <w:p>
      <w:pPr>
        <w:pStyle w:val="ListParagraph"/>
        <w:numPr>
          <w:ilvl w:val="0"/>
          <w:numId w:val="2"/>
        </w:numPr>
        <w:bidi/>
        <w:spacing w:after="100" w:line="300"/>
        <w:jc w:val="right"/>
      </w:pPr>
      <w:r>
        <w:rPr>
          <w:rFonts w:ascii="Arial" w:cs="Arial" w:eastAsia="Arial" w:hAnsi="Arial"/>
          <w:sz w:val="24"/>
          <w:szCs w:val="24"/>
          <w:rtl/>
        </w:rPr>
        <w:t xml:space="preserve">تقديم طلب الرهن مشتركاً إلى رئيس مجلس الإدارة أو الجهة المعنية بالسجل.</w:t>
      </w:r>
    </w:p>
    <w:p>
      <w:pPr>
        <w:pStyle w:val="ListParagraph"/>
        <w:numPr>
          <w:ilvl w:val="0"/>
          <w:numId w:val="2"/>
        </w:numPr>
        <w:bidi/>
        <w:spacing w:after="100" w:line="300"/>
        <w:jc w:val="right"/>
      </w:pPr>
      <w:r>
        <w:rPr>
          <w:rFonts w:ascii="Arial" w:cs="Arial" w:eastAsia="Arial" w:hAnsi="Arial"/>
          <w:sz w:val="24"/>
          <w:szCs w:val="24"/>
          <w:rtl/>
        </w:rPr>
        <w:t xml:space="preserve">توثيق التوقيعات لدى هيئة السوق المالية أو كاتب العدل أو مرخّص بأعمال التوثيق.</w:t>
      </w:r>
    </w:p>
    <w:p>
      <w:pPr>
        <w:pStyle w:val="ListParagraph"/>
        <w:numPr>
          <w:ilvl w:val="0"/>
          <w:numId w:val="2"/>
        </w:numPr>
        <w:bidi/>
        <w:spacing w:after="100" w:line="300"/>
        <w:jc w:val="right"/>
      </w:pPr>
      <w:r>
        <w:rPr>
          <w:rFonts w:ascii="Arial" w:cs="Arial" w:eastAsia="Arial" w:hAnsi="Arial"/>
          <w:sz w:val="24"/>
          <w:szCs w:val="24"/>
          <w:rtl/>
        </w:rPr>
        <w:t xml:space="preserve">تضمن الطلب بيانات تفصيلية: عدد الأسهم، أرقامها، قيمتها، الشركة المصدرة، مقدار الدين المضمون.</w:t>
      </w:r>
    </w:p>
    <w:p>
      <w:pPr>
        <w:pStyle w:val="ListParagraph"/>
        <w:numPr>
          <w:ilvl w:val="0"/>
          <w:numId w:val="2"/>
        </w:numPr>
        <w:bidi/>
        <w:spacing w:after="100" w:line="300"/>
        <w:jc w:val="right"/>
      </w:pPr>
      <w:r>
        <w:rPr>
          <w:rFonts w:ascii="Arial" w:cs="Arial" w:eastAsia="Arial" w:hAnsi="Arial"/>
          <w:sz w:val="24"/>
          <w:szCs w:val="24"/>
          <w:rtl/>
        </w:rPr>
        <w:t xml:space="preserve">التأشير على الأسهم في السجل بما يفيد رهنها واسم المرتهن.</w:t>
      </w:r>
    </w:p>
    <w:p>
      <w:pPr>
        <w:pStyle w:val="ListParagraph"/>
        <w:numPr>
          <w:ilvl w:val="0"/>
          <w:numId w:val="2"/>
        </w:numPr>
        <w:bidi/>
        <w:spacing w:after="100" w:line="300"/>
        <w:jc w:val="right"/>
      </w:pPr>
      <w:r>
        <w:rPr>
          <w:rFonts w:ascii="Arial" w:cs="Arial" w:eastAsia="Arial" w:hAnsi="Arial"/>
          <w:sz w:val="24"/>
          <w:szCs w:val="24"/>
          <w:rtl/>
        </w:rPr>
        <w:t xml:space="preserve">لا يجوز التصرف في الأسهم المرهونة دون موافقة المرتهن.</w:t>
      </w:r>
    </w:p>
    <w:p>
      <w:pPr>
        <w:pStyle w:val="Heading3"/>
        <w:bidi/>
        <w:spacing w:after="120" w:before="200"/>
        <w:jc w:val="right"/>
      </w:pPr>
      <w:r>
        <w:rPr>
          <w:rFonts w:ascii="Arial" w:cs="Arial" w:eastAsia="Arial" w:hAnsi="Arial"/>
          <w:b/>
          <w:bCs/>
          <w:color w:val="1F4E79"/>
          <w:sz w:val="26"/>
          <w:szCs w:val="26"/>
          <w:rtl/>
        </w:rPr>
        <w:t xml:space="preserve">فك الرهن</w:t>
      </w:r>
    </w:p>
    <w:p>
      <w:pPr>
        <w:pStyle w:val="ListParagraph"/>
        <w:numPr>
          <w:ilvl w:val="0"/>
          <w:numId w:val="3"/>
        </w:numPr>
        <w:bidi/>
        <w:spacing w:after="100" w:line="300"/>
        <w:jc w:val="right"/>
      </w:pPr>
      <w:r>
        <w:rPr>
          <w:rFonts w:ascii="Arial" w:cs="Arial" w:eastAsia="Arial" w:hAnsi="Arial"/>
          <w:sz w:val="24"/>
          <w:szCs w:val="24"/>
          <w:rtl/>
        </w:rPr>
        <w:t xml:space="preserve">تقديم نموذج موجه من المرتهن إلى الشركة يفيد موافقته على فك الرهن.</w:t>
      </w:r>
    </w:p>
    <w:p>
      <w:pPr>
        <w:pStyle w:val="ListParagraph"/>
        <w:numPr>
          <w:ilvl w:val="0"/>
          <w:numId w:val="3"/>
        </w:numPr>
        <w:bidi/>
        <w:spacing w:after="100" w:line="300"/>
        <w:jc w:val="right"/>
      </w:pPr>
      <w:r>
        <w:rPr>
          <w:rFonts w:ascii="Arial" w:cs="Arial" w:eastAsia="Arial" w:hAnsi="Arial"/>
          <w:sz w:val="24"/>
          <w:szCs w:val="24"/>
          <w:rtl/>
        </w:rPr>
        <w:t xml:space="preserve">توثيق التوقيع لدى الجهات المختصة.</w:t>
      </w:r>
    </w:p>
    <w:p>
      <w:pPr>
        <w:pStyle w:val="ListParagraph"/>
        <w:numPr>
          <w:ilvl w:val="0"/>
          <w:numId w:val="3"/>
        </w:numPr>
        <w:bidi/>
        <w:spacing w:after="100" w:line="300"/>
        <w:jc w:val="right"/>
      </w:pPr>
      <w:r>
        <w:rPr>
          <w:rFonts w:ascii="Arial" w:cs="Arial" w:eastAsia="Arial" w:hAnsi="Arial"/>
          <w:sz w:val="24"/>
          <w:szCs w:val="24"/>
          <w:rtl/>
        </w:rPr>
        <w:t xml:space="preserve">شطب قيد الرهن من السجل.</w:t>
      </w:r>
    </w:p>
    <w:p>
      <w:pPr>
        <w:pStyle w:val="ListParagraph"/>
        <w:numPr>
          <w:ilvl w:val="0"/>
          <w:numId w:val="3"/>
        </w:numPr>
        <w:bidi/>
        <w:spacing w:after="100" w:line="300"/>
        <w:jc w:val="right"/>
      </w:pPr>
      <w:r>
        <w:rPr>
          <w:rFonts w:ascii="Arial" w:cs="Arial" w:eastAsia="Arial" w:hAnsi="Arial"/>
          <w:sz w:val="24"/>
          <w:szCs w:val="24"/>
          <w:rtl/>
        </w:rPr>
        <w:t xml:space="preserve">إخطار المساهم بفك الرهن.</w:t>
      </w:r>
    </w:p>
    <w:p>
      <w:pPr>
        <w:pStyle w:val="Heading2"/>
        <w:bidi/>
        <w:spacing w:after="160" w:before="280"/>
        <w:jc w:val="right"/>
      </w:pPr>
      <w:r>
        <w:rPr>
          <w:rFonts w:ascii="Arial" w:cs="Arial" w:eastAsia="Arial" w:hAnsi="Arial"/>
          <w:b/>
          <w:bCs/>
          <w:color w:val="2E75B6"/>
          <w:sz w:val="30"/>
          <w:szCs w:val="30"/>
          <w:rtl/>
        </w:rPr>
        <w:t xml:space="preserve">2. الحجز (Attachment)</w:t>
      </w:r>
    </w:p>
    <w:p>
      <w:pPr>
        <w:bidi/>
        <w:spacing w:after="140" w:line="320"/>
        <w:jc w:val="both"/>
      </w:pPr>
      <w:r>
        <w:rPr>
          <w:rFonts w:ascii="Arial" w:cs="Arial" w:eastAsia="Arial" w:hAnsi="Arial"/>
          <w:sz w:val="24"/>
          <w:szCs w:val="24"/>
          <w:rtl/>
        </w:rPr>
        <w:t xml:space="preserve">الحجز هو إجراء قانوني يُتخذ بناءً على قرار قضائي أو جهة مختصة، ويهدف إلى منع التصرف في الأسهم لحين البت في الدعوى أو استيفاء حق المحجوز لمصلحته.</w:t>
      </w:r>
    </w:p>
    <w:p>
      <w:pPr>
        <w:pStyle w:val="ListParagraph"/>
        <w:numPr>
          <w:ilvl w:val="0"/>
          <w:numId w:val="3"/>
        </w:numPr>
        <w:bidi/>
        <w:spacing w:after="100" w:line="300"/>
        <w:jc w:val="right"/>
      </w:pPr>
      <w:r>
        <w:rPr>
          <w:rFonts w:ascii="Arial" w:cs="Arial" w:eastAsia="Arial" w:hAnsi="Arial"/>
          <w:sz w:val="24"/>
          <w:szCs w:val="24"/>
          <w:rtl/>
        </w:rPr>
        <w:t xml:space="preserve">يُقيَّد الحجز في السجل فور تبليغ الشركة بالقرار.</w:t>
      </w:r>
    </w:p>
    <w:p>
      <w:pPr>
        <w:pStyle w:val="ListParagraph"/>
        <w:numPr>
          <w:ilvl w:val="0"/>
          <w:numId w:val="3"/>
        </w:numPr>
        <w:bidi/>
        <w:spacing w:after="100" w:line="300"/>
        <w:jc w:val="right"/>
      </w:pPr>
      <w:r>
        <w:rPr>
          <w:rFonts w:ascii="Arial" w:cs="Arial" w:eastAsia="Arial" w:hAnsi="Arial"/>
          <w:sz w:val="24"/>
          <w:szCs w:val="24"/>
          <w:rtl/>
        </w:rPr>
        <w:t xml:space="preserve">يُمنع نقل ملكية الأسهم المحجوزة.</w:t>
      </w:r>
    </w:p>
    <w:p>
      <w:pPr>
        <w:pStyle w:val="ListParagraph"/>
        <w:numPr>
          <w:ilvl w:val="0"/>
          <w:numId w:val="3"/>
        </w:numPr>
        <w:bidi/>
        <w:spacing w:after="100" w:line="300"/>
        <w:jc w:val="right"/>
      </w:pPr>
      <w:r>
        <w:rPr>
          <w:rFonts w:ascii="Arial" w:cs="Arial" w:eastAsia="Arial" w:hAnsi="Arial"/>
          <w:sz w:val="24"/>
          <w:szCs w:val="24"/>
          <w:rtl/>
        </w:rPr>
        <w:t xml:space="preserve">تستمر الأرباح في الاستحقاق لكن قد تُحجز أيضاً.</w:t>
      </w:r>
    </w:p>
    <w:p>
      <w:pPr>
        <w:pStyle w:val="ListParagraph"/>
        <w:numPr>
          <w:ilvl w:val="0"/>
          <w:numId w:val="3"/>
        </w:numPr>
        <w:bidi/>
        <w:spacing w:after="100" w:line="300"/>
        <w:jc w:val="right"/>
      </w:pPr>
      <w:r>
        <w:rPr>
          <w:rFonts w:ascii="Arial" w:cs="Arial" w:eastAsia="Arial" w:hAnsi="Arial"/>
          <w:sz w:val="24"/>
          <w:szCs w:val="24"/>
          <w:rtl/>
        </w:rPr>
        <w:t xml:space="preserve">يُرفع الحجز بقرار من الجهة التي أصدرته.</w:t>
      </w:r>
    </w:p>
    <w:p>
      <w:pPr>
        <w:pStyle w:val="Heading2"/>
        <w:bidi/>
        <w:spacing w:after="160" w:before="280"/>
        <w:jc w:val="right"/>
      </w:pPr>
      <w:r>
        <w:rPr>
          <w:rFonts w:ascii="Arial" w:cs="Arial" w:eastAsia="Arial" w:hAnsi="Arial"/>
          <w:b/>
          <w:bCs/>
          <w:color w:val="2E75B6"/>
          <w:sz w:val="30"/>
          <w:szCs w:val="30"/>
          <w:rtl/>
        </w:rPr>
        <w:t xml:space="preserve">3. المنع من التصرف</w:t>
      </w:r>
    </w:p>
    <w:p>
      <w:pPr>
        <w:bidi/>
        <w:spacing w:after="140" w:line="320"/>
        <w:jc w:val="both"/>
      </w:pPr>
      <w:r>
        <w:rPr>
          <w:rFonts w:ascii="Arial" w:cs="Arial" w:eastAsia="Arial" w:hAnsi="Arial"/>
          <w:sz w:val="24"/>
          <w:szCs w:val="24"/>
          <w:rtl/>
        </w:rPr>
        <w:t xml:space="preserve">قد يُفرض المنع من التصرف لأسباب متعددة، منها فترات الحظر للأشخاص المطلعين، أو التزامات تعاقدية (Lock-up periods) في حالات الطرح للاكتتاب العام:</w:t>
      </w:r>
    </w:p>
    <w:p>
      <w:pPr>
        <w:pStyle w:val="ListParagraph"/>
        <w:numPr>
          <w:ilvl w:val="0"/>
          <w:numId w:val="3"/>
        </w:numPr>
        <w:bidi/>
        <w:spacing w:after="100" w:line="300"/>
        <w:jc w:val="right"/>
      </w:pPr>
      <w:r>
        <w:rPr>
          <w:rFonts w:ascii="Arial" w:cs="Arial" w:eastAsia="Arial" w:hAnsi="Arial"/>
          <w:sz w:val="24"/>
          <w:szCs w:val="24"/>
          <w:rtl/>
        </w:rPr>
        <w:t xml:space="preserve">فترات الحظر بعد الطرح العام الأولي (IPO Lock-up).</w:t>
      </w:r>
    </w:p>
    <w:p>
      <w:pPr>
        <w:pStyle w:val="ListParagraph"/>
        <w:numPr>
          <w:ilvl w:val="0"/>
          <w:numId w:val="3"/>
        </w:numPr>
        <w:bidi/>
        <w:spacing w:after="100" w:line="300"/>
        <w:jc w:val="right"/>
      </w:pPr>
      <w:r>
        <w:rPr>
          <w:rFonts w:ascii="Arial" w:cs="Arial" w:eastAsia="Arial" w:hAnsi="Arial"/>
          <w:sz w:val="24"/>
          <w:szCs w:val="24"/>
          <w:rtl/>
        </w:rPr>
        <w:t xml:space="preserve">القيود التعاقدية في اتفاقيات المساهمين.</w:t>
      </w:r>
    </w:p>
    <w:p>
      <w:pPr>
        <w:pStyle w:val="ListParagraph"/>
        <w:numPr>
          <w:ilvl w:val="0"/>
          <w:numId w:val="3"/>
        </w:numPr>
        <w:bidi/>
        <w:spacing w:after="100" w:line="300"/>
        <w:jc w:val="right"/>
      </w:pPr>
      <w:r>
        <w:rPr>
          <w:rFonts w:ascii="Arial" w:cs="Arial" w:eastAsia="Arial" w:hAnsi="Arial"/>
          <w:sz w:val="24"/>
          <w:szCs w:val="24"/>
          <w:rtl/>
        </w:rPr>
        <w:t xml:space="preserve">فترات الحظر لأعضاء مجلس الإدارة والإدارة التنفيذية حول الإفصاحات.</w:t>
      </w:r>
    </w:p>
    <w:p>
      <w:pPr>
        <w:pStyle w:val="ListParagraph"/>
        <w:numPr>
          <w:ilvl w:val="0"/>
          <w:numId w:val="3"/>
        </w:numPr>
        <w:bidi/>
        <w:spacing w:after="100" w:line="300"/>
        <w:jc w:val="right"/>
      </w:pPr>
      <w:r>
        <w:rPr>
          <w:rFonts w:ascii="Arial" w:cs="Arial" w:eastAsia="Arial" w:hAnsi="Arial"/>
          <w:sz w:val="24"/>
          <w:szCs w:val="24"/>
          <w:rtl/>
        </w:rPr>
        <w:t xml:space="preserve">القيود التنظيمية على بعض فئات المساهمين.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المرحلة الثالثة: التصرف في الأسهم</w:t>
      </w:r>
    </w:p>
    <w:p>
      <w:pPr>
        <w:bidi/>
        <w:spacing w:after="140" w:line="320"/>
        <w:jc w:val="both"/>
      </w:pPr>
      <w:r>
        <w:rPr>
          <w:rFonts w:ascii="Arial" w:cs="Arial" w:eastAsia="Arial" w:hAnsi="Arial"/>
          <w:sz w:val="24"/>
          <w:szCs w:val="24"/>
          <w:rtl/>
        </w:rPr>
        <w:t xml:space="preserve">في مرحلة معينة، قد يقرر المساهم التصرف في أسهمه - كلياً أو جزئياً - بإحدى الطرق المشروعة. ولكل طريقة من طرق التصرف إجراءات محددة يجب اتباعها لضمان سلامة العملية قانونياً.</w:t>
      </w:r>
    </w:p>
    <w:p>
      <w:pPr>
        <w:pStyle w:val="Heading2"/>
        <w:bidi/>
        <w:spacing w:after="160" w:before="280"/>
        <w:jc w:val="right"/>
      </w:pPr>
      <w:r>
        <w:rPr>
          <w:rFonts w:ascii="Arial" w:cs="Arial" w:eastAsia="Arial" w:hAnsi="Arial"/>
          <w:b/>
          <w:bCs/>
          <w:color w:val="2E75B6"/>
          <w:sz w:val="30"/>
          <w:szCs w:val="30"/>
          <w:rtl/>
        </w:rPr>
        <w:t xml:space="preserve">1. البيع</w:t>
      </w:r>
    </w:p>
    <w:p>
      <w:pPr>
        <w:bidi/>
        <w:spacing w:after="140" w:line="320"/>
        <w:jc w:val="both"/>
      </w:pPr>
      <w:r>
        <w:rPr>
          <w:rFonts w:ascii="Arial" w:cs="Arial" w:eastAsia="Arial" w:hAnsi="Arial"/>
          <w:sz w:val="24"/>
          <w:szCs w:val="24"/>
          <w:rtl/>
        </w:rPr>
        <w:t xml:space="preserve">البيع هو الصورة الأكثر شيوعاً للتصرف، وتختلف إجراءاته بحسب طبيعة الشركة:</w:t>
      </w:r>
    </w:p>
    <w:p>
      <w:pPr>
        <w:pStyle w:val="Heading3"/>
        <w:bidi/>
        <w:spacing w:after="120" w:before="200"/>
        <w:jc w:val="right"/>
      </w:pPr>
      <w:r>
        <w:rPr>
          <w:rFonts w:ascii="Arial" w:cs="Arial" w:eastAsia="Arial" w:hAnsi="Arial"/>
          <w:b/>
          <w:bCs/>
          <w:color w:val="1F4E79"/>
          <w:sz w:val="26"/>
          <w:szCs w:val="26"/>
          <w:rtl/>
        </w:rPr>
        <w:t xml:space="preserve">في الشركات المدرجة</w:t>
      </w:r>
    </w:p>
    <w:p>
      <w:pPr>
        <w:pStyle w:val="ListParagraph"/>
        <w:numPr>
          <w:ilvl w:val="0"/>
          <w:numId w:val="3"/>
        </w:numPr>
        <w:bidi/>
        <w:spacing w:after="100" w:line="300"/>
        <w:jc w:val="right"/>
      </w:pPr>
      <w:r>
        <w:rPr>
          <w:rFonts w:ascii="Arial" w:cs="Arial" w:eastAsia="Arial" w:hAnsi="Arial"/>
          <w:sz w:val="24"/>
          <w:szCs w:val="24"/>
          <w:rtl/>
        </w:rPr>
        <w:t xml:space="preserve">تنفيذ أمر البيع عبر الوسيط المالي.</w:t>
      </w:r>
    </w:p>
    <w:p>
      <w:pPr>
        <w:pStyle w:val="ListParagraph"/>
        <w:numPr>
          <w:ilvl w:val="0"/>
          <w:numId w:val="3"/>
        </w:numPr>
        <w:bidi/>
        <w:spacing w:after="100" w:line="300"/>
        <w:jc w:val="right"/>
      </w:pPr>
      <w:r>
        <w:rPr>
          <w:rFonts w:ascii="Arial" w:cs="Arial" w:eastAsia="Arial" w:hAnsi="Arial"/>
          <w:sz w:val="24"/>
          <w:szCs w:val="24"/>
          <w:rtl/>
        </w:rPr>
        <w:t xml:space="preserve">التسوية الآلية عبر مركز إيداع.</w:t>
      </w:r>
    </w:p>
    <w:p>
      <w:pPr>
        <w:pStyle w:val="ListParagraph"/>
        <w:numPr>
          <w:ilvl w:val="0"/>
          <w:numId w:val="3"/>
        </w:numPr>
        <w:bidi/>
        <w:spacing w:after="100" w:line="300"/>
        <w:jc w:val="right"/>
      </w:pPr>
      <w:r>
        <w:rPr>
          <w:rFonts w:ascii="Arial" w:cs="Arial" w:eastAsia="Arial" w:hAnsi="Arial"/>
          <w:sz w:val="24"/>
          <w:szCs w:val="24"/>
          <w:rtl/>
        </w:rPr>
        <w:t xml:space="preserve">تحديث السجل تلقائياً.</w:t>
      </w:r>
    </w:p>
    <w:p>
      <w:pPr>
        <w:pStyle w:val="ListParagraph"/>
        <w:numPr>
          <w:ilvl w:val="0"/>
          <w:numId w:val="3"/>
        </w:numPr>
        <w:bidi/>
        <w:spacing w:after="100" w:line="300"/>
        <w:jc w:val="right"/>
      </w:pPr>
      <w:r>
        <w:rPr>
          <w:rFonts w:ascii="Arial" w:cs="Arial" w:eastAsia="Arial" w:hAnsi="Arial"/>
          <w:sz w:val="24"/>
          <w:szCs w:val="24"/>
          <w:rtl/>
        </w:rPr>
        <w:t xml:space="preserve">لا حاجة لإجراءات يدوية من المساهم البائع.</w:t>
      </w:r>
    </w:p>
    <w:p>
      <w:pPr>
        <w:pStyle w:val="Heading3"/>
        <w:bidi/>
        <w:spacing w:after="120" w:before="200"/>
        <w:jc w:val="right"/>
      </w:pPr>
      <w:r>
        <w:rPr>
          <w:rFonts w:ascii="Arial" w:cs="Arial" w:eastAsia="Arial" w:hAnsi="Arial"/>
          <w:b/>
          <w:bCs/>
          <w:color w:val="1F4E79"/>
          <w:sz w:val="26"/>
          <w:szCs w:val="26"/>
          <w:rtl/>
        </w:rPr>
        <w:t xml:space="preserve">في الشركات غير المدرجة</w:t>
      </w:r>
    </w:p>
    <w:p>
      <w:pPr>
        <w:pStyle w:val="ListParagraph"/>
        <w:numPr>
          <w:ilvl w:val="0"/>
          <w:numId w:val="3"/>
        </w:numPr>
        <w:bidi/>
        <w:spacing w:after="100" w:line="300"/>
        <w:jc w:val="right"/>
      </w:pPr>
      <w:r>
        <w:rPr>
          <w:rFonts w:ascii="Arial" w:cs="Arial" w:eastAsia="Arial" w:hAnsi="Arial"/>
          <w:sz w:val="24"/>
          <w:szCs w:val="24"/>
          <w:rtl/>
        </w:rPr>
        <w:t xml:space="preserve">اتفاق البيع بين الطرفين.</w:t>
      </w:r>
    </w:p>
    <w:p>
      <w:pPr>
        <w:pStyle w:val="ListParagraph"/>
        <w:numPr>
          <w:ilvl w:val="0"/>
          <w:numId w:val="3"/>
        </w:numPr>
        <w:bidi/>
        <w:spacing w:after="100" w:line="300"/>
        <w:jc w:val="right"/>
      </w:pPr>
      <w:r>
        <w:rPr>
          <w:rFonts w:ascii="Arial" w:cs="Arial" w:eastAsia="Arial" w:hAnsi="Arial"/>
          <w:sz w:val="24"/>
          <w:szCs w:val="24"/>
          <w:rtl/>
        </w:rPr>
        <w:t xml:space="preserve">تعبئة نموذج نقل الملكية.</w:t>
      </w:r>
    </w:p>
    <w:p>
      <w:pPr>
        <w:pStyle w:val="ListParagraph"/>
        <w:numPr>
          <w:ilvl w:val="0"/>
          <w:numId w:val="3"/>
        </w:numPr>
        <w:bidi/>
        <w:spacing w:after="100" w:line="300"/>
        <w:jc w:val="right"/>
      </w:pPr>
      <w:r>
        <w:rPr>
          <w:rFonts w:ascii="Arial" w:cs="Arial" w:eastAsia="Arial" w:hAnsi="Arial"/>
          <w:sz w:val="24"/>
          <w:szCs w:val="24"/>
          <w:rtl/>
        </w:rPr>
        <w:t xml:space="preserve">توثيق التوقيعات.</w:t>
      </w:r>
    </w:p>
    <w:p>
      <w:pPr>
        <w:pStyle w:val="ListParagraph"/>
        <w:numPr>
          <w:ilvl w:val="0"/>
          <w:numId w:val="3"/>
        </w:numPr>
        <w:bidi/>
        <w:spacing w:after="100" w:line="300"/>
        <w:jc w:val="right"/>
      </w:pPr>
      <w:r>
        <w:rPr>
          <w:rFonts w:ascii="Arial" w:cs="Arial" w:eastAsia="Arial" w:hAnsi="Arial"/>
          <w:sz w:val="24"/>
          <w:szCs w:val="24"/>
          <w:rtl/>
        </w:rPr>
        <w:t xml:space="preserve">تقديم الطلب للشركة.</w:t>
      </w:r>
    </w:p>
    <w:p>
      <w:pPr>
        <w:pStyle w:val="ListParagraph"/>
        <w:numPr>
          <w:ilvl w:val="0"/>
          <w:numId w:val="3"/>
        </w:numPr>
        <w:bidi/>
        <w:spacing w:after="100" w:line="300"/>
        <w:jc w:val="right"/>
      </w:pPr>
      <w:r>
        <w:rPr>
          <w:rFonts w:ascii="Arial" w:cs="Arial" w:eastAsia="Arial" w:hAnsi="Arial"/>
          <w:sz w:val="24"/>
          <w:szCs w:val="24"/>
          <w:rtl/>
        </w:rPr>
        <w:t xml:space="preserve">مراجعة الطلب وقيد النقل في السجل.</w:t>
      </w:r>
    </w:p>
    <w:p>
      <w:pPr>
        <w:pStyle w:val="Heading2"/>
        <w:bidi/>
        <w:spacing w:after="160" w:before="280"/>
        <w:jc w:val="right"/>
      </w:pPr>
      <w:r>
        <w:rPr>
          <w:rFonts w:ascii="Arial" w:cs="Arial" w:eastAsia="Arial" w:hAnsi="Arial"/>
          <w:b/>
          <w:bCs/>
          <w:color w:val="2E75B6"/>
          <w:sz w:val="30"/>
          <w:szCs w:val="30"/>
          <w:rtl/>
        </w:rPr>
        <w:t xml:space="preserve">2. الهبة والتبرع</w:t>
      </w:r>
    </w:p>
    <w:p>
      <w:pPr>
        <w:bidi/>
        <w:spacing w:after="140" w:line="320"/>
        <w:jc w:val="both"/>
      </w:pPr>
      <w:r>
        <w:rPr>
          <w:rFonts w:ascii="Arial" w:cs="Arial" w:eastAsia="Arial" w:hAnsi="Arial"/>
          <w:sz w:val="24"/>
          <w:szCs w:val="24"/>
          <w:rtl/>
        </w:rPr>
        <w:t xml:space="preserve">الهبة تنقل ملكية الأسهم دون مقابل، وتتطلب:</w:t>
      </w:r>
    </w:p>
    <w:p>
      <w:pPr>
        <w:pStyle w:val="ListParagraph"/>
        <w:numPr>
          <w:ilvl w:val="0"/>
          <w:numId w:val="2"/>
        </w:numPr>
        <w:bidi/>
        <w:spacing w:after="100" w:line="300"/>
        <w:jc w:val="right"/>
      </w:pPr>
      <w:r>
        <w:rPr>
          <w:rFonts w:ascii="Arial" w:cs="Arial" w:eastAsia="Arial" w:hAnsi="Arial"/>
          <w:sz w:val="24"/>
          <w:szCs w:val="24"/>
          <w:rtl/>
        </w:rPr>
        <w:t xml:space="preserve">عقد هبة موثق بين الواهب والموهوب له.</w:t>
      </w:r>
    </w:p>
    <w:p>
      <w:pPr>
        <w:pStyle w:val="ListParagraph"/>
        <w:numPr>
          <w:ilvl w:val="0"/>
          <w:numId w:val="2"/>
        </w:numPr>
        <w:bidi/>
        <w:spacing w:after="100" w:line="300"/>
        <w:jc w:val="right"/>
      </w:pPr>
      <w:r>
        <w:rPr>
          <w:rFonts w:ascii="Arial" w:cs="Arial" w:eastAsia="Arial" w:hAnsi="Arial"/>
          <w:sz w:val="24"/>
          <w:szCs w:val="24"/>
          <w:rtl/>
        </w:rPr>
        <w:t xml:space="preserve">استكمال إجراءات نقل الملكية الاعتيادية.</w:t>
      </w:r>
    </w:p>
    <w:p>
      <w:pPr>
        <w:pStyle w:val="ListParagraph"/>
        <w:numPr>
          <w:ilvl w:val="0"/>
          <w:numId w:val="2"/>
        </w:numPr>
        <w:bidi/>
        <w:spacing w:after="100" w:line="300"/>
        <w:jc w:val="right"/>
      </w:pPr>
      <w:r>
        <w:rPr>
          <w:rFonts w:ascii="Arial" w:cs="Arial" w:eastAsia="Arial" w:hAnsi="Arial"/>
          <w:sz w:val="24"/>
          <w:szCs w:val="24"/>
          <w:rtl/>
        </w:rPr>
        <w:t xml:space="preserve">مراعاة الأحكام الشرعية المتعلقة بالهبة.</w:t>
      </w:r>
    </w:p>
    <w:p>
      <w:pPr>
        <w:pStyle w:val="ListParagraph"/>
        <w:numPr>
          <w:ilvl w:val="0"/>
          <w:numId w:val="2"/>
        </w:numPr>
        <w:bidi/>
        <w:spacing w:after="100" w:line="300"/>
        <w:jc w:val="right"/>
      </w:pPr>
      <w:r>
        <w:rPr>
          <w:rFonts w:ascii="Arial" w:cs="Arial" w:eastAsia="Arial" w:hAnsi="Arial"/>
          <w:sz w:val="24"/>
          <w:szCs w:val="24"/>
          <w:rtl/>
        </w:rPr>
        <w:t xml:space="preserve">التحقق من اكتمال أهلية الواهب.</w:t>
      </w:r>
    </w:p>
    <w:p>
      <w:pPr>
        <w:pStyle w:val="ListParagraph"/>
        <w:numPr>
          <w:ilvl w:val="0"/>
          <w:numId w:val="2"/>
        </w:numPr>
        <w:bidi/>
        <w:spacing w:after="100" w:line="300"/>
        <w:jc w:val="right"/>
      </w:pPr>
      <w:r>
        <w:rPr>
          <w:rFonts w:ascii="Arial" w:cs="Arial" w:eastAsia="Arial" w:hAnsi="Arial"/>
          <w:sz w:val="24"/>
          <w:szCs w:val="24"/>
          <w:rtl/>
        </w:rPr>
        <w:t xml:space="preserve">القيد في السجل لإكمال نقل الملكية.</w:t>
      </w:r>
    </w:p>
    <w:p>
      <w:pPr>
        <w:pStyle w:val="Heading2"/>
        <w:bidi/>
        <w:spacing w:after="160" w:before="280"/>
        <w:jc w:val="right"/>
      </w:pPr>
      <w:r>
        <w:rPr>
          <w:rFonts w:ascii="Arial" w:cs="Arial" w:eastAsia="Arial" w:hAnsi="Arial"/>
          <w:b/>
          <w:bCs/>
          <w:color w:val="2E75B6"/>
          <w:sz w:val="30"/>
          <w:szCs w:val="30"/>
          <w:rtl/>
        </w:rPr>
        <w:t xml:space="preserve">3. الإرث</w:t>
      </w:r>
    </w:p>
    <w:p>
      <w:pPr>
        <w:bidi/>
        <w:spacing w:after="140" w:line="320"/>
        <w:jc w:val="both"/>
      </w:pPr>
      <w:r>
        <w:rPr>
          <w:rFonts w:ascii="Arial" w:cs="Arial" w:eastAsia="Arial" w:hAnsi="Arial"/>
          <w:sz w:val="24"/>
          <w:szCs w:val="24"/>
          <w:rtl/>
        </w:rPr>
        <w:t xml:space="preserve">عند وفاة المساهم، تنتقل أسهمه إلى ورثته وفق الأحكام الشرعية. وتشمل الإجراءات:</w:t>
      </w:r>
    </w:p>
    <w:p>
      <w:pPr>
        <w:pStyle w:val="ListParagraph"/>
        <w:numPr>
          <w:ilvl w:val="0"/>
          <w:numId w:val="2"/>
        </w:numPr>
        <w:bidi/>
        <w:spacing w:after="100" w:line="300"/>
        <w:jc w:val="right"/>
      </w:pPr>
      <w:r>
        <w:rPr>
          <w:rFonts w:ascii="Arial" w:cs="Arial" w:eastAsia="Arial" w:hAnsi="Arial"/>
          <w:sz w:val="24"/>
          <w:szCs w:val="24"/>
          <w:rtl/>
        </w:rPr>
        <w:t xml:space="preserve">استخراج صك حصر الإرث وقسمة الورثة.</w:t>
      </w:r>
    </w:p>
    <w:p>
      <w:pPr>
        <w:pStyle w:val="ListParagraph"/>
        <w:numPr>
          <w:ilvl w:val="0"/>
          <w:numId w:val="2"/>
        </w:numPr>
        <w:bidi/>
        <w:spacing w:after="100" w:line="300"/>
        <w:jc w:val="right"/>
      </w:pPr>
      <w:r>
        <w:rPr>
          <w:rFonts w:ascii="Arial" w:cs="Arial" w:eastAsia="Arial" w:hAnsi="Arial"/>
          <w:sz w:val="24"/>
          <w:szCs w:val="24"/>
          <w:rtl/>
        </w:rPr>
        <w:t xml:space="preserve">تقديم الطلب إلى الشركة أو مركز إيداع مع المستندات.</w:t>
      </w:r>
    </w:p>
    <w:p>
      <w:pPr>
        <w:pStyle w:val="ListParagraph"/>
        <w:numPr>
          <w:ilvl w:val="0"/>
          <w:numId w:val="2"/>
        </w:numPr>
        <w:bidi/>
        <w:spacing w:after="100" w:line="300"/>
        <w:jc w:val="right"/>
      </w:pPr>
      <w:r>
        <w:rPr>
          <w:rFonts w:ascii="Arial" w:cs="Arial" w:eastAsia="Arial" w:hAnsi="Arial"/>
          <w:sz w:val="24"/>
          <w:szCs w:val="24"/>
          <w:rtl/>
        </w:rPr>
        <w:t xml:space="preserve">التحقق من المستندات الرسمية.</w:t>
      </w:r>
    </w:p>
    <w:p>
      <w:pPr>
        <w:pStyle w:val="ListParagraph"/>
        <w:numPr>
          <w:ilvl w:val="0"/>
          <w:numId w:val="2"/>
        </w:numPr>
        <w:bidi/>
        <w:spacing w:after="100" w:line="300"/>
        <w:jc w:val="right"/>
      </w:pPr>
      <w:r>
        <w:rPr>
          <w:rFonts w:ascii="Arial" w:cs="Arial" w:eastAsia="Arial" w:hAnsi="Arial"/>
          <w:sz w:val="24"/>
          <w:szCs w:val="24"/>
          <w:rtl/>
        </w:rPr>
        <w:t xml:space="preserve">قسمة الأسهم على الورثة وفق الأنصبة الشرعية.</w:t>
      </w:r>
    </w:p>
    <w:p>
      <w:pPr>
        <w:pStyle w:val="ListParagraph"/>
        <w:numPr>
          <w:ilvl w:val="0"/>
          <w:numId w:val="2"/>
        </w:numPr>
        <w:bidi/>
        <w:spacing w:after="100" w:line="300"/>
        <w:jc w:val="right"/>
      </w:pPr>
      <w:r>
        <w:rPr>
          <w:rFonts w:ascii="Arial" w:cs="Arial" w:eastAsia="Arial" w:hAnsi="Arial"/>
          <w:sz w:val="24"/>
          <w:szCs w:val="24"/>
          <w:rtl/>
        </w:rPr>
        <w:t xml:space="preserve">قيد كل وارث بنصيبه في السجل.</w:t>
      </w:r>
    </w:p>
    <w:p>
      <w:pPr>
        <w:pStyle w:val="ListParagraph"/>
        <w:numPr>
          <w:ilvl w:val="0"/>
          <w:numId w:val="2"/>
        </w:numPr>
        <w:bidi/>
        <w:spacing w:after="100" w:line="300"/>
        <w:jc w:val="right"/>
      </w:pPr>
      <w:r>
        <w:rPr>
          <w:rFonts w:ascii="Arial" w:cs="Arial" w:eastAsia="Arial" w:hAnsi="Arial"/>
          <w:sz w:val="24"/>
          <w:szCs w:val="24"/>
          <w:rtl/>
        </w:rPr>
        <w:t xml:space="preserve">استمرار حقوق التصويت والأرباح بحسب الأنصبة الجديدة.</w:t>
      </w:r>
    </w:p>
    <w:p>
      <w:pPr>
        <w:pStyle w:val="Heading2"/>
        <w:bidi/>
        <w:spacing w:after="160" w:before="280"/>
        <w:jc w:val="right"/>
      </w:pPr>
      <w:r>
        <w:rPr>
          <w:rFonts w:ascii="Arial" w:cs="Arial" w:eastAsia="Arial" w:hAnsi="Arial"/>
          <w:b/>
          <w:bCs/>
          <w:color w:val="2E75B6"/>
          <w:sz w:val="30"/>
          <w:szCs w:val="30"/>
          <w:rtl/>
        </w:rPr>
        <w:t xml:space="preserve">4. التنفيذ القضائي</w:t>
      </w:r>
    </w:p>
    <w:p>
      <w:pPr>
        <w:bidi/>
        <w:spacing w:after="140" w:line="320"/>
        <w:jc w:val="both"/>
      </w:pPr>
      <w:r>
        <w:rPr>
          <w:rFonts w:ascii="Arial" w:cs="Arial" w:eastAsia="Arial" w:hAnsi="Arial"/>
          <w:sz w:val="24"/>
          <w:szCs w:val="24"/>
          <w:rtl/>
        </w:rPr>
        <w:t xml:space="preserve">في حالات الإفلاس أو سداد الديون، قد تُباع الأسهم في المزاد العلني بحكم قضائي. وتشمل الإجراءات:</w:t>
      </w:r>
    </w:p>
    <w:p>
      <w:pPr>
        <w:pStyle w:val="ListParagraph"/>
        <w:numPr>
          <w:ilvl w:val="0"/>
          <w:numId w:val="3"/>
        </w:numPr>
        <w:bidi/>
        <w:spacing w:after="100" w:line="300"/>
        <w:jc w:val="right"/>
      </w:pPr>
      <w:r>
        <w:rPr>
          <w:rFonts w:ascii="Arial" w:cs="Arial" w:eastAsia="Arial" w:hAnsi="Arial"/>
          <w:sz w:val="24"/>
          <w:szCs w:val="24"/>
          <w:rtl/>
        </w:rPr>
        <w:t xml:space="preserve">صدور حكم قضائي ببيع الأسهم.</w:t>
      </w:r>
    </w:p>
    <w:p>
      <w:pPr>
        <w:pStyle w:val="ListParagraph"/>
        <w:numPr>
          <w:ilvl w:val="0"/>
          <w:numId w:val="3"/>
        </w:numPr>
        <w:bidi/>
        <w:spacing w:after="100" w:line="300"/>
        <w:jc w:val="right"/>
      </w:pPr>
      <w:r>
        <w:rPr>
          <w:rFonts w:ascii="Arial" w:cs="Arial" w:eastAsia="Arial" w:hAnsi="Arial"/>
          <w:sz w:val="24"/>
          <w:szCs w:val="24"/>
          <w:rtl/>
        </w:rPr>
        <w:t xml:space="preserve">إعلان المزاد وفق الإجراءات النظامية.</w:t>
      </w:r>
    </w:p>
    <w:p>
      <w:pPr>
        <w:pStyle w:val="ListParagraph"/>
        <w:numPr>
          <w:ilvl w:val="0"/>
          <w:numId w:val="3"/>
        </w:numPr>
        <w:bidi/>
        <w:spacing w:after="100" w:line="300"/>
        <w:jc w:val="right"/>
      </w:pPr>
      <w:r>
        <w:rPr>
          <w:rFonts w:ascii="Arial" w:cs="Arial" w:eastAsia="Arial" w:hAnsi="Arial"/>
          <w:sz w:val="24"/>
          <w:szCs w:val="24"/>
          <w:rtl/>
        </w:rPr>
        <w:t xml:space="preserve">إجراء المزاد وترسيته على أعلى عرض.</w:t>
      </w:r>
    </w:p>
    <w:p>
      <w:pPr>
        <w:pStyle w:val="ListParagraph"/>
        <w:numPr>
          <w:ilvl w:val="0"/>
          <w:numId w:val="3"/>
        </w:numPr>
        <w:bidi/>
        <w:spacing w:after="100" w:line="300"/>
        <w:jc w:val="right"/>
      </w:pPr>
      <w:r>
        <w:rPr>
          <w:rFonts w:ascii="Arial" w:cs="Arial" w:eastAsia="Arial" w:hAnsi="Arial"/>
          <w:sz w:val="24"/>
          <w:szCs w:val="24"/>
          <w:rtl/>
        </w:rPr>
        <w:t xml:space="preserve">التسوية المالية ودفع المبلغ.</w:t>
      </w:r>
    </w:p>
    <w:p>
      <w:pPr>
        <w:pStyle w:val="ListParagraph"/>
        <w:numPr>
          <w:ilvl w:val="0"/>
          <w:numId w:val="3"/>
        </w:numPr>
        <w:bidi/>
        <w:spacing w:after="100" w:line="300"/>
        <w:jc w:val="right"/>
      </w:pPr>
      <w:r>
        <w:rPr>
          <w:rFonts w:ascii="Arial" w:cs="Arial" w:eastAsia="Arial" w:hAnsi="Arial"/>
          <w:sz w:val="24"/>
          <w:szCs w:val="24"/>
          <w:rtl/>
        </w:rPr>
        <w:t xml:space="preserve">نقل الملكية للمشتري وقيده في السجل.</w:t>
      </w:r>
    </w:p>
    <w:p>
      <w:pPr>
        <w:pStyle w:val="Heading2"/>
        <w:bidi/>
        <w:spacing w:after="160" w:before="280"/>
        <w:jc w:val="right"/>
      </w:pPr>
      <w:r>
        <w:rPr>
          <w:rFonts w:ascii="Arial" w:cs="Arial" w:eastAsia="Arial" w:hAnsi="Arial"/>
          <w:b/>
          <w:bCs/>
          <w:color w:val="2E75B6"/>
          <w:sz w:val="30"/>
          <w:szCs w:val="30"/>
          <w:rtl/>
        </w:rPr>
        <w:t xml:space="preserve">5. التحويل بين فئات الأسهم</w:t>
      </w:r>
    </w:p>
    <w:p>
      <w:pPr>
        <w:bidi/>
        <w:spacing w:after="140" w:line="320"/>
        <w:jc w:val="both"/>
      </w:pPr>
      <w:r>
        <w:rPr>
          <w:rFonts w:ascii="Arial" w:cs="Arial" w:eastAsia="Arial" w:hAnsi="Arial"/>
          <w:sz w:val="24"/>
          <w:szCs w:val="24"/>
          <w:rtl/>
        </w:rPr>
        <w:t xml:space="preserve">قد ينص النظام الأساس على إمكانية تحويل الأسهم من نوع إلى آخر، أو من فئة إلى أخرى. والإجراءات الشائعة:</w:t>
      </w:r>
    </w:p>
    <w:p>
      <w:pPr>
        <w:pStyle w:val="ListParagraph"/>
        <w:numPr>
          <w:ilvl w:val="0"/>
          <w:numId w:val="3"/>
        </w:numPr>
        <w:bidi/>
        <w:spacing w:after="100" w:line="300"/>
        <w:jc w:val="right"/>
      </w:pPr>
      <w:r>
        <w:rPr>
          <w:rFonts w:ascii="Arial" w:cs="Arial" w:eastAsia="Arial" w:hAnsi="Arial"/>
          <w:sz w:val="24"/>
          <w:szCs w:val="24"/>
          <w:rtl/>
        </w:rPr>
        <w:t xml:space="preserve">تحويل الأسهم الممتازة إلى عادية (أو العكس).</w:t>
      </w:r>
    </w:p>
    <w:p>
      <w:pPr>
        <w:pStyle w:val="ListParagraph"/>
        <w:numPr>
          <w:ilvl w:val="0"/>
          <w:numId w:val="3"/>
        </w:numPr>
        <w:bidi/>
        <w:spacing w:after="100" w:line="300"/>
        <w:jc w:val="right"/>
      </w:pPr>
      <w:r>
        <w:rPr>
          <w:rFonts w:ascii="Arial" w:cs="Arial" w:eastAsia="Arial" w:hAnsi="Arial"/>
          <w:sz w:val="24"/>
          <w:szCs w:val="24"/>
          <w:rtl/>
        </w:rPr>
        <w:t xml:space="preserve">تحويل الأسهم العادية إلى ممتازة وفق شروط محددة.</w:t>
      </w:r>
    </w:p>
    <w:p>
      <w:pPr>
        <w:pStyle w:val="ListParagraph"/>
        <w:numPr>
          <w:ilvl w:val="0"/>
          <w:numId w:val="3"/>
        </w:numPr>
        <w:bidi/>
        <w:spacing w:after="100" w:line="300"/>
        <w:jc w:val="right"/>
      </w:pPr>
      <w:r>
        <w:rPr>
          <w:rFonts w:ascii="Arial" w:cs="Arial" w:eastAsia="Arial" w:hAnsi="Arial"/>
          <w:sz w:val="24"/>
          <w:szCs w:val="24"/>
          <w:rtl/>
        </w:rPr>
        <w:t xml:space="preserve">التحويل بقرار من الجمعية العامة غير العادية.</w:t>
      </w:r>
    </w:p>
    <w:p>
      <w:pPr>
        <w:pStyle w:val="ListParagraph"/>
        <w:numPr>
          <w:ilvl w:val="0"/>
          <w:numId w:val="3"/>
        </w:numPr>
        <w:bidi/>
        <w:spacing w:after="100" w:line="300"/>
        <w:jc w:val="right"/>
      </w:pPr>
      <w:r>
        <w:rPr>
          <w:rFonts w:ascii="Arial" w:cs="Arial" w:eastAsia="Arial" w:hAnsi="Arial"/>
          <w:sz w:val="24"/>
          <w:szCs w:val="24"/>
          <w:rtl/>
        </w:rPr>
        <w:t xml:space="preserve">التحديث في السجل لتعكس الحقوق الجديدة.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الإجراءات النظامية لكل مرحلة</w:t>
      </w:r>
    </w:p>
    <w:p>
      <w:pPr>
        <w:bidi/>
        <w:spacing w:after="140" w:line="320"/>
        <w:jc w:val="both"/>
      </w:pPr>
      <w:r>
        <w:rPr>
          <w:rFonts w:ascii="Arial" w:cs="Arial" w:eastAsia="Arial" w:hAnsi="Arial"/>
          <w:sz w:val="24"/>
          <w:szCs w:val="24"/>
          <w:rtl/>
        </w:rPr>
        <w:t xml:space="preserve">نقدم في الجدول التالي خلاصة الإجراءات النظامية والوثائق المطلوبة لكل مرحلة من مراحل دورة حياة المساهم: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200"/>
        <w:gridCol w:w="2226"/>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المرحلة</w:t>
            </w:r>
          </w:p>
        </w:tc>
        <w:tc>
          <w:tcPr>
            <w:tcW w:type="dxa" w:w="27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الوثائق المطلوبة</w:t>
            </w:r>
          </w:p>
        </w:tc>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الجهة المختصة</w:t>
            </w:r>
          </w:p>
        </w:tc>
        <w:tc>
          <w:tcPr>
            <w:tcW w:type="dxa" w:w="22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المدة المتوقعة</w:t>
            </w:r>
          </w:p>
        </w:tc>
      </w:tr>
      <w:tr>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الاكتتاب التأسيسي</w:t>
            </w:r>
          </w:p>
        </w:tc>
        <w:tc>
          <w:tcPr>
            <w:tcW w:type="dxa" w:w="27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عقد التأسيس، سند سداد، الهوية</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وزارة التجارة</w:t>
            </w:r>
          </w:p>
        </w:tc>
        <w:tc>
          <w:tcPr>
            <w:tcW w:type="dxa" w:w="22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إجراءات التأسيس</w:t>
            </w:r>
          </w:p>
        </w:tc>
      </w:tr>
      <w:tr>
        <w:tc>
          <w:tcPr>
            <w:tcW w:type="dxa" w:w="19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شراء أسهم مدرجة</w:t>
            </w:r>
          </w:p>
        </w:tc>
        <w:tc>
          <w:tcPr>
            <w:tcW w:type="dxa" w:w="27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حساب وسيط، محفظة إيداع</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الوسيط + مركز إيداع</w:t>
            </w:r>
          </w:p>
        </w:tc>
        <w:tc>
          <w:tcPr>
            <w:tcW w:type="dxa" w:w="22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آني (T+2)</w:t>
            </w:r>
          </w:p>
        </w:tc>
      </w:tr>
      <w:tr>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نقل ملكية شركة غير مدرجة</w:t>
            </w:r>
          </w:p>
        </w:tc>
        <w:tc>
          <w:tcPr>
            <w:tcW w:type="dxa" w:w="27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نموذج النقل، توثيق التوقيع</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الشركة / مركز إيداع</w:t>
            </w:r>
          </w:p>
        </w:tc>
        <w:tc>
          <w:tcPr>
            <w:tcW w:type="dxa" w:w="22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1-3 أيام عمل</w:t>
            </w:r>
          </w:p>
        </w:tc>
      </w:tr>
      <w:tr>
        <w:tc>
          <w:tcPr>
            <w:tcW w:type="dxa" w:w="19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الرهن</w:t>
            </w:r>
          </w:p>
        </w:tc>
        <w:tc>
          <w:tcPr>
            <w:tcW w:type="dxa" w:w="27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اتفاق الرهن، طلب موثق</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الشركة / مركز إيداع</w:t>
            </w:r>
          </w:p>
        </w:tc>
        <w:tc>
          <w:tcPr>
            <w:tcW w:type="dxa" w:w="22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2-5 أيام عمل</w:t>
            </w:r>
          </w:p>
        </w:tc>
      </w:tr>
      <w:tr>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فك الرهن</w:t>
            </w:r>
          </w:p>
        </w:tc>
        <w:tc>
          <w:tcPr>
            <w:tcW w:type="dxa" w:w="27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نموذج موافقة المرتهن</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الشركة / مركز إيداع</w:t>
            </w:r>
          </w:p>
        </w:tc>
        <w:tc>
          <w:tcPr>
            <w:tcW w:type="dxa" w:w="22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1-3 أيام عمل</w:t>
            </w:r>
          </w:p>
        </w:tc>
      </w:tr>
      <w:tr>
        <w:tc>
          <w:tcPr>
            <w:tcW w:type="dxa" w:w="19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نقل ملكية بالإرث</w:t>
            </w:r>
          </w:p>
        </w:tc>
        <w:tc>
          <w:tcPr>
            <w:tcW w:type="dxa" w:w="27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صك حصر إرث، قسمة الورثة</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الشركة / مركز إيداع</w:t>
            </w:r>
          </w:p>
        </w:tc>
        <w:tc>
          <w:tcPr>
            <w:tcW w:type="dxa" w:w="22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5-10 أيام عمل</w:t>
            </w:r>
          </w:p>
        </w:tc>
      </w:tr>
      <w:tr>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نقل ملكية بالهبة</w:t>
            </w:r>
          </w:p>
        </w:tc>
        <w:tc>
          <w:tcPr>
            <w:tcW w:type="dxa" w:w="27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عقد الهبة الموثق</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الشركة / مركز إيداع</w:t>
            </w:r>
          </w:p>
        </w:tc>
        <w:tc>
          <w:tcPr>
            <w:tcW w:type="dxa" w:w="22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3-5 أيام عمل</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التحديات الشائعة وكيفية التعامل معها</w:t>
      </w:r>
    </w:p>
    <w:p>
      <w:pPr>
        <w:pStyle w:val="Heading2"/>
        <w:bidi/>
        <w:spacing w:after="160" w:before="280"/>
        <w:jc w:val="right"/>
      </w:pPr>
      <w:r>
        <w:rPr>
          <w:rFonts w:ascii="Arial" w:cs="Arial" w:eastAsia="Arial" w:hAnsi="Arial"/>
          <w:b/>
          <w:bCs/>
          <w:color w:val="2E75B6"/>
          <w:sz w:val="30"/>
          <w:szCs w:val="30"/>
          <w:rtl/>
        </w:rPr>
        <w:t xml:space="preserve">1. التأخر في تحديث البيانات</w:t>
      </w:r>
    </w:p>
    <w:p>
      <w:pPr>
        <w:bidi/>
        <w:spacing w:after="140" w:line="320"/>
        <w:jc w:val="both"/>
      </w:pPr>
      <w:r>
        <w:rPr>
          <w:rFonts w:ascii="Arial" w:cs="Arial" w:eastAsia="Arial" w:hAnsi="Arial"/>
          <w:sz w:val="24"/>
          <w:szCs w:val="24"/>
          <w:rtl/>
        </w:rPr>
        <w:t xml:space="preserve">التحدي: قد لا يُحدّث بعض المساهمين بياناتهم لفترات طويلة، مما يؤدي إلى إخفاق التواصل ووصول الإشعارات.</w:t>
      </w:r>
    </w:p>
    <w:p>
      <w:pPr>
        <w:bidi/>
        <w:spacing w:after="140" w:line="320"/>
        <w:jc w:val="both"/>
      </w:pPr>
      <w:r>
        <w:rPr>
          <w:rFonts w:ascii="Arial" w:cs="Arial" w:eastAsia="Arial" w:hAnsi="Arial"/>
          <w:sz w:val="24"/>
          <w:szCs w:val="24"/>
          <w:rtl/>
        </w:rPr>
        <w:t xml:space="preserve">الحل: حملات توعوية دورية، رسائل تذكير، إتاحة قنوات إلكترونية سهلة للتحديث، ربط التحديثات بمتطلبات استلام التوزيعات.</w:t>
      </w:r>
    </w:p>
    <w:p>
      <w:pPr>
        <w:pStyle w:val="Heading2"/>
        <w:bidi/>
        <w:spacing w:after="160" w:before="280"/>
        <w:jc w:val="right"/>
      </w:pPr>
      <w:r>
        <w:rPr>
          <w:rFonts w:ascii="Arial" w:cs="Arial" w:eastAsia="Arial" w:hAnsi="Arial"/>
          <w:b/>
          <w:bCs/>
          <w:color w:val="2E75B6"/>
          <w:sz w:val="30"/>
          <w:szCs w:val="30"/>
          <w:rtl/>
        </w:rPr>
        <w:t xml:space="preserve">2. النزاعات بين الورثة</w:t>
      </w:r>
    </w:p>
    <w:p>
      <w:pPr>
        <w:bidi/>
        <w:spacing w:after="140" w:line="320"/>
        <w:jc w:val="both"/>
      </w:pPr>
      <w:r>
        <w:rPr>
          <w:rFonts w:ascii="Arial" w:cs="Arial" w:eastAsia="Arial" w:hAnsi="Arial"/>
          <w:sz w:val="24"/>
          <w:szCs w:val="24"/>
          <w:rtl/>
        </w:rPr>
        <w:t xml:space="preserve">التحدي: قد تنشأ نزاعات بين الورثة على قسمة الأسهم، مما يؤخر تحديث السجل.</w:t>
      </w:r>
    </w:p>
    <w:p>
      <w:pPr>
        <w:bidi/>
        <w:spacing w:after="140" w:line="320"/>
        <w:jc w:val="both"/>
      </w:pPr>
      <w:r>
        <w:rPr>
          <w:rFonts w:ascii="Arial" w:cs="Arial" w:eastAsia="Arial" w:hAnsi="Arial"/>
          <w:sz w:val="24"/>
          <w:szCs w:val="24"/>
          <w:rtl/>
        </w:rPr>
        <w:t xml:space="preserve">الحل: التزام صارم بصكوك الحصر والقسمة الرسمية، عدم تنفيذ أي قسمة بدون مستندات معتمدة، توجيه الأطراف إلى الإجراءات القضائية عند الخلاف.</w:t>
      </w:r>
    </w:p>
    <w:p>
      <w:pPr>
        <w:pStyle w:val="Heading2"/>
        <w:bidi/>
        <w:spacing w:after="160" w:before="280"/>
        <w:jc w:val="right"/>
      </w:pPr>
      <w:r>
        <w:rPr>
          <w:rFonts w:ascii="Arial" w:cs="Arial" w:eastAsia="Arial" w:hAnsi="Arial"/>
          <w:b/>
          <w:bCs/>
          <w:color w:val="2E75B6"/>
          <w:sz w:val="30"/>
          <w:szCs w:val="30"/>
          <w:rtl/>
        </w:rPr>
        <w:t xml:space="preserve">3. التزوير ومحاولات الاحتيال</w:t>
      </w:r>
    </w:p>
    <w:p>
      <w:pPr>
        <w:bidi/>
        <w:spacing w:after="140" w:line="320"/>
        <w:jc w:val="both"/>
      </w:pPr>
      <w:r>
        <w:rPr>
          <w:rFonts w:ascii="Arial" w:cs="Arial" w:eastAsia="Arial" w:hAnsi="Arial"/>
          <w:sz w:val="24"/>
          <w:szCs w:val="24"/>
          <w:rtl/>
        </w:rPr>
        <w:t xml:space="preserve">التحدي: قد تواجه الشركة محاولات لنقل ملكية أسهم بناءً على مستندات مزورة.</w:t>
      </w:r>
    </w:p>
    <w:p>
      <w:pPr>
        <w:bidi/>
        <w:spacing w:after="140" w:line="320"/>
        <w:jc w:val="both"/>
      </w:pPr>
      <w:r>
        <w:rPr>
          <w:rFonts w:ascii="Arial" w:cs="Arial" w:eastAsia="Arial" w:hAnsi="Arial"/>
          <w:sz w:val="24"/>
          <w:szCs w:val="24"/>
          <w:rtl/>
        </w:rPr>
        <w:t xml:space="preserve">الحل: التحقق المتعدد من المستندات، توثيق التوقيعات لدى الجهات الرسمية، استخدام أنظمة إلكترونية محصّنة، تتبع كامل لسجل العمليات.</w:t>
      </w:r>
    </w:p>
    <w:p>
      <w:pPr>
        <w:pStyle w:val="Heading2"/>
        <w:bidi/>
        <w:spacing w:after="160" w:before="280"/>
        <w:jc w:val="right"/>
      </w:pPr>
      <w:r>
        <w:rPr>
          <w:rFonts w:ascii="Arial" w:cs="Arial" w:eastAsia="Arial" w:hAnsi="Arial"/>
          <w:b/>
          <w:bCs/>
          <w:color w:val="2E75B6"/>
          <w:sz w:val="30"/>
          <w:szCs w:val="30"/>
          <w:rtl/>
        </w:rPr>
        <w:t xml:space="preserve">4. تعقيد العمليات عبر الحدود</w:t>
      </w:r>
    </w:p>
    <w:p>
      <w:pPr>
        <w:bidi/>
        <w:spacing w:after="140" w:line="320"/>
        <w:jc w:val="both"/>
      </w:pPr>
      <w:r>
        <w:rPr>
          <w:rFonts w:ascii="Arial" w:cs="Arial" w:eastAsia="Arial" w:hAnsi="Arial"/>
          <w:sz w:val="24"/>
          <w:szCs w:val="24"/>
          <w:rtl/>
        </w:rPr>
        <w:t xml:space="preserve">التحدي: قد يكون المساهم مقيماً خارج المملكة، مما يصعّب توثيق التوقيعات وتقديم المستندات.</w:t>
      </w:r>
    </w:p>
    <w:p>
      <w:pPr>
        <w:bidi/>
        <w:spacing w:after="140" w:line="320"/>
        <w:jc w:val="both"/>
      </w:pPr>
      <w:r>
        <w:rPr>
          <w:rFonts w:ascii="Arial" w:cs="Arial" w:eastAsia="Arial" w:hAnsi="Arial"/>
          <w:sz w:val="24"/>
          <w:szCs w:val="24"/>
          <w:rtl/>
        </w:rPr>
        <w:t xml:space="preserve">الحل: الاستفادة من التصديق عبر السفارات والقنصليات، قبول الوثائق المصدّقة وفق الاتفاقيات الدولية، توفير قنوات إلكترونية مع تحقق ثنائي.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أفضل الممارسات في إدارة دورة حياة المساهم</w:t>
      </w:r>
    </w:p>
    <w:p>
      <w:pPr>
        <w:pStyle w:val="ListParagraph"/>
        <w:numPr>
          <w:ilvl w:val="0"/>
          <w:numId w:val="2"/>
        </w:numPr>
        <w:bidi/>
        <w:spacing w:after="100" w:line="300"/>
        <w:jc w:val="right"/>
      </w:pPr>
      <w:r>
        <w:rPr>
          <w:rFonts w:ascii="Arial" w:cs="Arial" w:eastAsia="Arial" w:hAnsi="Arial"/>
          <w:sz w:val="24"/>
          <w:szCs w:val="24"/>
          <w:rtl/>
        </w:rPr>
        <w:t xml:space="preserve">التواصل الاستباقي: المبادرة بالتواصل مع المساهمين دون انتظار أن يأتوا إلى الشركة.</w:t>
      </w:r>
    </w:p>
    <w:p>
      <w:pPr>
        <w:pStyle w:val="ListParagraph"/>
        <w:numPr>
          <w:ilvl w:val="0"/>
          <w:numId w:val="2"/>
        </w:numPr>
        <w:bidi/>
        <w:spacing w:after="100" w:line="300"/>
        <w:jc w:val="right"/>
      </w:pPr>
      <w:r>
        <w:rPr>
          <w:rFonts w:ascii="Arial" w:cs="Arial" w:eastAsia="Arial" w:hAnsi="Arial"/>
          <w:sz w:val="24"/>
          <w:szCs w:val="24"/>
          <w:rtl/>
        </w:rPr>
        <w:t xml:space="preserve">الإلكترنة الكاملة: توفير جميع الخدمات إلكترونياً لتسهيل العمليات وضمان الدقة.</w:t>
      </w:r>
    </w:p>
    <w:p>
      <w:pPr>
        <w:pStyle w:val="ListParagraph"/>
        <w:numPr>
          <w:ilvl w:val="0"/>
          <w:numId w:val="2"/>
        </w:numPr>
        <w:bidi/>
        <w:spacing w:after="100" w:line="300"/>
        <w:jc w:val="right"/>
      </w:pPr>
      <w:r>
        <w:rPr>
          <w:rFonts w:ascii="Arial" w:cs="Arial" w:eastAsia="Arial" w:hAnsi="Arial"/>
          <w:sz w:val="24"/>
          <w:szCs w:val="24"/>
          <w:rtl/>
        </w:rPr>
        <w:t xml:space="preserve">التوثيق الشامل: الاحتفاظ بسجل كامل وآمن لكل عملية مع مستنداتها الأصلية.</w:t>
      </w:r>
    </w:p>
    <w:p>
      <w:pPr>
        <w:pStyle w:val="ListParagraph"/>
        <w:numPr>
          <w:ilvl w:val="0"/>
          <w:numId w:val="2"/>
        </w:numPr>
        <w:bidi/>
        <w:spacing w:after="100" w:line="300"/>
        <w:jc w:val="right"/>
      </w:pPr>
      <w:r>
        <w:rPr>
          <w:rFonts w:ascii="Arial" w:cs="Arial" w:eastAsia="Arial" w:hAnsi="Arial"/>
          <w:sz w:val="24"/>
          <w:szCs w:val="24"/>
          <w:rtl/>
        </w:rPr>
        <w:t xml:space="preserve">التحقق المتعدد: تطبيق آليات تحقق متعددة في كل عملية لمنع التلاعب.</w:t>
      </w:r>
    </w:p>
    <w:p>
      <w:pPr>
        <w:pStyle w:val="ListParagraph"/>
        <w:numPr>
          <w:ilvl w:val="0"/>
          <w:numId w:val="2"/>
        </w:numPr>
        <w:bidi/>
        <w:spacing w:after="100" w:line="300"/>
        <w:jc w:val="right"/>
      </w:pPr>
      <w:r>
        <w:rPr>
          <w:rFonts w:ascii="Arial" w:cs="Arial" w:eastAsia="Arial" w:hAnsi="Arial"/>
          <w:sz w:val="24"/>
          <w:szCs w:val="24"/>
          <w:rtl/>
        </w:rPr>
        <w:t xml:space="preserve">التدريب المستمر: تدريب فريق العمل على الإجراءات والتحديثات التنظيمية.</w:t>
      </w:r>
    </w:p>
    <w:p>
      <w:pPr>
        <w:pStyle w:val="ListParagraph"/>
        <w:numPr>
          <w:ilvl w:val="0"/>
          <w:numId w:val="2"/>
        </w:numPr>
        <w:bidi/>
        <w:spacing w:after="100" w:line="300"/>
        <w:jc w:val="right"/>
      </w:pPr>
      <w:r>
        <w:rPr>
          <w:rFonts w:ascii="Arial" w:cs="Arial" w:eastAsia="Arial" w:hAnsi="Arial"/>
          <w:sz w:val="24"/>
          <w:szCs w:val="24"/>
          <w:rtl/>
        </w:rPr>
        <w:t xml:space="preserve">المراجعة الدورية: مراجعة دورية للسجل لاكتشاف أي تناقضات أو أخطاء.</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الاحتياطية: الاحتفاظ بنسخ احتياطية متعددة من السجل في أماكن آمنة.</w:t>
      </w:r>
    </w:p>
    <w:p>
      <w:pPr>
        <w:pStyle w:val="ListParagraph"/>
        <w:numPr>
          <w:ilvl w:val="0"/>
          <w:numId w:val="2"/>
        </w:numPr>
        <w:bidi/>
        <w:spacing w:after="100" w:line="300"/>
        <w:jc w:val="right"/>
      </w:pPr>
      <w:r>
        <w:rPr>
          <w:rFonts w:ascii="Arial" w:cs="Arial" w:eastAsia="Arial" w:hAnsi="Arial"/>
          <w:sz w:val="24"/>
          <w:szCs w:val="24"/>
          <w:rtl/>
        </w:rPr>
        <w:t xml:space="preserve">الشفافية: إتاحة المعلومات للمساهمين عن حالة أسهمهم وأي قيود عليها.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قائمة مراجعة شاملة لإدارة دورة حياة المساهم</w:t>
      </w:r>
    </w:p>
    <w:p>
      <w:pPr>
        <w:pStyle w:val="Heading3"/>
        <w:bidi/>
        <w:spacing w:after="120" w:before="200"/>
        <w:jc w:val="right"/>
      </w:pPr>
      <w:r>
        <w:rPr>
          <w:rFonts w:ascii="Arial" w:cs="Arial" w:eastAsia="Arial" w:hAnsi="Arial"/>
          <w:b/>
          <w:bCs/>
          <w:color w:val="1F4E79"/>
          <w:sz w:val="26"/>
          <w:szCs w:val="26"/>
          <w:rtl/>
        </w:rPr>
        <w:t xml:space="preserve">عند اكتساب الصفة</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الوثائق المطلوبة.</w:t>
      </w:r>
    </w:p>
    <w:p>
      <w:pPr>
        <w:pStyle w:val="ListParagraph"/>
        <w:numPr>
          <w:ilvl w:val="0"/>
          <w:numId w:val="3"/>
        </w:numPr>
        <w:bidi/>
        <w:spacing w:after="100" w:line="300"/>
        <w:jc w:val="right"/>
      </w:pPr>
      <w:r>
        <w:rPr>
          <w:rFonts w:ascii="Arial" w:cs="Arial" w:eastAsia="Arial" w:hAnsi="Arial"/>
          <w:sz w:val="24"/>
          <w:szCs w:val="24"/>
          <w:rtl/>
        </w:rPr>
        <w:t xml:space="preserve">التأكد من سداد القيمة المطلوبة.</w:t>
      </w:r>
    </w:p>
    <w:p>
      <w:pPr>
        <w:pStyle w:val="ListParagraph"/>
        <w:numPr>
          <w:ilvl w:val="0"/>
          <w:numId w:val="3"/>
        </w:numPr>
        <w:bidi/>
        <w:spacing w:after="100" w:line="300"/>
        <w:jc w:val="right"/>
      </w:pPr>
      <w:r>
        <w:rPr>
          <w:rFonts w:ascii="Arial" w:cs="Arial" w:eastAsia="Arial" w:hAnsi="Arial"/>
          <w:sz w:val="24"/>
          <w:szCs w:val="24"/>
          <w:rtl/>
        </w:rPr>
        <w:t xml:space="preserve">القيد الفوري في السجل.</w:t>
      </w:r>
    </w:p>
    <w:p>
      <w:pPr>
        <w:pStyle w:val="ListParagraph"/>
        <w:numPr>
          <w:ilvl w:val="0"/>
          <w:numId w:val="3"/>
        </w:numPr>
        <w:bidi/>
        <w:spacing w:after="100" w:line="300"/>
        <w:jc w:val="right"/>
      </w:pPr>
      <w:r>
        <w:rPr>
          <w:rFonts w:ascii="Arial" w:cs="Arial" w:eastAsia="Arial" w:hAnsi="Arial"/>
          <w:sz w:val="24"/>
          <w:szCs w:val="24"/>
          <w:rtl/>
        </w:rPr>
        <w:t xml:space="preserve">إرسال إشعار رسمي بإكمال القيد.</w:t>
      </w:r>
    </w:p>
    <w:p>
      <w:pPr>
        <w:pStyle w:val="ListParagraph"/>
        <w:numPr>
          <w:ilvl w:val="0"/>
          <w:numId w:val="3"/>
        </w:numPr>
        <w:bidi/>
        <w:spacing w:after="100" w:line="300"/>
        <w:jc w:val="right"/>
      </w:pPr>
      <w:r>
        <w:rPr>
          <w:rFonts w:ascii="Arial" w:cs="Arial" w:eastAsia="Arial" w:hAnsi="Arial"/>
          <w:sz w:val="24"/>
          <w:szCs w:val="24"/>
          <w:rtl/>
        </w:rPr>
        <w:t xml:space="preserve">توفير الوصول إلى قنوات الشركة الإلكترونية.</w:t>
      </w:r>
    </w:p>
    <w:p>
      <w:pPr>
        <w:pStyle w:val="Heading3"/>
        <w:bidi/>
        <w:spacing w:after="120" w:before="200"/>
        <w:jc w:val="right"/>
      </w:pPr>
      <w:r>
        <w:rPr>
          <w:rFonts w:ascii="Arial" w:cs="Arial" w:eastAsia="Arial" w:hAnsi="Arial"/>
          <w:b/>
          <w:bCs/>
          <w:color w:val="1F4E79"/>
          <w:sz w:val="26"/>
          <w:szCs w:val="26"/>
          <w:rtl/>
        </w:rPr>
        <w:t xml:space="preserve">خلال فترة الاحتفاظ</w:t>
      </w:r>
    </w:p>
    <w:p>
      <w:pPr>
        <w:pStyle w:val="ListParagraph"/>
        <w:numPr>
          <w:ilvl w:val="0"/>
          <w:numId w:val="3"/>
        </w:numPr>
        <w:bidi/>
        <w:spacing w:after="100" w:line="300"/>
        <w:jc w:val="right"/>
      </w:pPr>
      <w:r>
        <w:rPr>
          <w:rFonts w:ascii="Arial" w:cs="Arial" w:eastAsia="Arial" w:hAnsi="Arial"/>
          <w:sz w:val="24"/>
          <w:szCs w:val="24"/>
          <w:rtl/>
        </w:rPr>
        <w:t xml:space="preserve">إرسال جميع الإشعارات والإفصاحات في وقتها.</w:t>
      </w:r>
    </w:p>
    <w:p>
      <w:pPr>
        <w:pStyle w:val="ListParagraph"/>
        <w:numPr>
          <w:ilvl w:val="0"/>
          <w:numId w:val="3"/>
        </w:numPr>
        <w:bidi/>
        <w:spacing w:after="100" w:line="300"/>
        <w:jc w:val="right"/>
      </w:pPr>
      <w:r>
        <w:rPr>
          <w:rFonts w:ascii="Arial" w:cs="Arial" w:eastAsia="Arial" w:hAnsi="Arial"/>
          <w:sz w:val="24"/>
          <w:szCs w:val="24"/>
          <w:rtl/>
        </w:rPr>
        <w:t xml:space="preserve">صرف توزيعات الأرباح وفق الإجراءات.</w:t>
      </w:r>
    </w:p>
    <w:p>
      <w:pPr>
        <w:pStyle w:val="ListParagraph"/>
        <w:numPr>
          <w:ilvl w:val="0"/>
          <w:numId w:val="3"/>
        </w:numPr>
        <w:bidi/>
        <w:spacing w:after="100" w:line="300"/>
        <w:jc w:val="right"/>
      </w:pPr>
      <w:r>
        <w:rPr>
          <w:rFonts w:ascii="Arial" w:cs="Arial" w:eastAsia="Arial" w:hAnsi="Arial"/>
          <w:sz w:val="24"/>
          <w:szCs w:val="24"/>
          <w:rtl/>
        </w:rPr>
        <w:t xml:space="preserve">تسهيل ممارسة حقوق التصويت.</w:t>
      </w:r>
    </w:p>
    <w:p>
      <w:pPr>
        <w:pStyle w:val="ListParagraph"/>
        <w:numPr>
          <w:ilvl w:val="0"/>
          <w:numId w:val="3"/>
        </w:numPr>
        <w:bidi/>
        <w:spacing w:after="100" w:line="300"/>
        <w:jc w:val="right"/>
      </w:pPr>
      <w:r>
        <w:rPr>
          <w:rFonts w:ascii="Arial" w:cs="Arial" w:eastAsia="Arial" w:hAnsi="Arial"/>
          <w:sz w:val="24"/>
          <w:szCs w:val="24"/>
          <w:rtl/>
        </w:rPr>
        <w:t xml:space="preserve">الاستجابة لاستفسارات المساهمين.</w:t>
      </w:r>
    </w:p>
    <w:p>
      <w:pPr>
        <w:pStyle w:val="ListParagraph"/>
        <w:numPr>
          <w:ilvl w:val="0"/>
          <w:numId w:val="3"/>
        </w:numPr>
        <w:bidi/>
        <w:spacing w:after="100" w:line="300"/>
        <w:jc w:val="right"/>
      </w:pPr>
      <w:r>
        <w:rPr>
          <w:rFonts w:ascii="Arial" w:cs="Arial" w:eastAsia="Arial" w:hAnsi="Arial"/>
          <w:sz w:val="24"/>
          <w:szCs w:val="24"/>
          <w:rtl/>
        </w:rPr>
        <w:t xml:space="preserve">تحديث البيانات فور الإخطار بالتغيير.</w:t>
      </w:r>
    </w:p>
    <w:p>
      <w:pPr>
        <w:pStyle w:val="Heading3"/>
        <w:bidi/>
        <w:spacing w:after="120" w:before="200"/>
        <w:jc w:val="right"/>
      </w:pPr>
      <w:r>
        <w:rPr>
          <w:rFonts w:ascii="Arial" w:cs="Arial" w:eastAsia="Arial" w:hAnsi="Arial"/>
          <w:b/>
          <w:bCs/>
          <w:color w:val="1F4E79"/>
          <w:sz w:val="26"/>
          <w:szCs w:val="26"/>
          <w:rtl/>
        </w:rPr>
        <w:t xml:space="preserve">عند التصرف</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نموذج نقل الملكية.</w:t>
      </w:r>
    </w:p>
    <w:p>
      <w:pPr>
        <w:pStyle w:val="ListParagraph"/>
        <w:numPr>
          <w:ilvl w:val="0"/>
          <w:numId w:val="3"/>
        </w:numPr>
        <w:bidi/>
        <w:spacing w:after="100" w:line="300"/>
        <w:jc w:val="right"/>
      </w:pPr>
      <w:r>
        <w:rPr>
          <w:rFonts w:ascii="Arial" w:cs="Arial" w:eastAsia="Arial" w:hAnsi="Arial"/>
          <w:sz w:val="24"/>
          <w:szCs w:val="24"/>
          <w:rtl/>
        </w:rPr>
        <w:t xml:space="preserve">توثيق التوقيعات لدى الجهات المختصة.</w:t>
      </w:r>
    </w:p>
    <w:p>
      <w:pPr>
        <w:pStyle w:val="ListParagraph"/>
        <w:numPr>
          <w:ilvl w:val="0"/>
          <w:numId w:val="3"/>
        </w:numPr>
        <w:bidi/>
        <w:spacing w:after="100" w:line="300"/>
        <w:jc w:val="right"/>
      </w:pPr>
      <w:r>
        <w:rPr>
          <w:rFonts w:ascii="Arial" w:cs="Arial" w:eastAsia="Arial" w:hAnsi="Arial"/>
          <w:sz w:val="24"/>
          <w:szCs w:val="24"/>
          <w:rtl/>
        </w:rPr>
        <w:t xml:space="preserve">التأكد من عدم وجود قيود تمنع النقل.</w:t>
      </w:r>
    </w:p>
    <w:p>
      <w:pPr>
        <w:pStyle w:val="ListParagraph"/>
        <w:numPr>
          <w:ilvl w:val="0"/>
          <w:numId w:val="3"/>
        </w:numPr>
        <w:bidi/>
        <w:spacing w:after="100" w:line="300"/>
        <w:jc w:val="right"/>
      </w:pPr>
      <w:r>
        <w:rPr>
          <w:rFonts w:ascii="Arial" w:cs="Arial" w:eastAsia="Arial" w:hAnsi="Arial"/>
          <w:sz w:val="24"/>
          <w:szCs w:val="24"/>
          <w:rtl/>
        </w:rPr>
        <w:t xml:space="preserve">التحقق من سداد أي مستحقات للشركة.</w:t>
      </w:r>
    </w:p>
    <w:p>
      <w:pPr>
        <w:pStyle w:val="ListParagraph"/>
        <w:numPr>
          <w:ilvl w:val="0"/>
          <w:numId w:val="3"/>
        </w:numPr>
        <w:bidi/>
        <w:spacing w:after="100" w:line="300"/>
        <w:jc w:val="right"/>
      </w:pPr>
      <w:r>
        <w:rPr>
          <w:rFonts w:ascii="Arial" w:cs="Arial" w:eastAsia="Arial" w:hAnsi="Arial"/>
          <w:sz w:val="24"/>
          <w:szCs w:val="24"/>
          <w:rtl/>
        </w:rPr>
        <w:t xml:space="preserve">القيد في السجل وإخطار الأطراف.</w:t>
      </w:r>
    </w:p>
    <w:p>
      <w:pPr>
        <w:pStyle w:val="ListParagraph"/>
        <w:numPr>
          <w:ilvl w:val="0"/>
          <w:numId w:val="3"/>
        </w:numPr>
        <w:bidi/>
        <w:spacing w:after="100" w:line="300"/>
        <w:jc w:val="right"/>
      </w:pPr>
      <w:r>
        <w:rPr>
          <w:rFonts w:ascii="Arial" w:cs="Arial" w:eastAsia="Arial" w:hAnsi="Arial"/>
          <w:sz w:val="24"/>
          <w:szCs w:val="24"/>
          <w:rtl/>
        </w:rPr>
        <w:t xml:space="preserve">تحديث الإفصاحات للجهات التنظيمية.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دورة حياة المساهم رحلة طويلة ومعقدة تبدأ باكتساب الصفة وتنتهي بالتصرف في الأسهم، وتمر في خلالها بممارسة حقوق متعددة والتعامل مع قيود محتملة. وإدارة هذه الدورة بكفاءة تتطلب إلماماً تاماً بالإجراءات النظامية والوثائق المطلوبة لكل مرحلة.</w:t>
      </w:r>
    </w:p>
    <w:p>
      <w:pPr>
        <w:bidi/>
        <w:spacing w:after="140" w:line="320"/>
        <w:jc w:val="both"/>
      </w:pPr>
      <w:r>
        <w:rPr>
          <w:rFonts w:ascii="Arial" w:cs="Arial" w:eastAsia="Arial" w:hAnsi="Arial"/>
          <w:sz w:val="24"/>
          <w:szCs w:val="24"/>
          <w:rtl/>
        </w:rPr>
        <w:t xml:space="preserve">الشركات الناجحة تنظر إلى علاقتها مع مساهميها كعلاقة طويلة الأمد تستوجب التواصل المستمر والشفافية والتميز في الخدمة. وأنظمة إدارة سجل المساهمين الحديثة تُسهّل هذه الإدارة وتُمكّن من تقديم تجربة سلسة للمساهم في كل مراحل دورته.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لا تكتمل أي عملية تتعلق بالأسهم إلا بقيدها في سجل المساهمين. 2) القيد في السجل ينقل الحقوق ويمنح الصفة القانونية. 3) كل عملية تتطلب وثائق محددة وإجراءات نظامية لا يجوز الإخلال بها. 4) القيود (الرهن، الحجز) يجب تسجيلها فور الإخطار بها وحتى رفعها. 5) الإلكترنة الكاملة وأنظمة التحقق المتعددة هي مفتاح إدارة كفؤة وآمنة لدورة حياة المساهم.</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3"/>
        </w:numPr>
        <w:bidi/>
        <w:spacing w:after="100" w:line="300"/>
        <w:jc w:val="right"/>
      </w:pPr>
      <w:r>
        <w:rPr>
          <w:rFonts w:ascii="Arial" w:cs="Arial" w:eastAsia="Arial" w:hAnsi="Arial"/>
          <w:sz w:val="24"/>
          <w:szCs w:val="24"/>
          <w:rtl/>
        </w:rPr>
        <w:t xml:space="preserve">نظام الشركات السعودي - الفصول الخاصة بالأسهم والمساهمين.</w:t>
      </w:r>
    </w:p>
    <w:p>
      <w:pPr>
        <w:pStyle w:val="ListParagraph"/>
        <w:numPr>
          <w:ilvl w:val="0"/>
          <w:numId w:val="3"/>
        </w:numPr>
        <w:bidi/>
        <w:spacing w:after="100" w:line="300"/>
        <w:jc w:val="right"/>
      </w:pPr>
      <w:r>
        <w:rPr>
          <w:rFonts w:ascii="Arial" w:cs="Arial" w:eastAsia="Arial" w:hAnsi="Arial"/>
          <w:sz w:val="24"/>
          <w:szCs w:val="24"/>
          <w:rtl/>
        </w:rPr>
        <w:t xml:space="preserve">اللائحة التنفيذية لنظام الشركات - الباب الخاص بالأسهم ونقل ملكيتها.</w:t>
      </w:r>
    </w:p>
    <w:p>
      <w:pPr>
        <w:pStyle w:val="ListParagraph"/>
        <w:numPr>
          <w:ilvl w:val="0"/>
          <w:numId w:val="3"/>
        </w:numPr>
        <w:bidi/>
        <w:spacing w:after="100" w:line="300"/>
        <w:jc w:val="right"/>
      </w:pPr>
      <w:r>
        <w:rPr>
          <w:rFonts w:ascii="Arial" w:cs="Arial" w:eastAsia="Arial" w:hAnsi="Arial"/>
          <w:sz w:val="24"/>
          <w:szCs w:val="24"/>
          <w:rtl/>
        </w:rPr>
        <w:t xml:space="preserve">قواعد الإيداع والتسجيل لدى مركز إيداع الأوراق المالية.</w:t>
      </w:r>
    </w:p>
    <w:p>
      <w:pPr>
        <w:pStyle w:val="ListParagraph"/>
        <w:numPr>
          <w:ilvl w:val="0"/>
          <w:numId w:val="3"/>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3"/>
        </w:numPr>
        <w:bidi/>
        <w:spacing w:after="100" w:line="300"/>
        <w:jc w:val="right"/>
      </w:pPr>
      <w:r>
        <w:rPr>
          <w:rFonts w:ascii="Arial" w:cs="Arial" w:eastAsia="Arial" w:hAnsi="Arial"/>
          <w:sz w:val="24"/>
          <w:szCs w:val="24"/>
          <w:rtl/>
        </w:rPr>
        <w:t xml:space="preserve">الموقع الرسمي لشركة مركز إيداع الأوراق المالية (إيداع).</w:t>
      </w:r>
    </w:p>
    <w:p>
      <w:pPr>
        <w:pStyle w:val="ListParagraph"/>
        <w:numPr>
          <w:ilvl w:val="0"/>
          <w:numId w:val="3"/>
        </w:numPr>
        <w:bidi/>
        <w:spacing w:after="100" w:line="300"/>
        <w:jc w:val="right"/>
      </w:pPr>
      <w:r>
        <w:rPr>
          <w:rFonts w:ascii="Arial" w:cs="Arial" w:eastAsia="Arial" w:hAnsi="Arial"/>
          <w:sz w:val="24"/>
          <w:szCs w:val="24"/>
          <w:rtl/>
        </w:rPr>
        <w:t xml:space="preserve">الخدمات الإلكترونية لوزارة التجارة - تحديث سجل المساهمين.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دورة حياة المساهم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دورة حياة المساهم</dc:title>
  <dc:creator>Corporate Governance Knowledge Base</dc:creator>
  <cp:lastModifiedBy>Un-named</cp:lastModifiedBy>
  <cp:revision>1</cp:revision>
  <dcterms:created xsi:type="dcterms:W3CDTF">2026-05-15T23:48:35.321Z</dcterms:created>
  <dcterms:modified xsi:type="dcterms:W3CDTF">2026-05-15T23:48:35.321Z</dcterms:modified>
</cp:coreProperties>
</file>

<file path=docProps/custom.xml><?xml version="1.0" encoding="utf-8"?>
<Properties xmlns="http://schemas.openxmlformats.org/officeDocument/2006/custom-properties" xmlns:vt="http://schemas.openxmlformats.org/officeDocument/2006/docPropsVTypes"/>
</file>