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1F4E79"/>
          <w:sz w:val="44"/>
          <w:szCs w:val="44"/>
          <w:rtl/>
        </w:rPr>
        <w:t xml:space="preserve">تحديث وصيانة سجل المساهمين</w:t>
      </w:r>
    </w:p>
    <w:p>
      <w:pPr>
        <w:bidi/>
        <w:spacing w:after="400"/>
        <w:jc w:val="center"/>
      </w:pPr>
      <w:r>
        <w:rPr>
          <w:rFonts w:ascii="Arial" w:cs="Arial" w:eastAsia="Arial" w:hAnsi="Arial"/>
          <w:i/>
          <w:iCs/>
          <w:color w:val="2E75B6"/>
          <w:sz w:val="26"/>
          <w:szCs w:val="26"/>
          <w:rtl/>
        </w:rPr>
        <w:t xml:space="preserve">السياسات والإجراءات للحفاظ على دقة السجل واتساقه</w:t>
      </w:r>
    </w:p>
    <w:p>
      <w:pPr>
        <w:pBdr>
          <w:bottom w:val="single" w:color="1F4E79" w:sz="12" w:space="4"/>
        </w:pBdr>
        <w:spacing w:after="300"/>
      </w:pPr>
    </w:p>
    <w:p>
      <w:pPr>
        <w:pStyle w:val="Heading1"/>
        <w:bidi/>
        <w:spacing w:after="200" w:before="360"/>
        <w:jc w:val="right"/>
      </w:pPr>
      <w:r>
        <w:rPr>
          <w:rFonts w:ascii="Arial" w:cs="Arial" w:eastAsia="Arial" w:hAnsi="Arial"/>
          <w:b/>
          <w:bCs/>
          <w:color w:val="1F4E79"/>
          <w:sz w:val="36"/>
          <w:szCs w:val="36"/>
          <w:rtl/>
        </w:rPr>
        <w:t xml:space="preserve">مقدمة</w:t>
      </w:r>
    </w:p>
    <w:p>
      <w:pPr>
        <w:bidi/>
        <w:spacing w:after="140" w:line="320"/>
        <w:jc w:val="both"/>
      </w:pPr>
      <w:r>
        <w:rPr>
          <w:rFonts w:ascii="Arial" w:cs="Arial" w:eastAsia="Arial" w:hAnsi="Arial"/>
          <w:sz w:val="24"/>
          <w:szCs w:val="24"/>
          <w:rtl/>
        </w:rPr>
        <w:t xml:space="preserve">يُعدّ تحديث سجل المساهمين وصيانته من أكثر العمليات حساسيةً وأهمية في حوكمة الشركات. فالسجل ليس وثيقةً جامدة، بل كائنٌ حي يتغير باستمرار مع تبدل الملكية وتحديث بيانات المساهمين وفرض القيود ورفعها. وأي تأخر في التحديث، أو خطأ في البيانات، أو ضعف في إجراءات الصيانة قد يُترجَم إلى نزاعات قانونية، أو إخلال بحقوق المساهمين، أو مخالفات تنظيمية تستوجب عقوبات.</w:t>
      </w:r>
    </w:p>
    <w:p>
      <w:pPr>
        <w:bidi/>
        <w:spacing w:after="140" w:line="320"/>
        <w:jc w:val="both"/>
      </w:pPr>
      <w:r>
        <w:rPr>
          <w:rFonts w:ascii="Arial" w:cs="Arial" w:eastAsia="Arial" w:hAnsi="Arial"/>
          <w:sz w:val="24"/>
          <w:szCs w:val="24"/>
          <w:rtl/>
        </w:rPr>
        <w:t xml:space="preserve">التحديث الدقيق والصيانة المنتظمة ليسا مجرد إجراءات فنية، بل ركيزتان من ركائز الحوكمة الرشيدة، إذ يعكسان مدى التزام الشركة بحماية حقوق مساهميها وامتثالها للمتطلبات النظامية. ومع التحول الرقمي الذي تشهده المملكة العربية السعودية في إطار رؤية 2030، أصبحت أنظمة إدارة السجل الإلكترونية ركيزة أساسية لتحقيق هذه الأهداف بكفاءة عالية.</w:t>
      </w:r>
    </w:p>
    <w:p>
      <w:pPr>
        <w:bidi/>
        <w:spacing w:after="140" w:line="320"/>
        <w:jc w:val="both"/>
      </w:pPr>
      <w:r>
        <w:rPr>
          <w:rFonts w:ascii="Arial" w:cs="Arial" w:eastAsia="Arial" w:hAnsi="Arial"/>
          <w:sz w:val="24"/>
          <w:szCs w:val="24"/>
          <w:rtl/>
        </w:rPr>
        <w:t xml:space="preserve">في هذا المقال، نستعرض السياسات والإجراءات اللازمة للحفاظ على سجل دقيق ومحدّث، مع التركيز على الجوانب التشغيلية والتقنية والرقابية.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أولاً: لماذا التحديث الدوري للسجل ضرورة وليس خياراً؟</w:t>
      </w:r>
    </w:p>
    <w:p>
      <w:pPr>
        <w:bidi/>
        <w:spacing w:after="140" w:line="320"/>
        <w:jc w:val="both"/>
      </w:pPr>
      <w:r>
        <w:rPr>
          <w:rFonts w:ascii="Arial" w:cs="Arial" w:eastAsia="Arial" w:hAnsi="Arial"/>
          <w:sz w:val="24"/>
          <w:szCs w:val="24"/>
          <w:rtl/>
        </w:rPr>
        <w:t xml:space="preserve">قبل الخوض في تفاصيل الإجراءات، من المهم استيعاب الأسباب الجوهرية التي تجعل التحديث الدوري ضرورةً قصوى:</w:t>
      </w:r>
    </w:p>
    <w:p>
      <w:pPr>
        <w:pStyle w:val="Heading2"/>
        <w:bidi/>
        <w:spacing w:after="160" w:before="280"/>
        <w:jc w:val="right"/>
      </w:pPr>
      <w:r>
        <w:rPr>
          <w:rFonts w:ascii="Arial" w:cs="Arial" w:eastAsia="Arial" w:hAnsi="Arial"/>
          <w:b/>
          <w:bCs/>
          <w:color w:val="2E75B6"/>
          <w:sz w:val="30"/>
          <w:szCs w:val="30"/>
          <w:rtl/>
        </w:rPr>
        <w:t xml:space="preserve">1. الالتزام النظامي</w:t>
      </w:r>
    </w:p>
    <w:p>
      <w:pPr>
        <w:bidi/>
        <w:spacing w:after="140" w:line="320"/>
        <w:jc w:val="both"/>
      </w:pPr>
      <w:r>
        <w:rPr>
          <w:rFonts w:ascii="Arial" w:cs="Arial" w:eastAsia="Arial" w:hAnsi="Arial"/>
          <w:sz w:val="24"/>
          <w:szCs w:val="24"/>
          <w:rtl/>
        </w:rPr>
        <w:t xml:space="preserve">ألزم نظام الشركات السعودي ولائحته التنفيذية الشركات بإمساك سجلات دقيقة ومحدّثة، ورتّب على الإخلال بذلك مسؤوليات قانونية. كما أوجبت لائحة حوكمة الشركات على مجلس الإدارة الإشراف على نظم المعلومات المتعلقة بالمساهمين والتأكد من سلامتها.</w:t>
      </w:r>
    </w:p>
    <w:p>
      <w:pPr>
        <w:pStyle w:val="Heading2"/>
        <w:bidi/>
        <w:spacing w:after="160" w:before="280"/>
        <w:jc w:val="right"/>
      </w:pPr>
      <w:r>
        <w:rPr>
          <w:rFonts w:ascii="Arial" w:cs="Arial" w:eastAsia="Arial" w:hAnsi="Arial"/>
          <w:b/>
          <w:bCs/>
          <w:color w:val="2E75B6"/>
          <w:sz w:val="30"/>
          <w:szCs w:val="30"/>
          <w:rtl/>
        </w:rPr>
        <w:t xml:space="preserve">2. حماية حقوق المساهمين</w:t>
      </w:r>
    </w:p>
    <w:p>
      <w:pPr>
        <w:bidi/>
        <w:spacing w:after="140" w:line="320"/>
        <w:jc w:val="both"/>
      </w:pPr>
      <w:r>
        <w:rPr>
          <w:rFonts w:ascii="Arial" w:cs="Arial" w:eastAsia="Arial" w:hAnsi="Arial"/>
          <w:sz w:val="24"/>
          <w:szCs w:val="24"/>
          <w:rtl/>
        </w:rPr>
        <w:t xml:space="preserve">التأخر في تحديث السجل قد يحرم المساهم الجديد من حقوقه (كالتصويت أو استلام الأرباح)، أو يُمكّن المالك السابق من ممارسة حقوق لم تعد له. والشركة في النهاية هي الضامن لحقوق جميع الأطراف.</w:t>
      </w:r>
    </w:p>
    <w:p>
      <w:pPr>
        <w:pStyle w:val="Heading2"/>
        <w:bidi/>
        <w:spacing w:after="160" w:before="280"/>
        <w:jc w:val="right"/>
      </w:pPr>
      <w:r>
        <w:rPr>
          <w:rFonts w:ascii="Arial" w:cs="Arial" w:eastAsia="Arial" w:hAnsi="Arial"/>
          <w:b/>
          <w:bCs/>
          <w:color w:val="2E75B6"/>
          <w:sz w:val="30"/>
          <w:szCs w:val="30"/>
          <w:rtl/>
        </w:rPr>
        <w:t xml:space="preserve">3. سلامة العمليات التشغيلية</w:t>
      </w:r>
    </w:p>
    <w:p>
      <w:pPr>
        <w:bidi/>
        <w:spacing w:after="140" w:line="320"/>
        <w:jc w:val="both"/>
      </w:pPr>
      <w:r>
        <w:rPr>
          <w:rFonts w:ascii="Arial" w:cs="Arial" w:eastAsia="Arial" w:hAnsi="Arial"/>
          <w:sz w:val="24"/>
          <w:szCs w:val="24"/>
          <w:rtl/>
        </w:rPr>
        <w:t xml:space="preserve">كثير من عمليات الشركة الجوهرية تعتمد على بيانات السجل: الجمعيات العمومية، توزيعات الأرباح، الإصدارات الجديدة، الإفصاحات الدورية. وأي خلل في هذه البيانات يُؤثر على كل هذه العمليات.</w:t>
      </w:r>
    </w:p>
    <w:p>
      <w:pPr>
        <w:pStyle w:val="Heading2"/>
        <w:bidi/>
        <w:spacing w:after="160" w:before="280"/>
        <w:jc w:val="right"/>
      </w:pPr>
      <w:r>
        <w:rPr>
          <w:rFonts w:ascii="Arial" w:cs="Arial" w:eastAsia="Arial" w:hAnsi="Arial"/>
          <w:b/>
          <w:bCs/>
          <w:color w:val="2E75B6"/>
          <w:sz w:val="30"/>
          <w:szCs w:val="30"/>
          <w:rtl/>
        </w:rPr>
        <w:t xml:space="preserve">4. الشفافية والثقة</w:t>
      </w:r>
    </w:p>
    <w:p>
      <w:pPr>
        <w:bidi/>
        <w:spacing w:after="140" w:line="320"/>
        <w:jc w:val="both"/>
      </w:pPr>
      <w:r>
        <w:rPr>
          <w:rFonts w:ascii="Arial" w:cs="Arial" w:eastAsia="Arial" w:hAnsi="Arial"/>
          <w:sz w:val="24"/>
          <w:szCs w:val="24"/>
          <w:rtl/>
        </w:rPr>
        <w:t xml:space="preserve">سجل دقيق ومحدّث يبني ثقة المستثمرين والمساهمين في الشركة، ويُعزز سمعتها في السوق. وعلى العكس، الأخطاء المتكررة تُضعف ثقة المساهمين وقد تؤثر سلباً على سعر السهم.</w:t>
      </w:r>
    </w:p>
    <w:p>
      <w:pPr>
        <w:pStyle w:val="Heading2"/>
        <w:bidi/>
        <w:spacing w:after="160" w:before="280"/>
        <w:jc w:val="right"/>
      </w:pPr>
      <w:r>
        <w:rPr>
          <w:rFonts w:ascii="Arial" w:cs="Arial" w:eastAsia="Arial" w:hAnsi="Arial"/>
          <w:b/>
          <w:bCs/>
          <w:color w:val="2E75B6"/>
          <w:sz w:val="30"/>
          <w:szCs w:val="30"/>
          <w:rtl/>
        </w:rPr>
        <w:t xml:space="preserve">5. الامتثال لمتطلبات الإفصاح</w:t>
      </w:r>
    </w:p>
    <w:p>
      <w:pPr>
        <w:bidi/>
        <w:spacing w:after="140" w:line="320"/>
        <w:jc w:val="both"/>
      </w:pPr>
      <w:r>
        <w:rPr>
          <w:rFonts w:ascii="Arial" w:cs="Arial" w:eastAsia="Arial" w:hAnsi="Arial"/>
          <w:sz w:val="24"/>
          <w:szCs w:val="24"/>
          <w:rtl/>
        </w:rPr>
        <w:t xml:space="preserve">الإفصاحات الدورية للجهات التنظيمية - كتقرير كبار المساهمين الشهري - يجب أن تكون دقيقة، وأي خطأ قد يُعرّض الشركة لعقوبات مالية ومخاطر سمعة.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ثانياً: أنواع التحديثات على سجل المساهمين</w:t>
      </w:r>
    </w:p>
    <w:p>
      <w:pPr>
        <w:bidi/>
        <w:spacing w:after="140" w:line="320"/>
        <w:jc w:val="both"/>
      </w:pPr>
      <w:r>
        <w:rPr>
          <w:rFonts w:ascii="Arial" w:cs="Arial" w:eastAsia="Arial" w:hAnsi="Arial"/>
          <w:sz w:val="24"/>
          <w:szCs w:val="24"/>
          <w:rtl/>
        </w:rPr>
        <w:t xml:space="preserve">تتنوع التحديثات التي تطرأ على سجل المساهمين بحسب طبيعة التغيير الذي يستوجبها. ويمكن تصنيفها إلى عدة فئات رئيسية:</w:t>
      </w:r>
    </w:p>
    <w:p>
      <w:pPr>
        <w:pStyle w:val="Heading2"/>
        <w:bidi/>
        <w:spacing w:after="160" w:before="280"/>
        <w:jc w:val="right"/>
      </w:pPr>
      <w:r>
        <w:rPr>
          <w:rFonts w:ascii="Arial" w:cs="Arial" w:eastAsia="Arial" w:hAnsi="Arial"/>
          <w:b/>
          <w:bCs/>
          <w:color w:val="2E75B6"/>
          <w:sz w:val="30"/>
          <w:szCs w:val="30"/>
          <w:rtl/>
        </w:rPr>
        <w:t xml:space="preserve">1. تحديثات الملكية</w:t>
      </w:r>
    </w:p>
    <w:p>
      <w:pPr>
        <w:bidi/>
        <w:spacing w:after="140" w:line="320"/>
        <w:jc w:val="both"/>
      </w:pPr>
      <w:r>
        <w:rPr>
          <w:rFonts w:ascii="Arial" w:cs="Arial" w:eastAsia="Arial" w:hAnsi="Arial"/>
          <w:sz w:val="24"/>
          <w:szCs w:val="24"/>
          <w:rtl/>
        </w:rPr>
        <w:t xml:space="preserve">وهي التحديثات الناتجة عن تغيير في ملكية الأسهم، وتشمل:</w:t>
      </w:r>
    </w:p>
    <w:p>
      <w:pPr>
        <w:pStyle w:val="ListParagraph"/>
        <w:numPr>
          <w:ilvl w:val="0"/>
          <w:numId w:val="2"/>
        </w:numPr>
        <w:bidi/>
        <w:spacing w:after="100" w:line="300"/>
        <w:jc w:val="right"/>
      </w:pPr>
      <w:r>
        <w:rPr>
          <w:rFonts w:ascii="Arial" w:cs="Arial" w:eastAsia="Arial" w:hAnsi="Arial"/>
          <w:sz w:val="24"/>
          <w:szCs w:val="24"/>
          <w:rtl/>
        </w:rPr>
        <w:t xml:space="preserve">نقل الملكية بالبيع أو الشراء.</w:t>
      </w:r>
    </w:p>
    <w:p>
      <w:pPr>
        <w:pStyle w:val="ListParagraph"/>
        <w:numPr>
          <w:ilvl w:val="0"/>
          <w:numId w:val="2"/>
        </w:numPr>
        <w:bidi/>
        <w:spacing w:after="100" w:line="300"/>
        <w:jc w:val="right"/>
      </w:pPr>
      <w:r>
        <w:rPr>
          <w:rFonts w:ascii="Arial" w:cs="Arial" w:eastAsia="Arial" w:hAnsi="Arial"/>
          <w:sz w:val="24"/>
          <w:szCs w:val="24"/>
          <w:rtl/>
        </w:rPr>
        <w:t xml:space="preserve">نقل الملكية بالإرث.</w:t>
      </w:r>
    </w:p>
    <w:p>
      <w:pPr>
        <w:pStyle w:val="ListParagraph"/>
        <w:numPr>
          <w:ilvl w:val="0"/>
          <w:numId w:val="2"/>
        </w:numPr>
        <w:bidi/>
        <w:spacing w:after="100" w:line="300"/>
        <w:jc w:val="right"/>
      </w:pPr>
      <w:r>
        <w:rPr>
          <w:rFonts w:ascii="Arial" w:cs="Arial" w:eastAsia="Arial" w:hAnsi="Arial"/>
          <w:sz w:val="24"/>
          <w:szCs w:val="24"/>
          <w:rtl/>
        </w:rPr>
        <w:t xml:space="preserve">نقل الملكية بالهبة أو الوصية.</w:t>
      </w:r>
    </w:p>
    <w:p>
      <w:pPr>
        <w:pStyle w:val="ListParagraph"/>
        <w:numPr>
          <w:ilvl w:val="0"/>
          <w:numId w:val="2"/>
        </w:numPr>
        <w:bidi/>
        <w:spacing w:after="100" w:line="300"/>
        <w:jc w:val="right"/>
      </w:pPr>
      <w:r>
        <w:rPr>
          <w:rFonts w:ascii="Arial" w:cs="Arial" w:eastAsia="Arial" w:hAnsi="Arial"/>
          <w:sz w:val="24"/>
          <w:szCs w:val="24"/>
          <w:rtl/>
        </w:rPr>
        <w:t xml:space="preserve">الاستحواذ أو الاندماج.</w:t>
      </w:r>
    </w:p>
    <w:p>
      <w:pPr>
        <w:pStyle w:val="ListParagraph"/>
        <w:numPr>
          <w:ilvl w:val="0"/>
          <w:numId w:val="2"/>
        </w:numPr>
        <w:bidi/>
        <w:spacing w:after="100" w:line="300"/>
        <w:jc w:val="right"/>
      </w:pPr>
      <w:r>
        <w:rPr>
          <w:rFonts w:ascii="Arial" w:cs="Arial" w:eastAsia="Arial" w:hAnsi="Arial"/>
          <w:sz w:val="24"/>
          <w:szCs w:val="24"/>
          <w:rtl/>
        </w:rPr>
        <w:t xml:space="preserve">التنفيذ القضائي وبيع الأسهم في المزاد.</w:t>
      </w:r>
    </w:p>
    <w:p>
      <w:pPr>
        <w:pStyle w:val="ListParagraph"/>
        <w:numPr>
          <w:ilvl w:val="0"/>
          <w:numId w:val="2"/>
        </w:numPr>
        <w:bidi/>
        <w:spacing w:after="100" w:line="300"/>
        <w:jc w:val="right"/>
      </w:pPr>
      <w:r>
        <w:rPr>
          <w:rFonts w:ascii="Arial" w:cs="Arial" w:eastAsia="Arial" w:hAnsi="Arial"/>
          <w:sz w:val="24"/>
          <w:szCs w:val="24"/>
          <w:rtl/>
        </w:rPr>
        <w:t xml:space="preserve">إصدار أسهم جديدة (زيادة رأس المال).</w:t>
      </w:r>
    </w:p>
    <w:p>
      <w:pPr>
        <w:pStyle w:val="ListParagraph"/>
        <w:numPr>
          <w:ilvl w:val="0"/>
          <w:numId w:val="2"/>
        </w:numPr>
        <w:bidi/>
        <w:spacing w:after="100" w:line="300"/>
        <w:jc w:val="right"/>
      </w:pPr>
      <w:r>
        <w:rPr>
          <w:rFonts w:ascii="Arial" w:cs="Arial" w:eastAsia="Arial" w:hAnsi="Arial"/>
          <w:sz w:val="24"/>
          <w:szCs w:val="24"/>
          <w:rtl/>
        </w:rPr>
        <w:t xml:space="preserve">إلغاء أسهم (تخفيض رأس المال).</w:t>
      </w:r>
    </w:p>
    <w:p>
      <w:pPr>
        <w:pStyle w:val="ListParagraph"/>
        <w:numPr>
          <w:ilvl w:val="0"/>
          <w:numId w:val="2"/>
        </w:numPr>
        <w:bidi/>
        <w:spacing w:after="100" w:line="300"/>
        <w:jc w:val="right"/>
      </w:pPr>
      <w:r>
        <w:rPr>
          <w:rFonts w:ascii="Arial" w:cs="Arial" w:eastAsia="Arial" w:hAnsi="Arial"/>
          <w:sz w:val="24"/>
          <w:szCs w:val="24"/>
          <w:rtl/>
        </w:rPr>
        <w:t xml:space="preserve">تجزئة الأسهم أو دمجها.</w:t>
      </w:r>
    </w:p>
    <w:p>
      <w:pPr>
        <w:pStyle w:val="Heading2"/>
        <w:bidi/>
        <w:spacing w:after="160" w:before="280"/>
        <w:jc w:val="right"/>
      </w:pPr>
      <w:r>
        <w:rPr>
          <w:rFonts w:ascii="Arial" w:cs="Arial" w:eastAsia="Arial" w:hAnsi="Arial"/>
          <w:b/>
          <w:bCs/>
          <w:color w:val="2E75B6"/>
          <w:sz w:val="30"/>
          <w:szCs w:val="30"/>
          <w:rtl/>
        </w:rPr>
        <w:t xml:space="preserve">2. تحديثات بيانات المساهم</w:t>
      </w:r>
    </w:p>
    <w:p>
      <w:pPr>
        <w:bidi/>
        <w:spacing w:after="140" w:line="320"/>
        <w:jc w:val="both"/>
      </w:pPr>
      <w:r>
        <w:rPr>
          <w:rFonts w:ascii="Arial" w:cs="Arial" w:eastAsia="Arial" w:hAnsi="Arial"/>
          <w:sz w:val="24"/>
          <w:szCs w:val="24"/>
          <w:rtl/>
        </w:rPr>
        <w:t xml:space="preserve">وهي التحديثات التي تطرأ على بيانات المساهم الشخصية دون تغيير في الملكية:</w:t>
      </w:r>
    </w:p>
    <w:p>
      <w:pPr>
        <w:pStyle w:val="ListParagraph"/>
        <w:numPr>
          <w:ilvl w:val="0"/>
          <w:numId w:val="2"/>
        </w:numPr>
        <w:bidi/>
        <w:spacing w:after="100" w:line="300"/>
        <w:jc w:val="right"/>
      </w:pPr>
      <w:r>
        <w:rPr>
          <w:rFonts w:ascii="Arial" w:cs="Arial" w:eastAsia="Arial" w:hAnsi="Arial"/>
          <w:sz w:val="24"/>
          <w:szCs w:val="24"/>
          <w:rtl/>
        </w:rPr>
        <w:t xml:space="preserve">تحديث العنوان الوطني أو عنوان المراسلة.</w:t>
      </w:r>
    </w:p>
    <w:p>
      <w:pPr>
        <w:pStyle w:val="ListParagraph"/>
        <w:numPr>
          <w:ilvl w:val="0"/>
          <w:numId w:val="2"/>
        </w:numPr>
        <w:bidi/>
        <w:spacing w:after="100" w:line="300"/>
        <w:jc w:val="right"/>
      </w:pPr>
      <w:r>
        <w:rPr>
          <w:rFonts w:ascii="Arial" w:cs="Arial" w:eastAsia="Arial" w:hAnsi="Arial"/>
          <w:sz w:val="24"/>
          <w:szCs w:val="24"/>
          <w:rtl/>
        </w:rPr>
        <w:t xml:space="preserve">تحديث رقم الجوال والبريد الإلكتروني.</w:t>
      </w:r>
    </w:p>
    <w:p>
      <w:pPr>
        <w:pStyle w:val="ListParagraph"/>
        <w:numPr>
          <w:ilvl w:val="0"/>
          <w:numId w:val="2"/>
        </w:numPr>
        <w:bidi/>
        <w:spacing w:after="100" w:line="300"/>
        <w:jc w:val="right"/>
      </w:pPr>
      <w:r>
        <w:rPr>
          <w:rFonts w:ascii="Arial" w:cs="Arial" w:eastAsia="Arial" w:hAnsi="Arial"/>
          <w:sz w:val="24"/>
          <w:szCs w:val="24"/>
          <w:rtl/>
        </w:rPr>
        <w:t xml:space="preserve">تجديد الهوية الوطنية أو الإقامة.</w:t>
      </w:r>
    </w:p>
    <w:p>
      <w:pPr>
        <w:pStyle w:val="ListParagraph"/>
        <w:numPr>
          <w:ilvl w:val="0"/>
          <w:numId w:val="2"/>
        </w:numPr>
        <w:bidi/>
        <w:spacing w:after="100" w:line="300"/>
        <w:jc w:val="right"/>
      </w:pPr>
      <w:r>
        <w:rPr>
          <w:rFonts w:ascii="Arial" w:cs="Arial" w:eastAsia="Arial" w:hAnsi="Arial"/>
          <w:sz w:val="24"/>
          <w:szCs w:val="24"/>
          <w:rtl/>
        </w:rPr>
        <w:t xml:space="preserve">تحديث بيانات الحساب المصرفي.</w:t>
      </w:r>
    </w:p>
    <w:p>
      <w:pPr>
        <w:pStyle w:val="ListParagraph"/>
        <w:numPr>
          <w:ilvl w:val="0"/>
          <w:numId w:val="2"/>
        </w:numPr>
        <w:bidi/>
        <w:spacing w:after="100" w:line="300"/>
        <w:jc w:val="right"/>
      </w:pPr>
      <w:r>
        <w:rPr>
          <w:rFonts w:ascii="Arial" w:cs="Arial" w:eastAsia="Arial" w:hAnsi="Arial"/>
          <w:sz w:val="24"/>
          <w:szCs w:val="24"/>
          <w:rtl/>
        </w:rPr>
        <w:t xml:space="preserve">تغيير الاسم (في حالات الزواج أو إجراءات قانونية).</w:t>
      </w:r>
    </w:p>
    <w:p>
      <w:pPr>
        <w:pStyle w:val="ListParagraph"/>
        <w:numPr>
          <w:ilvl w:val="0"/>
          <w:numId w:val="2"/>
        </w:numPr>
        <w:bidi/>
        <w:spacing w:after="100" w:line="300"/>
        <w:jc w:val="right"/>
      </w:pPr>
      <w:r>
        <w:rPr>
          <w:rFonts w:ascii="Arial" w:cs="Arial" w:eastAsia="Arial" w:hAnsi="Arial"/>
          <w:sz w:val="24"/>
          <w:szCs w:val="24"/>
          <w:rtl/>
        </w:rPr>
        <w:t xml:space="preserve">تحديث بيانات الممثل النظامي للمساهم الاعتباري.</w:t>
      </w:r>
    </w:p>
    <w:p>
      <w:pPr>
        <w:pStyle w:val="Heading2"/>
        <w:bidi/>
        <w:spacing w:after="160" w:before="280"/>
        <w:jc w:val="right"/>
      </w:pPr>
      <w:r>
        <w:rPr>
          <w:rFonts w:ascii="Arial" w:cs="Arial" w:eastAsia="Arial" w:hAnsi="Arial"/>
          <w:b/>
          <w:bCs/>
          <w:color w:val="2E75B6"/>
          <w:sz w:val="30"/>
          <w:szCs w:val="30"/>
          <w:rtl/>
        </w:rPr>
        <w:t xml:space="preserve">3. تحديثات القيود</w:t>
      </w:r>
    </w:p>
    <w:p>
      <w:pPr>
        <w:bidi/>
        <w:spacing w:after="140" w:line="320"/>
        <w:jc w:val="both"/>
      </w:pPr>
      <w:r>
        <w:rPr>
          <w:rFonts w:ascii="Arial" w:cs="Arial" w:eastAsia="Arial" w:hAnsi="Arial"/>
          <w:sz w:val="24"/>
          <w:szCs w:val="24"/>
          <w:rtl/>
        </w:rPr>
        <w:t xml:space="preserve">وهي تحديثات تتعلق بفرض قيود على الأسهم أو رفعها:</w:t>
      </w:r>
    </w:p>
    <w:p>
      <w:pPr>
        <w:pStyle w:val="ListParagraph"/>
        <w:numPr>
          <w:ilvl w:val="0"/>
          <w:numId w:val="2"/>
        </w:numPr>
        <w:bidi/>
        <w:spacing w:after="100" w:line="300"/>
        <w:jc w:val="right"/>
      </w:pPr>
      <w:r>
        <w:rPr>
          <w:rFonts w:ascii="Arial" w:cs="Arial" w:eastAsia="Arial" w:hAnsi="Arial"/>
          <w:sz w:val="24"/>
          <w:szCs w:val="24"/>
          <w:rtl/>
        </w:rPr>
        <w:t xml:space="preserve">قيد الرهن وفك الرهن.</w:t>
      </w:r>
    </w:p>
    <w:p>
      <w:pPr>
        <w:pStyle w:val="ListParagraph"/>
        <w:numPr>
          <w:ilvl w:val="0"/>
          <w:numId w:val="2"/>
        </w:numPr>
        <w:bidi/>
        <w:spacing w:after="100" w:line="300"/>
        <w:jc w:val="right"/>
      </w:pPr>
      <w:r>
        <w:rPr>
          <w:rFonts w:ascii="Arial" w:cs="Arial" w:eastAsia="Arial" w:hAnsi="Arial"/>
          <w:sz w:val="24"/>
          <w:szCs w:val="24"/>
          <w:rtl/>
        </w:rPr>
        <w:t xml:space="preserve">قيد الحجز ورفع الحجز.</w:t>
      </w:r>
    </w:p>
    <w:p>
      <w:pPr>
        <w:pStyle w:val="ListParagraph"/>
        <w:numPr>
          <w:ilvl w:val="0"/>
          <w:numId w:val="2"/>
        </w:numPr>
        <w:bidi/>
        <w:spacing w:after="100" w:line="300"/>
        <w:jc w:val="right"/>
      </w:pPr>
      <w:r>
        <w:rPr>
          <w:rFonts w:ascii="Arial" w:cs="Arial" w:eastAsia="Arial" w:hAnsi="Arial"/>
          <w:sz w:val="24"/>
          <w:szCs w:val="24"/>
          <w:rtl/>
        </w:rPr>
        <w:t xml:space="preserve">قيود فترة الحظر (Lock-up).</w:t>
      </w:r>
    </w:p>
    <w:p>
      <w:pPr>
        <w:pStyle w:val="ListParagraph"/>
        <w:numPr>
          <w:ilvl w:val="0"/>
          <w:numId w:val="2"/>
        </w:numPr>
        <w:bidi/>
        <w:spacing w:after="100" w:line="300"/>
        <w:jc w:val="right"/>
      </w:pPr>
      <w:r>
        <w:rPr>
          <w:rFonts w:ascii="Arial" w:cs="Arial" w:eastAsia="Arial" w:hAnsi="Arial"/>
          <w:sz w:val="24"/>
          <w:szCs w:val="24"/>
          <w:rtl/>
        </w:rPr>
        <w:t xml:space="preserve">القيود التعاقدية الأخرى.</w:t>
      </w:r>
    </w:p>
    <w:p>
      <w:pPr>
        <w:pStyle w:val="Heading2"/>
        <w:bidi/>
        <w:spacing w:after="160" w:before="280"/>
        <w:jc w:val="right"/>
      </w:pPr>
      <w:r>
        <w:rPr>
          <w:rFonts w:ascii="Arial" w:cs="Arial" w:eastAsia="Arial" w:hAnsi="Arial"/>
          <w:b/>
          <w:bCs/>
          <w:color w:val="2E75B6"/>
          <w:sz w:val="30"/>
          <w:szCs w:val="30"/>
          <w:rtl/>
        </w:rPr>
        <w:t xml:space="preserve">4. تحديثات التمثيل</w:t>
      </w:r>
    </w:p>
    <w:p>
      <w:pPr>
        <w:pStyle w:val="ListParagraph"/>
        <w:numPr>
          <w:ilvl w:val="0"/>
          <w:numId w:val="2"/>
        </w:numPr>
        <w:bidi/>
        <w:spacing w:after="100" w:line="300"/>
        <w:jc w:val="right"/>
      </w:pPr>
      <w:r>
        <w:rPr>
          <w:rFonts w:ascii="Arial" w:cs="Arial" w:eastAsia="Arial" w:hAnsi="Arial"/>
          <w:sz w:val="24"/>
          <w:szCs w:val="24"/>
          <w:rtl/>
        </w:rPr>
        <w:t xml:space="preserve">تسجيل الوكلاء والممثلين النظاميين.</w:t>
      </w:r>
    </w:p>
    <w:p>
      <w:pPr>
        <w:pStyle w:val="ListParagraph"/>
        <w:numPr>
          <w:ilvl w:val="0"/>
          <w:numId w:val="2"/>
        </w:numPr>
        <w:bidi/>
        <w:spacing w:after="100" w:line="300"/>
        <w:jc w:val="right"/>
      </w:pPr>
      <w:r>
        <w:rPr>
          <w:rFonts w:ascii="Arial" w:cs="Arial" w:eastAsia="Arial" w:hAnsi="Arial"/>
          <w:sz w:val="24"/>
          <w:szCs w:val="24"/>
          <w:rtl/>
        </w:rPr>
        <w:t xml:space="preserve">تحديث بيانات الأولياء والقيّمين.</w:t>
      </w:r>
    </w:p>
    <w:p>
      <w:pPr>
        <w:pStyle w:val="ListParagraph"/>
        <w:numPr>
          <w:ilvl w:val="0"/>
          <w:numId w:val="2"/>
        </w:numPr>
        <w:bidi/>
        <w:spacing w:after="100" w:line="300"/>
        <w:jc w:val="right"/>
      </w:pPr>
      <w:r>
        <w:rPr>
          <w:rFonts w:ascii="Arial" w:cs="Arial" w:eastAsia="Arial" w:hAnsi="Arial"/>
          <w:sz w:val="24"/>
          <w:szCs w:val="24"/>
          <w:rtl/>
        </w:rPr>
        <w:t xml:space="preserve">انتهاء فترات الوكالة أو إلغاؤها.</w:t>
      </w:r>
    </w:p>
    <w:p>
      <w:pPr>
        <w:pStyle w:val="ListParagraph"/>
        <w:numPr>
          <w:ilvl w:val="0"/>
          <w:numId w:val="2"/>
        </w:numPr>
        <w:bidi/>
        <w:spacing w:after="100" w:line="300"/>
        <w:jc w:val="right"/>
      </w:pPr>
      <w:r>
        <w:rPr>
          <w:rFonts w:ascii="Arial" w:cs="Arial" w:eastAsia="Arial" w:hAnsi="Arial"/>
          <w:sz w:val="24"/>
          <w:szCs w:val="24"/>
          <w:rtl/>
        </w:rPr>
        <w:t xml:space="preserve">تسجيل ممثلي الشركات الاعتبارية المساهمة.</w:t>
      </w:r>
    </w:p>
    <w:p>
      <w:pPr>
        <w:pStyle w:val="Heading2"/>
        <w:bidi/>
        <w:spacing w:after="160" w:before="280"/>
        <w:jc w:val="right"/>
      </w:pPr>
      <w:r>
        <w:rPr>
          <w:rFonts w:ascii="Arial" w:cs="Arial" w:eastAsia="Arial" w:hAnsi="Arial"/>
          <w:b/>
          <w:bCs/>
          <w:color w:val="2E75B6"/>
          <w:sz w:val="30"/>
          <w:szCs w:val="30"/>
          <w:rtl/>
        </w:rPr>
        <w:t xml:space="preserve">5. التحديثات التصحيحية</w:t>
      </w:r>
    </w:p>
    <w:p>
      <w:pPr>
        <w:bidi/>
        <w:spacing w:after="140" w:line="320"/>
        <w:jc w:val="both"/>
      </w:pPr>
      <w:r>
        <w:rPr>
          <w:rFonts w:ascii="Arial" w:cs="Arial" w:eastAsia="Arial" w:hAnsi="Arial"/>
          <w:sz w:val="24"/>
          <w:szCs w:val="24"/>
          <w:rtl/>
        </w:rPr>
        <w:t xml:space="preserve">وهي التحديثات التي تتم لتصحيح أخطاء سابقة في السجل:</w:t>
      </w:r>
    </w:p>
    <w:p>
      <w:pPr>
        <w:pStyle w:val="ListParagraph"/>
        <w:numPr>
          <w:ilvl w:val="0"/>
          <w:numId w:val="2"/>
        </w:numPr>
        <w:bidi/>
        <w:spacing w:after="100" w:line="300"/>
        <w:jc w:val="right"/>
      </w:pPr>
      <w:r>
        <w:rPr>
          <w:rFonts w:ascii="Arial" w:cs="Arial" w:eastAsia="Arial" w:hAnsi="Arial"/>
          <w:sz w:val="24"/>
          <w:szCs w:val="24"/>
          <w:rtl/>
        </w:rPr>
        <w:t xml:space="preserve">تصحيح الأخطاء الإملائية في الأسماء.</w:t>
      </w:r>
    </w:p>
    <w:p>
      <w:pPr>
        <w:pStyle w:val="ListParagraph"/>
        <w:numPr>
          <w:ilvl w:val="0"/>
          <w:numId w:val="2"/>
        </w:numPr>
        <w:bidi/>
        <w:spacing w:after="100" w:line="300"/>
        <w:jc w:val="right"/>
      </w:pPr>
      <w:r>
        <w:rPr>
          <w:rFonts w:ascii="Arial" w:cs="Arial" w:eastAsia="Arial" w:hAnsi="Arial"/>
          <w:sz w:val="24"/>
          <w:szCs w:val="24"/>
          <w:rtl/>
        </w:rPr>
        <w:t xml:space="preserve">تصحيح أرقام الهوية أو السجلات التجارية.</w:t>
      </w:r>
    </w:p>
    <w:p>
      <w:pPr>
        <w:pStyle w:val="ListParagraph"/>
        <w:numPr>
          <w:ilvl w:val="0"/>
          <w:numId w:val="2"/>
        </w:numPr>
        <w:bidi/>
        <w:spacing w:after="100" w:line="300"/>
        <w:jc w:val="right"/>
      </w:pPr>
      <w:r>
        <w:rPr>
          <w:rFonts w:ascii="Arial" w:cs="Arial" w:eastAsia="Arial" w:hAnsi="Arial"/>
          <w:sz w:val="24"/>
          <w:szCs w:val="24"/>
          <w:rtl/>
        </w:rPr>
        <w:t xml:space="preserve">معالجة الازدواجية في القيود.</w:t>
      </w:r>
    </w:p>
    <w:p>
      <w:pPr>
        <w:pStyle w:val="ListParagraph"/>
        <w:numPr>
          <w:ilvl w:val="0"/>
          <w:numId w:val="2"/>
        </w:numPr>
        <w:bidi/>
        <w:spacing w:after="100" w:line="300"/>
        <w:jc w:val="right"/>
      </w:pPr>
      <w:r>
        <w:rPr>
          <w:rFonts w:ascii="Arial" w:cs="Arial" w:eastAsia="Arial" w:hAnsi="Arial"/>
          <w:sz w:val="24"/>
          <w:szCs w:val="24"/>
          <w:rtl/>
        </w:rPr>
        <w:t xml:space="preserve">استكمال البيانات الناقصة.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ثالثاً: التحديث الفوري مقابل التحديث الدوري</w:t>
      </w:r>
    </w:p>
    <w:p>
      <w:pPr>
        <w:bidi/>
        <w:spacing w:after="140" w:line="320"/>
        <w:jc w:val="both"/>
      </w:pPr>
      <w:r>
        <w:rPr>
          <w:rFonts w:ascii="Arial" w:cs="Arial" w:eastAsia="Arial" w:hAnsi="Arial"/>
          <w:sz w:val="24"/>
          <w:szCs w:val="24"/>
          <w:rtl/>
        </w:rPr>
        <w:t xml:space="preserve">تختلف طبيعة التحديثات بحسب الجدول الزمني المناسب لها، ويمكن تقسيمها إلى نوعين رئيسيين:</w:t>
      </w:r>
    </w:p>
    <w:p>
      <w:pPr>
        <w:pStyle w:val="Heading2"/>
        <w:bidi/>
        <w:spacing w:after="160" w:before="280"/>
        <w:jc w:val="right"/>
      </w:pPr>
      <w:r>
        <w:rPr>
          <w:rFonts w:ascii="Arial" w:cs="Arial" w:eastAsia="Arial" w:hAnsi="Arial"/>
          <w:b/>
          <w:bCs/>
          <w:color w:val="2E75B6"/>
          <w:sz w:val="30"/>
          <w:szCs w:val="30"/>
          <w:rtl/>
        </w:rPr>
        <w:t xml:space="preserve">1. التحديثات الفورية (Real-time Updates)</w:t>
      </w:r>
    </w:p>
    <w:p>
      <w:pPr>
        <w:bidi/>
        <w:spacing w:after="140" w:line="320"/>
        <w:jc w:val="both"/>
      </w:pPr>
      <w:r>
        <w:rPr>
          <w:rFonts w:ascii="Arial" w:cs="Arial" w:eastAsia="Arial" w:hAnsi="Arial"/>
          <w:sz w:val="24"/>
          <w:szCs w:val="24"/>
          <w:rtl/>
        </w:rPr>
        <w:t xml:space="preserve">وهي التحديثات التي يجب تنفيذها فور حدوث الواقعة الموجبة لها، وتشمل:</w:t>
      </w:r>
    </w:p>
    <w:p>
      <w:pPr>
        <w:pStyle w:val="Heading3"/>
        <w:bidi/>
        <w:spacing w:after="120" w:before="200"/>
        <w:jc w:val="right"/>
      </w:pPr>
      <w:r>
        <w:rPr>
          <w:rFonts w:ascii="Arial" w:cs="Arial" w:eastAsia="Arial" w:hAnsi="Arial"/>
          <w:b/>
          <w:bCs/>
          <w:color w:val="1F4E79"/>
          <w:sz w:val="26"/>
          <w:szCs w:val="26"/>
          <w:rtl/>
        </w:rPr>
        <w:t xml:space="preserve">في الشركات المدرجة</w:t>
      </w:r>
    </w:p>
    <w:p>
      <w:pPr>
        <w:bidi/>
        <w:spacing w:after="140" w:line="320"/>
        <w:jc w:val="both"/>
      </w:pPr>
      <w:r>
        <w:rPr>
          <w:rFonts w:ascii="Arial" w:cs="Arial" w:eastAsia="Arial" w:hAnsi="Arial"/>
          <w:sz w:val="24"/>
          <w:szCs w:val="24"/>
          <w:rtl/>
        </w:rPr>
        <w:t xml:space="preserve">تتم جميع تحديثات الملكية بشكل آني عبر منظومة مركز إيداع الأوراق المالية. فكل عملية بيع أو شراء في السوق تنعكس فوراً على السجل بمجرد إتمام التسوية (T+2). وهذا النموذج يضمن أعلى مستويات الدقة والآنية.</w:t>
      </w:r>
    </w:p>
    <w:p>
      <w:pPr>
        <w:pStyle w:val="Heading3"/>
        <w:bidi/>
        <w:spacing w:after="120" w:before="200"/>
        <w:jc w:val="right"/>
      </w:pPr>
      <w:r>
        <w:rPr>
          <w:rFonts w:ascii="Arial" w:cs="Arial" w:eastAsia="Arial" w:hAnsi="Arial"/>
          <w:b/>
          <w:bCs/>
          <w:color w:val="1F4E79"/>
          <w:sz w:val="26"/>
          <w:szCs w:val="26"/>
          <w:rtl/>
        </w:rPr>
        <w:t xml:space="preserve">في الشركات غير المدرجة</w:t>
      </w:r>
    </w:p>
    <w:p>
      <w:pPr>
        <w:bidi/>
        <w:spacing w:after="140" w:line="320"/>
        <w:jc w:val="both"/>
      </w:pPr>
      <w:r>
        <w:rPr>
          <w:rFonts w:ascii="Arial" w:cs="Arial" w:eastAsia="Arial" w:hAnsi="Arial"/>
          <w:sz w:val="24"/>
          <w:szCs w:val="24"/>
          <w:rtl/>
        </w:rPr>
        <w:t xml:space="preserve">رغم عدم وجود منظومة آنية، إلا أن الممارسة الجيدة تستوجب تنفيذ التحديثات خلال 1-3 أيام عمل من اكتمال المستندات. والتأخير عن ذلك قد يستوجب تبريرات وقد يثير مخاوف لدى المساهمين.</w:t>
      </w:r>
    </w:p>
    <w:p>
      <w:pPr>
        <w:pStyle w:val="Heading2"/>
        <w:bidi/>
        <w:spacing w:after="160" w:before="280"/>
        <w:jc w:val="right"/>
      </w:pPr>
      <w:r>
        <w:rPr>
          <w:rFonts w:ascii="Arial" w:cs="Arial" w:eastAsia="Arial" w:hAnsi="Arial"/>
          <w:b/>
          <w:bCs/>
          <w:color w:val="2E75B6"/>
          <w:sz w:val="30"/>
          <w:szCs w:val="30"/>
          <w:rtl/>
        </w:rPr>
        <w:t xml:space="preserve">2. التحديثات الدورية (Periodic Updates)</w:t>
      </w:r>
    </w:p>
    <w:p>
      <w:pPr>
        <w:bidi/>
        <w:spacing w:after="140" w:line="320"/>
        <w:jc w:val="both"/>
      </w:pPr>
      <w:r>
        <w:rPr>
          <w:rFonts w:ascii="Arial" w:cs="Arial" w:eastAsia="Arial" w:hAnsi="Arial"/>
          <w:sz w:val="24"/>
          <w:szCs w:val="24"/>
          <w:rtl/>
        </w:rPr>
        <w:t xml:space="preserve">وهي التحديثات التي تُجرى وفق جداول زمنية محددة، حتى في حال عدم وجود تغييرات فعلية، وذلك للتحقق من سلامة البيانات: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rPr>
          <w:tblHeader/>
        </w:trPr>
        <w:tc>
          <w:tcPr>
            <w:tcW w:type="dxa" w:w="3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التحديث الدوري</w:t>
            </w:r>
          </w:p>
        </w:tc>
        <w:tc>
          <w:tcPr>
            <w:tcW w:type="dxa" w:w="2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التكرار</w:t>
            </w:r>
          </w:p>
        </w:tc>
        <w:tc>
          <w:tcPr>
            <w:tcW w:type="dxa" w:w="3026"/>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المسؤول</w:t>
            </w:r>
          </w:p>
        </w:tc>
      </w:tr>
      <w:tr>
        <w:tc>
          <w:tcPr>
            <w:tcW w:type="dxa" w:w="3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تسوية البيانات مع المستندات الرسمية</w:t>
            </w:r>
          </w:p>
        </w:tc>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شهرياً</w:t>
            </w:r>
          </w:p>
        </w:tc>
        <w:tc>
          <w:tcPr>
            <w:tcW w:type="dxa" w:w="30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أمين السجل</w:t>
            </w:r>
          </w:p>
        </w:tc>
      </w:tr>
      <w:tr>
        <w:tc>
          <w:tcPr>
            <w:tcW w:type="dxa" w:w="3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مراجعة بيانات كبار المساهمين</w:t>
            </w:r>
          </w:p>
        </w:tc>
        <w:tc>
          <w:tcPr>
            <w:tcW w:type="dxa" w:w="2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شهرياً</w:t>
            </w:r>
          </w:p>
        </w:tc>
        <w:tc>
          <w:tcPr>
            <w:tcW w:type="dxa" w:w="30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إدارة الإفصاح</w:t>
            </w:r>
          </w:p>
        </w:tc>
      </w:tr>
      <w:tr>
        <w:tc>
          <w:tcPr>
            <w:tcW w:type="dxa" w:w="3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مراجعة السجل الكامل</w:t>
            </w:r>
          </w:p>
        </w:tc>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ربع سنوياً</w:t>
            </w:r>
          </w:p>
        </w:tc>
        <w:tc>
          <w:tcPr>
            <w:tcW w:type="dxa" w:w="30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أمين السجل + المراجعة الداخلية</w:t>
            </w:r>
          </w:p>
        </w:tc>
      </w:tr>
      <w:tr>
        <w:tc>
          <w:tcPr>
            <w:tcW w:type="dxa" w:w="3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تدقيق شامل (Full Audit)</w:t>
            </w:r>
          </w:p>
        </w:tc>
        <w:tc>
          <w:tcPr>
            <w:tcW w:type="dxa" w:w="2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سنوياً</w:t>
            </w:r>
          </w:p>
        </w:tc>
        <w:tc>
          <w:tcPr>
            <w:tcW w:type="dxa" w:w="30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المراجع الخارجي</w:t>
            </w:r>
          </w:p>
        </w:tc>
      </w:tr>
      <w:tr>
        <w:tc>
          <w:tcPr>
            <w:tcW w:type="dxa" w:w="3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تحديث سياسات إدارة السجل</w:t>
            </w:r>
          </w:p>
        </w:tc>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سنوياً</w:t>
            </w:r>
          </w:p>
        </w:tc>
        <w:tc>
          <w:tcPr>
            <w:tcW w:type="dxa" w:w="30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مجلس الإدارة / لجنة الحوكمة</w:t>
            </w:r>
          </w:p>
        </w:tc>
      </w:tr>
      <w:tr>
        <w:tc>
          <w:tcPr>
            <w:tcW w:type="dxa" w:w="3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استعراض الأذونات والصلاحيات</w:t>
            </w:r>
          </w:p>
        </w:tc>
        <w:tc>
          <w:tcPr>
            <w:tcW w:type="dxa" w:w="2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نصف سنوي</w:t>
            </w:r>
          </w:p>
        </w:tc>
        <w:tc>
          <w:tcPr>
            <w:tcW w:type="dxa" w:w="30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أمن المعلومات</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رابعاً: إجراءات التحديث التفصيلية</w:t>
      </w:r>
    </w:p>
    <w:p>
      <w:pPr>
        <w:bidi/>
        <w:spacing w:after="140" w:line="320"/>
        <w:jc w:val="both"/>
      </w:pPr>
      <w:r>
        <w:rPr>
          <w:rFonts w:ascii="Arial" w:cs="Arial" w:eastAsia="Arial" w:hAnsi="Arial"/>
          <w:sz w:val="24"/>
          <w:szCs w:val="24"/>
          <w:rtl/>
        </w:rPr>
        <w:t xml:space="preserve">لضمان تحديث سليم للسجل، يجب اتباع إجراءات منهجية تشمل جميع مراحل التحديث، من تلقي طلب التغيير إلى التوثيق النهائي.</w:t>
      </w:r>
    </w:p>
    <w:p>
      <w:pPr>
        <w:pStyle w:val="Heading2"/>
        <w:bidi/>
        <w:spacing w:after="160" w:before="280"/>
        <w:jc w:val="right"/>
      </w:pPr>
      <w:r>
        <w:rPr>
          <w:rFonts w:ascii="Arial" w:cs="Arial" w:eastAsia="Arial" w:hAnsi="Arial"/>
          <w:b/>
          <w:bCs/>
          <w:color w:val="2E75B6"/>
          <w:sz w:val="30"/>
          <w:szCs w:val="30"/>
          <w:rtl/>
        </w:rPr>
        <w:t xml:space="preserve">الخطوة 1: استلام طلب التحديث</w:t>
      </w:r>
    </w:p>
    <w:p>
      <w:pPr>
        <w:bidi/>
        <w:spacing w:after="140" w:line="320"/>
        <w:jc w:val="both"/>
      </w:pPr>
      <w:r>
        <w:rPr>
          <w:rFonts w:ascii="Arial" w:cs="Arial" w:eastAsia="Arial" w:hAnsi="Arial"/>
          <w:sz w:val="24"/>
          <w:szCs w:val="24"/>
          <w:rtl/>
        </w:rPr>
        <w:t xml:space="preserve">يبدأ كل تحديث بطلب رسمي يمكن أن يأتي من أحد المصادر التالية:</w:t>
      </w:r>
    </w:p>
    <w:p>
      <w:pPr>
        <w:pStyle w:val="ListParagraph"/>
        <w:numPr>
          <w:ilvl w:val="0"/>
          <w:numId w:val="2"/>
        </w:numPr>
        <w:bidi/>
        <w:spacing w:after="100" w:line="300"/>
        <w:jc w:val="right"/>
      </w:pPr>
      <w:r>
        <w:rPr>
          <w:rFonts w:ascii="Arial" w:cs="Arial" w:eastAsia="Arial" w:hAnsi="Arial"/>
          <w:sz w:val="24"/>
          <w:szCs w:val="24"/>
          <w:rtl/>
        </w:rPr>
        <w:t xml:space="preserve">المساهم نفسه أو ممثله النظامي.</w:t>
      </w:r>
    </w:p>
    <w:p>
      <w:pPr>
        <w:pStyle w:val="ListParagraph"/>
        <w:numPr>
          <w:ilvl w:val="0"/>
          <w:numId w:val="2"/>
        </w:numPr>
        <w:bidi/>
        <w:spacing w:after="100" w:line="300"/>
        <w:jc w:val="right"/>
      </w:pPr>
      <w:r>
        <w:rPr>
          <w:rFonts w:ascii="Arial" w:cs="Arial" w:eastAsia="Arial" w:hAnsi="Arial"/>
          <w:sz w:val="24"/>
          <w:szCs w:val="24"/>
          <w:rtl/>
        </w:rPr>
        <w:t xml:space="preserve">جهة قضائية أو تنفيذية (حالات الحجز).</w:t>
      </w:r>
    </w:p>
    <w:p>
      <w:pPr>
        <w:pStyle w:val="ListParagraph"/>
        <w:numPr>
          <w:ilvl w:val="0"/>
          <w:numId w:val="2"/>
        </w:numPr>
        <w:bidi/>
        <w:spacing w:after="100" w:line="300"/>
        <w:jc w:val="right"/>
      </w:pPr>
      <w:r>
        <w:rPr>
          <w:rFonts w:ascii="Arial" w:cs="Arial" w:eastAsia="Arial" w:hAnsi="Arial"/>
          <w:sz w:val="24"/>
          <w:szCs w:val="24"/>
          <w:rtl/>
        </w:rPr>
        <w:t xml:space="preserve">المرتهن (حالات الرهن وفك الرهن).</w:t>
      </w:r>
    </w:p>
    <w:p>
      <w:pPr>
        <w:pStyle w:val="ListParagraph"/>
        <w:numPr>
          <w:ilvl w:val="0"/>
          <w:numId w:val="2"/>
        </w:numPr>
        <w:bidi/>
        <w:spacing w:after="100" w:line="300"/>
        <w:jc w:val="right"/>
      </w:pPr>
      <w:r>
        <w:rPr>
          <w:rFonts w:ascii="Arial" w:cs="Arial" w:eastAsia="Arial" w:hAnsi="Arial"/>
          <w:sz w:val="24"/>
          <w:szCs w:val="24"/>
          <w:rtl/>
        </w:rPr>
        <w:t xml:space="preserve">الورثة أو من ينوب عنهم.</w:t>
      </w:r>
    </w:p>
    <w:p>
      <w:pPr>
        <w:pStyle w:val="ListParagraph"/>
        <w:numPr>
          <w:ilvl w:val="0"/>
          <w:numId w:val="2"/>
        </w:numPr>
        <w:bidi/>
        <w:spacing w:after="100" w:line="300"/>
        <w:jc w:val="right"/>
      </w:pPr>
      <w:r>
        <w:rPr>
          <w:rFonts w:ascii="Arial" w:cs="Arial" w:eastAsia="Arial" w:hAnsi="Arial"/>
          <w:sz w:val="24"/>
          <w:szCs w:val="24"/>
          <w:rtl/>
        </w:rPr>
        <w:t xml:space="preserve">الشركة (في حالات تصحيح الأخطاء).</w:t>
      </w:r>
    </w:p>
    <w:p>
      <w:pPr>
        <w:pStyle w:val="ListParagraph"/>
        <w:numPr>
          <w:ilvl w:val="0"/>
          <w:numId w:val="2"/>
        </w:numPr>
        <w:bidi/>
        <w:spacing w:after="100" w:line="300"/>
        <w:jc w:val="right"/>
      </w:pPr>
      <w:r>
        <w:rPr>
          <w:rFonts w:ascii="Arial" w:cs="Arial" w:eastAsia="Arial" w:hAnsi="Arial"/>
          <w:sz w:val="24"/>
          <w:szCs w:val="24"/>
          <w:rtl/>
        </w:rPr>
        <w:t xml:space="preserve">الجهات التنظيمية (في حالات تطلبها).</w:t>
      </w:r>
    </w:p>
    <w:p>
      <w:pPr>
        <w:pStyle w:val="Heading2"/>
        <w:bidi/>
        <w:spacing w:after="160" w:before="280"/>
        <w:jc w:val="right"/>
      </w:pPr>
      <w:r>
        <w:rPr>
          <w:rFonts w:ascii="Arial" w:cs="Arial" w:eastAsia="Arial" w:hAnsi="Arial"/>
          <w:b/>
          <w:bCs/>
          <w:color w:val="2E75B6"/>
          <w:sz w:val="30"/>
          <w:szCs w:val="30"/>
          <w:rtl/>
        </w:rPr>
        <w:t xml:space="preserve">الخطوة 2: التحقق من الطلب</w:t>
      </w:r>
    </w:p>
    <w:p>
      <w:pPr>
        <w:bidi/>
        <w:spacing w:after="140" w:line="320"/>
        <w:jc w:val="both"/>
      </w:pPr>
      <w:r>
        <w:rPr>
          <w:rFonts w:ascii="Arial" w:cs="Arial" w:eastAsia="Arial" w:hAnsi="Arial"/>
          <w:sz w:val="24"/>
          <w:szCs w:val="24"/>
          <w:rtl/>
        </w:rPr>
        <w:t xml:space="preserve">يجب التحقق من اكتمال الطلب وصحته قبل البدء في التنفيذ:</w:t>
      </w:r>
    </w:p>
    <w:p>
      <w:pPr>
        <w:pStyle w:val="ListParagraph"/>
        <w:numPr>
          <w:ilvl w:val="0"/>
          <w:numId w:val="3"/>
        </w:numPr>
        <w:bidi/>
        <w:spacing w:after="100" w:line="300"/>
        <w:jc w:val="right"/>
      </w:pPr>
      <w:r>
        <w:rPr>
          <w:rFonts w:ascii="Arial" w:cs="Arial" w:eastAsia="Arial" w:hAnsi="Arial"/>
          <w:sz w:val="24"/>
          <w:szCs w:val="24"/>
          <w:rtl/>
        </w:rPr>
        <w:t xml:space="preserve">مراجعة اكتمال البيانات في النموذج.</w:t>
      </w:r>
    </w:p>
    <w:p>
      <w:pPr>
        <w:pStyle w:val="ListParagraph"/>
        <w:numPr>
          <w:ilvl w:val="0"/>
          <w:numId w:val="3"/>
        </w:numPr>
        <w:bidi/>
        <w:spacing w:after="100" w:line="300"/>
        <w:jc w:val="right"/>
      </w:pPr>
      <w:r>
        <w:rPr>
          <w:rFonts w:ascii="Arial" w:cs="Arial" w:eastAsia="Arial" w:hAnsi="Arial"/>
          <w:sz w:val="24"/>
          <w:szCs w:val="24"/>
          <w:rtl/>
        </w:rPr>
        <w:t xml:space="preserve">التحقق من المستندات الداعمة وصحتها.</w:t>
      </w:r>
    </w:p>
    <w:p>
      <w:pPr>
        <w:pStyle w:val="ListParagraph"/>
        <w:numPr>
          <w:ilvl w:val="0"/>
          <w:numId w:val="3"/>
        </w:numPr>
        <w:bidi/>
        <w:spacing w:after="100" w:line="300"/>
        <w:jc w:val="right"/>
      </w:pPr>
      <w:r>
        <w:rPr>
          <w:rFonts w:ascii="Arial" w:cs="Arial" w:eastAsia="Arial" w:hAnsi="Arial"/>
          <w:sz w:val="24"/>
          <w:szCs w:val="24"/>
          <w:rtl/>
        </w:rPr>
        <w:t xml:space="preserve">التأكد من تطابق التوقيعات مع المسجلة.</w:t>
      </w:r>
    </w:p>
    <w:p>
      <w:pPr>
        <w:pStyle w:val="ListParagraph"/>
        <w:numPr>
          <w:ilvl w:val="0"/>
          <w:numId w:val="3"/>
        </w:numPr>
        <w:bidi/>
        <w:spacing w:after="100" w:line="300"/>
        <w:jc w:val="right"/>
      </w:pPr>
      <w:r>
        <w:rPr>
          <w:rFonts w:ascii="Arial" w:cs="Arial" w:eastAsia="Arial" w:hAnsi="Arial"/>
          <w:sz w:val="24"/>
          <w:szCs w:val="24"/>
          <w:rtl/>
        </w:rPr>
        <w:t xml:space="preserve">التحقق من صلاحية الجهة المُصدرة للطلب.</w:t>
      </w:r>
    </w:p>
    <w:p>
      <w:pPr>
        <w:pStyle w:val="ListParagraph"/>
        <w:numPr>
          <w:ilvl w:val="0"/>
          <w:numId w:val="3"/>
        </w:numPr>
        <w:bidi/>
        <w:spacing w:after="100" w:line="300"/>
        <w:jc w:val="right"/>
      </w:pPr>
      <w:r>
        <w:rPr>
          <w:rFonts w:ascii="Arial" w:cs="Arial" w:eastAsia="Arial" w:hAnsi="Arial"/>
          <w:sz w:val="24"/>
          <w:szCs w:val="24"/>
          <w:rtl/>
        </w:rPr>
        <w:t xml:space="preserve">التأكد من عدم وجود قيود تمنع تنفيذ الطلب.</w:t>
      </w:r>
    </w:p>
    <w:p>
      <w:pPr>
        <w:pStyle w:val="ListParagraph"/>
        <w:numPr>
          <w:ilvl w:val="0"/>
          <w:numId w:val="3"/>
        </w:numPr>
        <w:bidi/>
        <w:spacing w:after="100" w:line="300"/>
        <w:jc w:val="right"/>
      </w:pPr>
      <w:r>
        <w:rPr>
          <w:rFonts w:ascii="Arial" w:cs="Arial" w:eastAsia="Arial" w:hAnsi="Arial"/>
          <w:sz w:val="24"/>
          <w:szCs w:val="24"/>
          <w:rtl/>
        </w:rPr>
        <w:t xml:space="preserve">مراجعة سداد أي رسوم مستحقة.</w:t>
      </w:r>
    </w:p>
    <w:p>
      <w:pPr>
        <w:pStyle w:val="Heading2"/>
        <w:bidi/>
        <w:spacing w:after="160" w:before="280"/>
        <w:jc w:val="right"/>
      </w:pPr>
      <w:r>
        <w:rPr>
          <w:rFonts w:ascii="Arial" w:cs="Arial" w:eastAsia="Arial" w:hAnsi="Arial"/>
          <w:b/>
          <w:bCs/>
          <w:color w:val="2E75B6"/>
          <w:sz w:val="30"/>
          <w:szCs w:val="30"/>
          <w:rtl/>
        </w:rPr>
        <w:t xml:space="preserve">الخطوة 3: التنفيذ والقيد</w:t>
      </w:r>
    </w:p>
    <w:p>
      <w:pPr>
        <w:pStyle w:val="ListParagraph"/>
        <w:numPr>
          <w:ilvl w:val="0"/>
          <w:numId w:val="3"/>
        </w:numPr>
        <w:bidi/>
        <w:spacing w:after="100" w:line="300"/>
        <w:jc w:val="right"/>
      </w:pPr>
      <w:r>
        <w:rPr>
          <w:rFonts w:ascii="Arial" w:cs="Arial" w:eastAsia="Arial" w:hAnsi="Arial"/>
          <w:sz w:val="24"/>
          <w:szCs w:val="24"/>
          <w:rtl/>
        </w:rPr>
        <w:t xml:space="preserve">الدخول إلى نظام إدارة السجل بالصلاحيات المناسبة.</w:t>
      </w:r>
    </w:p>
    <w:p>
      <w:pPr>
        <w:pStyle w:val="ListParagraph"/>
        <w:numPr>
          <w:ilvl w:val="0"/>
          <w:numId w:val="3"/>
        </w:numPr>
        <w:bidi/>
        <w:spacing w:after="100" w:line="300"/>
        <w:jc w:val="right"/>
      </w:pPr>
      <w:r>
        <w:rPr>
          <w:rFonts w:ascii="Arial" w:cs="Arial" w:eastAsia="Arial" w:hAnsi="Arial"/>
          <w:sz w:val="24"/>
          <w:szCs w:val="24"/>
          <w:rtl/>
        </w:rPr>
        <w:t xml:space="preserve">إدخال التعديل المطلوب مع الإشارة إلى المستند المرجعي.</w:t>
      </w:r>
    </w:p>
    <w:p>
      <w:pPr>
        <w:pStyle w:val="ListParagraph"/>
        <w:numPr>
          <w:ilvl w:val="0"/>
          <w:numId w:val="3"/>
        </w:numPr>
        <w:bidi/>
        <w:spacing w:after="100" w:line="300"/>
        <w:jc w:val="right"/>
      </w:pPr>
      <w:r>
        <w:rPr>
          <w:rFonts w:ascii="Arial" w:cs="Arial" w:eastAsia="Arial" w:hAnsi="Arial"/>
          <w:sz w:val="24"/>
          <w:szCs w:val="24"/>
          <w:rtl/>
        </w:rPr>
        <w:t xml:space="preserve">التوثيق الكامل للعملية في سجل العمليات (Audit Trail).</w:t>
      </w:r>
    </w:p>
    <w:p>
      <w:pPr>
        <w:pStyle w:val="ListParagraph"/>
        <w:numPr>
          <w:ilvl w:val="0"/>
          <w:numId w:val="3"/>
        </w:numPr>
        <w:bidi/>
        <w:spacing w:after="100" w:line="300"/>
        <w:jc w:val="right"/>
      </w:pPr>
      <w:r>
        <w:rPr>
          <w:rFonts w:ascii="Arial" w:cs="Arial" w:eastAsia="Arial" w:hAnsi="Arial"/>
          <w:sz w:val="24"/>
          <w:szCs w:val="24"/>
          <w:rtl/>
        </w:rPr>
        <w:t xml:space="preserve">التحقق من الإدخال قبل الاعتماد النهائي.</w:t>
      </w:r>
    </w:p>
    <w:p>
      <w:pPr>
        <w:pStyle w:val="ListParagraph"/>
        <w:numPr>
          <w:ilvl w:val="0"/>
          <w:numId w:val="3"/>
        </w:numPr>
        <w:bidi/>
        <w:spacing w:after="100" w:line="300"/>
        <w:jc w:val="right"/>
      </w:pPr>
      <w:r>
        <w:rPr>
          <w:rFonts w:ascii="Arial" w:cs="Arial" w:eastAsia="Arial" w:hAnsi="Arial"/>
          <w:sz w:val="24"/>
          <w:szCs w:val="24"/>
          <w:rtl/>
        </w:rPr>
        <w:t xml:space="preserve">الاعتماد من الشخص المخوّل.</w:t>
      </w:r>
    </w:p>
    <w:p>
      <w:pPr>
        <w:pStyle w:val="Heading2"/>
        <w:bidi/>
        <w:spacing w:after="160" w:before="280"/>
        <w:jc w:val="right"/>
      </w:pPr>
      <w:r>
        <w:rPr>
          <w:rFonts w:ascii="Arial" w:cs="Arial" w:eastAsia="Arial" w:hAnsi="Arial"/>
          <w:b/>
          <w:bCs/>
          <w:color w:val="2E75B6"/>
          <w:sz w:val="30"/>
          <w:szCs w:val="30"/>
          <w:rtl/>
        </w:rPr>
        <w:t xml:space="preserve">الخطوة 4: التحقق والمصادقة</w:t>
      </w:r>
    </w:p>
    <w:p>
      <w:pPr>
        <w:pStyle w:val="ListParagraph"/>
        <w:numPr>
          <w:ilvl w:val="0"/>
          <w:numId w:val="3"/>
        </w:numPr>
        <w:bidi/>
        <w:spacing w:after="100" w:line="300"/>
        <w:jc w:val="right"/>
      </w:pPr>
      <w:r>
        <w:rPr>
          <w:rFonts w:ascii="Arial" w:cs="Arial" w:eastAsia="Arial" w:hAnsi="Arial"/>
          <w:sz w:val="24"/>
          <w:szCs w:val="24"/>
          <w:rtl/>
        </w:rPr>
        <w:t xml:space="preserve">مراجعة ثانية مستقلة (Four-Eyes Principle).</w:t>
      </w:r>
    </w:p>
    <w:p>
      <w:pPr>
        <w:pStyle w:val="ListParagraph"/>
        <w:numPr>
          <w:ilvl w:val="0"/>
          <w:numId w:val="3"/>
        </w:numPr>
        <w:bidi/>
        <w:spacing w:after="100" w:line="300"/>
        <w:jc w:val="right"/>
      </w:pPr>
      <w:r>
        <w:rPr>
          <w:rFonts w:ascii="Arial" w:cs="Arial" w:eastAsia="Arial" w:hAnsi="Arial"/>
          <w:sz w:val="24"/>
          <w:szCs w:val="24"/>
          <w:rtl/>
        </w:rPr>
        <w:t xml:space="preserve">التحقق من تطابق البيانات الجديدة مع المطلوب.</w:t>
      </w:r>
    </w:p>
    <w:p>
      <w:pPr>
        <w:pStyle w:val="ListParagraph"/>
        <w:numPr>
          <w:ilvl w:val="0"/>
          <w:numId w:val="3"/>
        </w:numPr>
        <w:bidi/>
        <w:spacing w:after="100" w:line="300"/>
        <w:jc w:val="right"/>
      </w:pPr>
      <w:r>
        <w:rPr>
          <w:rFonts w:ascii="Arial" w:cs="Arial" w:eastAsia="Arial" w:hAnsi="Arial"/>
          <w:sz w:val="24"/>
          <w:szCs w:val="24"/>
          <w:rtl/>
        </w:rPr>
        <w:t xml:space="preserve">التأكد من عدم التأثير على بيانات أخرى.</w:t>
      </w:r>
    </w:p>
    <w:p>
      <w:pPr>
        <w:pStyle w:val="ListParagraph"/>
        <w:numPr>
          <w:ilvl w:val="0"/>
          <w:numId w:val="3"/>
        </w:numPr>
        <w:bidi/>
        <w:spacing w:after="100" w:line="300"/>
        <w:jc w:val="right"/>
      </w:pPr>
      <w:r>
        <w:rPr>
          <w:rFonts w:ascii="Arial" w:cs="Arial" w:eastAsia="Arial" w:hAnsi="Arial"/>
          <w:sz w:val="24"/>
          <w:szCs w:val="24"/>
          <w:rtl/>
        </w:rPr>
        <w:t xml:space="preserve">توقيع الاعتماد النهائي.</w:t>
      </w:r>
    </w:p>
    <w:p>
      <w:pPr>
        <w:pStyle w:val="Heading2"/>
        <w:bidi/>
        <w:spacing w:after="160" w:before="280"/>
        <w:jc w:val="right"/>
      </w:pPr>
      <w:r>
        <w:rPr>
          <w:rFonts w:ascii="Arial" w:cs="Arial" w:eastAsia="Arial" w:hAnsi="Arial"/>
          <w:b/>
          <w:bCs/>
          <w:color w:val="2E75B6"/>
          <w:sz w:val="30"/>
          <w:szCs w:val="30"/>
          <w:rtl/>
        </w:rPr>
        <w:t xml:space="preserve">الخطوة 5: الإخطار والتوثيق</w:t>
      </w:r>
    </w:p>
    <w:p>
      <w:pPr>
        <w:pStyle w:val="ListParagraph"/>
        <w:numPr>
          <w:ilvl w:val="0"/>
          <w:numId w:val="3"/>
        </w:numPr>
        <w:bidi/>
        <w:spacing w:after="100" w:line="300"/>
        <w:jc w:val="right"/>
      </w:pPr>
      <w:r>
        <w:rPr>
          <w:rFonts w:ascii="Arial" w:cs="Arial" w:eastAsia="Arial" w:hAnsi="Arial"/>
          <w:sz w:val="24"/>
          <w:szCs w:val="24"/>
          <w:rtl/>
        </w:rPr>
        <w:t xml:space="preserve">إخطار المساهم (والأطراف ذات الصلة) بإكمال التحديث.</w:t>
      </w:r>
    </w:p>
    <w:p>
      <w:pPr>
        <w:pStyle w:val="ListParagraph"/>
        <w:numPr>
          <w:ilvl w:val="0"/>
          <w:numId w:val="3"/>
        </w:numPr>
        <w:bidi/>
        <w:spacing w:after="100" w:line="300"/>
        <w:jc w:val="right"/>
      </w:pPr>
      <w:r>
        <w:rPr>
          <w:rFonts w:ascii="Arial" w:cs="Arial" w:eastAsia="Arial" w:hAnsi="Arial"/>
          <w:sz w:val="24"/>
          <w:szCs w:val="24"/>
          <w:rtl/>
        </w:rPr>
        <w:t xml:space="preserve">إصدار شهادة أو إثبات بالتحديث إن طُلب ذلك.</w:t>
      </w:r>
    </w:p>
    <w:p>
      <w:pPr>
        <w:pStyle w:val="ListParagraph"/>
        <w:numPr>
          <w:ilvl w:val="0"/>
          <w:numId w:val="3"/>
        </w:numPr>
        <w:bidi/>
        <w:spacing w:after="100" w:line="300"/>
        <w:jc w:val="right"/>
      </w:pPr>
      <w:r>
        <w:rPr>
          <w:rFonts w:ascii="Arial" w:cs="Arial" w:eastAsia="Arial" w:hAnsi="Arial"/>
          <w:sz w:val="24"/>
          <w:szCs w:val="24"/>
          <w:rtl/>
        </w:rPr>
        <w:t xml:space="preserve">أرشفة المستندات الأصلية في النظام المؤسسي.</w:t>
      </w:r>
    </w:p>
    <w:p>
      <w:pPr>
        <w:pStyle w:val="ListParagraph"/>
        <w:numPr>
          <w:ilvl w:val="0"/>
          <w:numId w:val="3"/>
        </w:numPr>
        <w:bidi/>
        <w:spacing w:after="100" w:line="300"/>
        <w:jc w:val="right"/>
      </w:pPr>
      <w:r>
        <w:rPr>
          <w:rFonts w:ascii="Arial" w:cs="Arial" w:eastAsia="Arial" w:hAnsi="Arial"/>
          <w:sz w:val="24"/>
          <w:szCs w:val="24"/>
          <w:rtl/>
        </w:rPr>
        <w:t xml:space="preserve">الاحتفاظ بنسخ إلكترونية وفق سياسات حفظ الوثائق.</w:t>
      </w:r>
    </w:p>
    <w:p>
      <w:pPr>
        <w:pStyle w:val="ListParagraph"/>
        <w:numPr>
          <w:ilvl w:val="0"/>
          <w:numId w:val="3"/>
        </w:numPr>
        <w:bidi/>
        <w:spacing w:after="100" w:line="300"/>
        <w:jc w:val="right"/>
      </w:pPr>
      <w:r>
        <w:rPr>
          <w:rFonts w:ascii="Arial" w:cs="Arial" w:eastAsia="Arial" w:hAnsi="Arial"/>
          <w:sz w:val="24"/>
          <w:szCs w:val="24"/>
          <w:rtl/>
        </w:rPr>
        <w:t xml:space="preserve">تحديث أي أنظمة ربط (CRM، الأنظمة المالية ... إلخ).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مبدأ التحقق الثنائي (Four-Eyes Principle)</w:t>
            </w:r>
          </w:p>
          <w:p>
            <w:pPr>
              <w:bidi/>
              <w:spacing w:line="300"/>
              <w:jc w:val="both"/>
            </w:pPr>
            <w:r>
              <w:rPr>
                <w:rFonts w:ascii="Arial" w:cs="Arial" w:eastAsia="Arial" w:hAnsi="Arial"/>
                <w:sz w:val="24"/>
                <w:szCs w:val="24"/>
                <w:rtl/>
              </w:rPr>
              <w:t xml:space="preserve">من أهم المبادئ في إدارة سجل المساهمين هو مبدأ "الأربع عيون"، الذي يستوجب أن يقوم بالتحديث شخص ويراجعه ويعتمده شخص آخر مختلف. هذا الفصل بين الإدخال والاعتماد يُقلل فرص الخطأ والاحتيال إلى حد كبير، ويُعتبر من المتطلبات الأساسية لأي نظام رقابي داخلي فعّال.</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خامساً: سياسات الصيانة الوقائية</w:t>
      </w:r>
    </w:p>
    <w:p>
      <w:pPr>
        <w:bidi/>
        <w:spacing w:after="140" w:line="320"/>
        <w:jc w:val="both"/>
      </w:pPr>
      <w:r>
        <w:rPr>
          <w:rFonts w:ascii="Arial" w:cs="Arial" w:eastAsia="Arial" w:hAnsi="Arial"/>
          <w:sz w:val="24"/>
          <w:szCs w:val="24"/>
          <w:rtl/>
        </w:rPr>
        <w:t xml:space="preserve">الصيانة الوقائية تعني الإجراءات التي تُتخذ بشكل استباقي للحفاظ على سلامة السجل ومنع الأخطاء قبل وقوعها. وتشمل:</w:t>
      </w:r>
    </w:p>
    <w:p>
      <w:pPr>
        <w:pStyle w:val="Heading2"/>
        <w:bidi/>
        <w:spacing w:after="160" w:before="280"/>
        <w:jc w:val="right"/>
      </w:pPr>
      <w:r>
        <w:rPr>
          <w:rFonts w:ascii="Arial" w:cs="Arial" w:eastAsia="Arial" w:hAnsi="Arial"/>
          <w:b/>
          <w:bCs/>
          <w:color w:val="2E75B6"/>
          <w:sz w:val="30"/>
          <w:szCs w:val="30"/>
          <w:rtl/>
        </w:rPr>
        <w:t xml:space="preserve">1. سياسات الجودة</w:t>
      </w:r>
    </w:p>
    <w:p>
      <w:pPr>
        <w:pStyle w:val="ListParagraph"/>
        <w:numPr>
          <w:ilvl w:val="0"/>
          <w:numId w:val="2"/>
        </w:numPr>
        <w:bidi/>
        <w:spacing w:after="100" w:line="300"/>
        <w:jc w:val="right"/>
      </w:pPr>
      <w:r>
        <w:rPr>
          <w:rFonts w:ascii="Arial" w:cs="Arial" w:eastAsia="Arial" w:hAnsi="Arial"/>
          <w:sz w:val="24"/>
          <w:szCs w:val="24"/>
          <w:rtl/>
        </w:rPr>
        <w:t xml:space="preserve">تحديد معايير دقيقة لقبول البيانات (Data Quality Standards).</w:t>
      </w:r>
    </w:p>
    <w:p>
      <w:pPr>
        <w:pStyle w:val="ListParagraph"/>
        <w:numPr>
          <w:ilvl w:val="0"/>
          <w:numId w:val="2"/>
        </w:numPr>
        <w:bidi/>
        <w:spacing w:after="100" w:line="300"/>
        <w:jc w:val="right"/>
      </w:pPr>
      <w:r>
        <w:rPr>
          <w:rFonts w:ascii="Arial" w:cs="Arial" w:eastAsia="Arial" w:hAnsi="Arial"/>
          <w:sz w:val="24"/>
          <w:szCs w:val="24"/>
          <w:rtl/>
        </w:rPr>
        <w:t xml:space="preserve">استخدام قوائم تحقق (Checklists) لكل نوع من التحديثات.</w:t>
      </w:r>
    </w:p>
    <w:p>
      <w:pPr>
        <w:pStyle w:val="ListParagraph"/>
        <w:numPr>
          <w:ilvl w:val="0"/>
          <w:numId w:val="2"/>
        </w:numPr>
        <w:bidi/>
        <w:spacing w:after="100" w:line="300"/>
        <w:jc w:val="right"/>
      </w:pPr>
      <w:r>
        <w:rPr>
          <w:rFonts w:ascii="Arial" w:cs="Arial" w:eastAsia="Arial" w:hAnsi="Arial"/>
          <w:sz w:val="24"/>
          <w:szCs w:val="24"/>
          <w:rtl/>
        </w:rPr>
        <w:t xml:space="preserve">مراجعة دورية لمعدلات الأخطاء وتحليل أسبابها.</w:t>
      </w:r>
    </w:p>
    <w:p>
      <w:pPr>
        <w:pStyle w:val="ListParagraph"/>
        <w:numPr>
          <w:ilvl w:val="0"/>
          <w:numId w:val="2"/>
        </w:numPr>
        <w:bidi/>
        <w:spacing w:after="100" w:line="300"/>
        <w:jc w:val="right"/>
      </w:pPr>
      <w:r>
        <w:rPr>
          <w:rFonts w:ascii="Arial" w:cs="Arial" w:eastAsia="Arial" w:hAnsi="Arial"/>
          <w:sz w:val="24"/>
          <w:szCs w:val="24"/>
          <w:rtl/>
        </w:rPr>
        <w:t xml:space="preserve">تطوير الإجراءات بناءً على الدروس المستفادة.</w:t>
      </w:r>
    </w:p>
    <w:p>
      <w:pPr>
        <w:pStyle w:val="Heading2"/>
        <w:bidi/>
        <w:spacing w:after="160" w:before="280"/>
        <w:jc w:val="right"/>
      </w:pPr>
      <w:r>
        <w:rPr>
          <w:rFonts w:ascii="Arial" w:cs="Arial" w:eastAsia="Arial" w:hAnsi="Arial"/>
          <w:b/>
          <w:bCs/>
          <w:color w:val="2E75B6"/>
          <w:sz w:val="30"/>
          <w:szCs w:val="30"/>
          <w:rtl/>
        </w:rPr>
        <w:t xml:space="preserve">2. سياسات الأمان</w:t>
      </w:r>
    </w:p>
    <w:p>
      <w:pPr>
        <w:pStyle w:val="ListParagraph"/>
        <w:numPr>
          <w:ilvl w:val="0"/>
          <w:numId w:val="2"/>
        </w:numPr>
        <w:bidi/>
        <w:spacing w:after="100" w:line="300"/>
        <w:jc w:val="right"/>
      </w:pPr>
      <w:r>
        <w:rPr>
          <w:rFonts w:ascii="Arial" w:cs="Arial" w:eastAsia="Arial" w:hAnsi="Arial"/>
          <w:sz w:val="24"/>
          <w:szCs w:val="24"/>
          <w:rtl/>
        </w:rPr>
        <w:t xml:space="preserve">تطبيق ضوابط الوصول المتدرج (Role-Based Access Control).</w:t>
      </w:r>
    </w:p>
    <w:p>
      <w:pPr>
        <w:pStyle w:val="ListParagraph"/>
        <w:numPr>
          <w:ilvl w:val="0"/>
          <w:numId w:val="2"/>
        </w:numPr>
        <w:bidi/>
        <w:spacing w:after="100" w:line="300"/>
        <w:jc w:val="right"/>
      </w:pPr>
      <w:r>
        <w:rPr>
          <w:rFonts w:ascii="Arial" w:cs="Arial" w:eastAsia="Arial" w:hAnsi="Arial"/>
          <w:sz w:val="24"/>
          <w:szCs w:val="24"/>
          <w:rtl/>
        </w:rPr>
        <w:t xml:space="preserve">تشفير البيانات في حالة التخزين والنقل.</w:t>
      </w:r>
    </w:p>
    <w:p>
      <w:pPr>
        <w:pStyle w:val="ListParagraph"/>
        <w:numPr>
          <w:ilvl w:val="0"/>
          <w:numId w:val="2"/>
        </w:numPr>
        <w:bidi/>
        <w:spacing w:after="100" w:line="300"/>
        <w:jc w:val="right"/>
      </w:pPr>
      <w:r>
        <w:rPr>
          <w:rFonts w:ascii="Arial" w:cs="Arial" w:eastAsia="Arial" w:hAnsi="Arial"/>
          <w:sz w:val="24"/>
          <w:szCs w:val="24"/>
          <w:rtl/>
        </w:rPr>
        <w:t xml:space="preserve">نظام إدارة الهويات والصلاحيات.</w:t>
      </w:r>
    </w:p>
    <w:p>
      <w:pPr>
        <w:pStyle w:val="ListParagraph"/>
        <w:numPr>
          <w:ilvl w:val="0"/>
          <w:numId w:val="2"/>
        </w:numPr>
        <w:bidi/>
        <w:spacing w:after="100" w:line="300"/>
        <w:jc w:val="right"/>
      </w:pPr>
      <w:r>
        <w:rPr>
          <w:rFonts w:ascii="Arial" w:cs="Arial" w:eastAsia="Arial" w:hAnsi="Arial"/>
          <w:sz w:val="24"/>
          <w:szCs w:val="24"/>
          <w:rtl/>
        </w:rPr>
        <w:t xml:space="preserve">الاحتفاظ بسجل عمليات كامل (Audit Logs).</w:t>
      </w:r>
    </w:p>
    <w:p>
      <w:pPr>
        <w:pStyle w:val="ListParagraph"/>
        <w:numPr>
          <w:ilvl w:val="0"/>
          <w:numId w:val="2"/>
        </w:numPr>
        <w:bidi/>
        <w:spacing w:after="100" w:line="300"/>
        <w:jc w:val="right"/>
      </w:pPr>
      <w:r>
        <w:rPr>
          <w:rFonts w:ascii="Arial" w:cs="Arial" w:eastAsia="Arial" w:hAnsi="Arial"/>
          <w:sz w:val="24"/>
          <w:szCs w:val="24"/>
          <w:rtl/>
        </w:rPr>
        <w:t xml:space="preserve">النسخ الاحتياطي الدوري (Backups) في مواقع جغرافية متعددة.</w:t>
      </w:r>
    </w:p>
    <w:p>
      <w:pPr>
        <w:pStyle w:val="ListParagraph"/>
        <w:numPr>
          <w:ilvl w:val="0"/>
          <w:numId w:val="2"/>
        </w:numPr>
        <w:bidi/>
        <w:spacing w:after="100" w:line="300"/>
        <w:jc w:val="right"/>
      </w:pPr>
      <w:r>
        <w:rPr>
          <w:rFonts w:ascii="Arial" w:cs="Arial" w:eastAsia="Arial" w:hAnsi="Arial"/>
          <w:sz w:val="24"/>
          <w:szCs w:val="24"/>
          <w:rtl/>
        </w:rPr>
        <w:t xml:space="preserve">اختبار خطط استمرارية الأعمال والتعافي من الكوارث.</w:t>
      </w:r>
    </w:p>
    <w:p>
      <w:pPr>
        <w:pStyle w:val="Heading2"/>
        <w:bidi/>
        <w:spacing w:after="160" w:before="280"/>
        <w:jc w:val="right"/>
      </w:pPr>
      <w:r>
        <w:rPr>
          <w:rFonts w:ascii="Arial" w:cs="Arial" w:eastAsia="Arial" w:hAnsi="Arial"/>
          <w:b/>
          <w:bCs/>
          <w:color w:val="2E75B6"/>
          <w:sz w:val="30"/>
          <w:szCs w:val="30"/>
          <w:rtl/>
        </w:rPr>
        <w:t xml:space="preserve">3. سياسات الاحتفاظ بالوثائق</w:t>
      </w:r>
    </w:p>
    <w:p>
      <w:pPr>
        <w:pStyle w:val="ListParagraph"/>
        <w:numPr>
          <w:ilvl w:val="0"/>
          <w:numId w:val="2"/>
        </w:numPr>
        <w:bidi/>
        <w:spacing w:after="100" w:line="300"/>
        <w:jc w:val="right"/>
      </w:pPr>
      <w:r>
        <w:rPr>
          <w:rFonts w:ascii="Arial" w:cs="Arial" w:eastAsia="Arial" w:hAnsi="Arial"/>
          <w:sz w:val="24"/>
          <w:szCs w:val="24"/>
          <w:rtl/>
        </w:rPr>
        <w:t xml:space="preserve">تحديد فترات الاحتفاظ بكل نوع من الوثائق وفق المتطلبات النظامية.</w:t>
      </w:r>
    </w:p>
    <w:p>
      <w:pPr>
        <w:pStyle w:val="ListParagraph"/>
        <w:numPr>
          <w:ilvl w:val="0"/>
          <w:numId w:val="2"/>
        </w:numPr>
        <w:bidi/>
        <w:spacing w:after="100" w:line="300"/>
        <w:jc w:val="right"/>
      </w:pPr>
      <w:r>
        <w:rPr>
          <w:rFonts w:ascii="Arial" w:cs="Arial" w:eastAsia="Arial" w:hAnsi="Arial"/>
          <w:sz w:val="24"/>
          <w:szCs w:val="24"/>
          <w:rtl/>
        </w:rPr>
        <w:t xml:space="preserve">الأرشفة الإلكترونية مع آلية بحث فعّالة.</w:t>
      </w:r>
    </w:p>
    <w:p>
      <w:pPr>
        <w:pStyle w:val="ListParagraph"/>
        <w:numPr>
          <w:ilvl w:val="0"/>
          <w:numId w:val="2"/>
        </w:numPr>
        <w:bidi/>
        <w:spacing w:after="100" w:line="300"/>
        <w:jc w:val="right"/>
      </w:pPr>
      <w:r>
        <w:rPr>
          <w:rFonts w:ascii="Arial" w:cs="Arial" w:eastAsia="Arial" w:hAnsi="Arial"/>
          <w:sz w:val="24"/>
          <w:szCs w:val="24"/>
          <w:rtl/>
        </w:rPr>
        <w:t xml:space="preserve">الحفاظ على الوثائق الأصلية في خزائن آمنة.</w:t>
      </w:r>
    </w:p>
    <w:p>
      <w:pPr>
        <w:pStyle w:val="ListParagraph"/>
        <w:numPr>
          <w:ilvl w:val="0"/>
          <w:numId w:val="2"/>
        </w:numPr>
        <w:bidi/>
        <w:spacing w:after="100" w:line="300"/>
        <w:jc w:val="right"/>
      </w:pPr>
      <w:r>
        <w:rPr>
          <w:rFonts w:ascii="Arial" w:cs="Arial" w:eastAsia="Arial" w:hAnsi="Arial"/>
          <w:sz w:val="24"/>
          <w:szCs w:val="24"/>
          <w:rtl/>
        </w:rPr>
        <w:t xml:space="preserve">سياسات إتلاف الوثائق عند انتهاء فترة الاحتفاظ.</w:t>
      </w:r>
    </w:p>
    <w:p>
      <w:pPr>
        <w:pStyle w:val="Heading2"/>
        <w:bidi/>
        <w:spacing w:after="160" w:before="280"/>
        <w:jc w:val="right"/>
      </w:pPr>
      <w:r>
        <w:rPr>
          <w:rFonts w:ascii="Arial" w:cs="Arial" w:eastAsia="Arial" w:hAnsi="Arial"/>
          <w:b/>
          <w:bCs/>
          <w:color w:val="2E75B6"/>
          <w:sz w:val="30"/>
          <w:szCs w:val="30"/>
          <w:rtl/>
        </w:rPr>
        <w:t xml:space="preserve">4. سياسات التدريب والتطوير</w:t>
      </w:r>
    </w:p>
    <w:p>
      <w:pPr>
        <w:pStyle w:val="ListParagraph"/>
        <w:numPr>
          <w:ilvl w:val="0"/>
          <w:numId w:val="2"/>
        </w:numPr>
        <w:bidi/>
        <w:spacing w:after="100" w:line="300"/>
        <w:jc w:val="right"/>
      </w:pPr>
      <w:r>
        <w:rPr>
          <w:rFonts w:ascii="Arial" w:cs="Arial" w:eastAsia="Arial" w:hAnsi="Arial"/>
          <w:sz w:val="24"/>
          <w:szCs w:val="24"/>
          <w:rtl/>
        </w:rPr>
        <w:t xml:space="preserve">تدريب جميع المتعاملين مع السجل على الإجراءات.</w:t>
      </w:r>
    </w:p>
    <w:p>
      <w:pPr>
        <w:pStyle w:val="ListParagraph"/>
        <w:numPr>
          <w:ilvl w:val="0"/>
          <w:numId w:val="2"/>
        </w:numPr>
        <w:bidi/>
        <w:spacing w:after="100" w:line="300"/>
        <w:jc w:val="right"/>
      </w:pPr>
      <w:r>
        <w:rPr>
          <w:rFonts w:ascii="Arial" w:cs="Arial" w:eastAsia="Arial" w:hAnsi="Arial"/>
          <w:sz w:val="24"/>
          <w:szCs w:val="24"/>
          <w:rtl/>
        </w:rPr>
        <w:t xml:space="preserve">تدريبات دورية على التحديثات النظامية والتقنية.</w:t>
      </w:r>
    </w:p>
    <w:p>
      <w:pPr>
        <w:pStyle w:val="ListParagraph"/>
        <w:numPr>
          <w:ilvl w:val="0"/>
          <w:numId w:val="2"/>
        </w:numPr>
        <w:bidi/>
        <w:spacing w:after="100" w:line="300"/>
        <w:jc w:val="right"/>
      </w:pPr>
      <w:r>
        <w:rPr>
          <w:rFonts w:ascii="Arial" w:cs="Arial" w:eastAsia="Arial" w:hAnsi="Arial"/>
          <w:sz w:val="24"/>
          <w:szCs w:val="24"/>
          <w:rtl/>
        </w:rPr>
        <w:t xml:space="preserve">شهادات احترافية للممارسين.</w:t>
      </w:r>
    </w:p>
    <w:p>
      <w:pPr>
        <w:pStyle w:val="ListParagraph"/>
        <w:numPr>
          <w:ilvl w:val="0"/>
          <w:numId w:val="2"/>
        </w:numPr>
        <w:bidi/>
        <w:spacing w:after="100" w:line="300"/>
        <w:jc w:val="right"/>
      </w:pPr>
      <w:r>
        <w:rPr>
          <w:rFonts w:ascii="Arial" w:cs="Arial" w:eastAsia="Arial" w:hAnsi="Arial"/>
          <w:sz w:val="24"/>
          <w:szCs w:val="24"/>
          <w:rtl/>
        </w:rPr>
        <w:t xml:space="preserve">نقل المعرفة وتوثيق الإجراءات.</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سادساً: التسوية الدورية للسجل</w:t>
      </w:r>
    </w:p>
    <w:p>
      <w:pPr>
        <w:bidi/>
        <w:spacing w:after="140" w:line="320"/>
        <w:jc w:val="both"/>
      </w:pPr>
      <w:r>
        <w:rPr>
          <w:rFonts w:ascii="Arial" w:cs="Arial" w:eastAsia="Arial" w:hAnsi="Arial"/>
          <w:sz w:val="24"/>
          <w:szCs w:val="24"/>
          <w:rtl/>
        </w:rPr>
        <w:t xml:space="preserve">التسوية (Reconciliation) هي عملية مقارنة بين بيانات السجل والمصادر الأخرى للتحقق من تطابقها واكتشاف أي تباينات. وهي من أهم آليات الصيانة الوقائية.</w:t>
      </w:r>
    </w:p>
    <w:p>
      <w:pPr>
        <w:pStyle w:val="Heading2"/>
        <w:bidi/>
        <w:spacing w:after="160" w:before="280"/>
        <w:jc w:val="right"/>
      </w:pPr>
      <w:r>
        <w:rPr>
          <w:rFonts w:ascii="Arial" w:cs="Arial" w:eastAsia="Arial" w:hAnsi="Arial"/>
          <w:b/>
          <w:bCs/>
          <w:color w:val="2E75B6"/>
          <w:sz w:val="30"/>
          <w:szCs w:val="30"/>
          <w:rtl/>
        </w:rPr>
        <w:t xml:space="preserve">1. التسوية مع رأس المال المصدر</w:t>
      </w:r>
    </w:p>
    <w:p>
      <w:pPr>
        <w:bidi/>
        <w:spacing w:after="140" w:line="320"/>
        <w:jc w:val="both"/>
      </w:pPr>
      <w:r>
        <w:rPr>
          <w:rFonts w:ascii="Arial" w:cs="Arial" w:eastAsia="Arial" w:hAnsi="Arial"/>
          <w:sz w:val="24"/>
          <w:szCs w:val="24"/>
          <w:rtl/>
        </w:rPr>
        <w:t xml:space="preserve">يجب أن يكون مجموع الأسهم المسجلة في السجل لجميع المساهمين مساوياً تماماً لإجمالي الأسهم المصدرة. وأي اختلاف يستوجب تحقيقاً فورياً.</w:t>
      </w:r>
    </w:p>
    <w:p>
      <w:pPr>
        <w:pStyle w:val="Heading2"/>
        <w:bidi/>
        <w:spacing w:after="160" w:before="280"/>
        <w:jc w:val="right"/>
      </w:pPr>
      <w:r>
        <w:rPr>
          <w:rFonts w:ascii="Arial" w:cs="Arial" w:eastAsia="Arial" w:hAnsi="Arial"/>
          <w:b/>
          <w:bCs/>
          <w:color w:val="2E75B6"/>
          <w:sz w:val="30"/>
          <w:szCs w:val="30"/>
          <w:rtl/>
        </w:rPr>
        <w:t xml:space="preserve">2. التسوية مع السجلات المحاسبية</w:t>
      </w:r>
    </w:p>
    <w:p>
      <w:pPr>
        <w:bidi/>
        <w:spacing w:after="140" w:line="320"/>
        <w:jc w:val="both"/>
      </w:pPr>
      <w:r>
        <w:rPr>
          <w:rFonts w:ascii="Arial" w:cs="Arial" w:eastAsia="Arial" w:hAnsi="Arial"/>
          <w:sz w:val="24"/>
          <w:szCs w:val="24"/>
          <w:rtl/>
        </w:rPr>
        <w:t xml:space="preserve">التحقق من تطابق بيانات السجل مع رأس المال المسجل في القوائم المالية وأي تغييرات طرأت عليه.</w:t>
      </w:r>
    </w:p>
    <w:p>
      <w:pPr>
        <w:pStyle w:val="Heading2"/>
        <w:bidi/>
        <w:spacing w:after="160" w:before="280"/>
        <w:jc w:val="right"/>
      </w:pPr>
      <w:r>
        <w:rPr>
          <w:rFonts w:ascii="Arial" w:cs="Arial" w:eastAsia="Arial" w:hAnsi="Arial"/>
          <w:b/>
          <w:bCs/>
          <w:color w:val="2E75B6"/>
          <w:sz w:val="30"/>
          <w:szCs w:val="30"/>
          <w:rtl/>
        </w:rPr>
        <w:t xml:space="preserve">3. التسوية مع وثائق الشركة</w:t>
      </w:r>
    </w:p>
    <w:p>
      <w:pPr>
        <w:bidi/>
        <w:spacing w:after="140" w:line="320"/>
        <w:jc w:val="both"/>
      </w:pPr>
      <w:r>
        <w:rPr>
          <w:rFonts w:ascii="Arial" w:cs="Arial" w:eastAsia="Arial" w:hAnsi="Arial"/>
          <w:sz w:val="24"/>
          <w:szCs w:val="24"/>
          <w:rtl/>
        </w:rPr>
        <w:t xml:space="preserve">مقارنة السجل مع محاضر الجمعيات العمومية ومجلس الإدارة لأي قرارات تتعلق بإصدار أسهم أو تخفيضها أو إعادة شرائها.</w:t>
      </w:r>
    </w:p>
    <w:p>
      <w:pPr>
        <w:pStyle w:val="Heading2"/>
        <w:bidi/>
        <w:spacing w:after="160" w:before="280"/>
        <w:jc w:val="right"/>
      </w:pPr>
      <w:r>
        <w:rPr>
          <w:rFonts w:ascii="Arial" w:cs="Arial" w:eastAsia="Arial" w:hAnsi="Arial"/>
          <w:b/>
          <w:bCs/>
          <w:color w:val="2E75B6"/>
          <w:sz w:val="30"/>
          <w:szCs w:val="30"/>
          <w:rtl/>
        </w:rPr>
        <w:t xml:space="preserve">4. التسوية مع الجهات الخارجية</w:t>
      </w:r>
    </w:p>
    <w:p>
      <w:pPr>
        <w:bidi/>
        <w:spacing w:after="140" w:line="320"/>
        <w:jc w:val="both"/>
      </w:pPr>
      <w:r>
        <w:rPr>
          <w:rFonts w:ascii="Arial" w:cs="Arial" w:eastAsia="Arial" w:hAnsi="Arial"/>
          <w:sz w:val="24"/>
          <w:szCs w:val="24"/>
          <w:rtl/>
        </w:rPr>
        <w:t xml:space="preserve">للشركات المدرجة، تتم التسوية الدورية مع مركز إيداع للتحقق من تطابق البيانات بين السجلات الداخلية ومنظومة مركز إيداع.</w:t>
      </w:r>
    </w:p>
    <w:p>
      <w:pPr>
        <w:pStyle w:val="Heading2"/>
        <w:bidi/>
        <w:spacing w:after="160" w:before="280"/>
        <w:jc w:val="right"/>
      </w:pPr>
      <w:r>
        <w:rPr>
          <w:rFonts w:ascii="Arial" w:cs="Arial" w:eastAsia="Arial" w:hAnsi="Arial"/>
          <w:b/>
          <w:bCs/>
          <w:color w:val="2E75B6"/>
          <w:sz w:val="30"/>
          <w:szCs w:val="30"/>
          <w:rtl/>
        </w:rPr>
        <w:t xml:space="preserve">5. آلية معالجة التباينات</w:t>
      </w:r>
    </w:p>
    <w:p>
      <w:pPr>
        <w:pStyle w:val="ListParagraph"/>
        <w:numPr>
          <w:ilvl w:val="0"/>
          <w:numId w:val="3"/>
        </w:numPr>
        <w:bidi/>
        <w:spacing w:after="100" w:line="300"/>
        <w:jc w:val="right"/>
      </w:pPr>
      <w:r>
        <w:rPr>
          <w:rFonts w:ascii="Arial" w:cs="Arial" w:eastAsia="Arial" w:hAnsi="Arial"/>
          <w:sz w:val="24"/>
          <w:szCs w:val="24"/>
          <w:rtl/>
        </w:rPr>
        <w:t xml:space="preserve">توثيق التباين بالتفصيل (Difference Documentation).</w:t>
      </w:r>
    </w:p>
    <w:p>
      <w:pPr>
        <w:pStyle w:val="ListParagraph"/>
        <w:numPr>
          <w:ilvl w:val="0"/>
          <w:numId w:val="3"/>
        </w:numPr>
        <w:bidi/>
        <w:spacing w:after="100" w:line="300"/>
        <w:jc w:val="right"/>
      </w:pPr>
      <w:r>
        <w:rPr>
          <w:rFonts w:ascii="Arial" w:cs="Arial" w:eastAsia="Arial" w:hAnsi="Arial"/>
          <w:sz w:val="24"/>
          <w:szCs w:val="24"/>
          <w:rtl/>
        </w:rPr>
        <w:t xml:space="preserve">تحليل أسباب التباين (Root Cause Analysis).</w:t>
      </w:r>
    </w:p>
    <w:p>
      <w:pPr>
        <w:pStyle w:val="ListParagraph"/>
        <w:numPr>
          <w:ilvl w:val="0"/>
          <w:numId w:val="3"/>
        </w:numPr>
        <w:bidi/>
        <w:spacing w:after="100" w:line="300"/>
        <w:jc w:val="right"/>
      </w:pPr>
      <w:r>
        <w:rPr>
          <w:rFonts w:ascii="Arial" w:cs="Arial" w:eastAsia="Arial" w:hAnsi="Arial"/>
          <w:sz w:val="24"/>
          <w:szCs w:val="24"/>
          <w:rtl/>
        </w:rPr>
        <w:t xml:space="preserve">جمع المستندات والأدلة اللازمة للتصحيح.</w:t>
      </w:r>
    </w:p>
    <w:p>
      <w:pPr>
        <w:pStyle w:val="ListParagraph"/>
        <w:numPr>
          <w:ilvl w:val="0"/>
          <w:numId w:val="3"/>
        </w:numPr>
        <w:bidi/>
        <w:spacing w:after="100" w:line="300"/>
        <w:jc w:val="right"/>
      </w:pPr>
      <w:r>
        <w:rPr>
          <w:rFonts w:ascii="Arial" w:cs="Arial" w:eastAsia="Arial" w:hAnsi="Arial"/>
          <w:sz w:val="24"/>
          <w:szCs w:val="24"/>
          <w:rtl/>
        </w:rPr>
        <w:t xml:space="preserve">اعتماد التصحيح من الجهة المخوّلة.</w:t>
      </w:r>
    </w:p>
    <w:p>
      <w:pPr>
        <w:pStyle w:val="ListParagraph"/>
        <w:numPr>
          <w:ilvl w:val="0"/>
          <w:numId w:val="3"/>
        </w:numPr>
        <w:bidi/>
        <w:spacing w:after="100" w:line="300"/>
        <w:jc w:val="right"/>
      </w:pPr>
      <w:r>
        <w:rPr>
          <w:rFonts w:ascii="Arial" w:cs="Arial" w:eastAsia="Arial" w:hAnsi="Arial"/>
          <w:sz w:val="24"/>
          <w:szCs w:val="24"/>
          <w:rtl/>
        </w:rPr>
        <w:t xml:space="preserve">تنفيذ التصحيح وتوثيقه.</w:t>
      </w:r>
    </w:p>
    <w:p>
      <w:pPr>
        <w:pStyle w:val="ListParagraph"/>
        <w:numPr>
          <w:ilvl w:val="0"/>
          <w:numId w:val="3"/>
        </w:numPr>
        <w:bidi/>
        <w:spacing w:after="100" w:line="300"/>
        <w:jc w:val="right"/>
      </w:pPr>
      <w:r>
        <w:rPr>
          <w:rFonts w:ascii="Arial" w:cs="Arial" w:eastAsia="Arial" w:hAnsi="Arial"/>
          <w:sz w:val="24"/>
          <w:szCs w:val="24"/>
          <w:rtl/>
        </w:rPr>
        <w:t xml:space="preserve">مراجعة الإجراءات لمنع تكرار الخطأ.</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سابعاً: الأدوار والمسؤوليات</w:t>
      </w:r>
    </w:p>
    <w:p>
      <w:pPr>
        <w:bidi/>
        <w:spacing w:after="140" w:line="320"/>
        <w:jc w:val="both"/>
      </w:pPr>
      <w:r>
        <w:rPr>
          <w:rFonts w:ascii="Arial" w:cs="Arial" w:eastAsia="Arial" w:hAnsi="Arial"/>
          <w:sz w:val="24"/>
          <w:szCs w:val="24"/>
          <w:rtl/>
        </w:rPr>
        <w:t xml:space="preserve">تحديد الأدوار والمسؤوليات بوضوح يُعدّ ركيزة لإدارة فعّالة للسجل. وفيما يلي أبرز الأدوار في منظومة إدارة سجل المساهمين:</w:t>
      </w:r>
    </w:p>
    <w:p>
      <w:pPr>
        <w:pStyle w:val="Heading2"/>
        <w:bidi/>
        <w:spacing w:after="160" w:before="280"/>
        <w:jc w:val="right"/>
      </w:pPr>
      <w:r>
        <w:rPr>
          <w:rFonts w:ascii="Arial" w:cs="Arial" w:eastAsia="Arial" w:hAnsi="Arial"/>
          <w:b/>
          <w:bCs/>
          <w:color w:val="2E75B6"/>
          <w:sz w:val="30"/>
          <w:szCs w:val="30"/>
          <w:rtl/>
        </w:rPr>
        <w:t xml:space="preserve">1. مجلس الإدارة</w:t>
      </w:r>
    </w:p>
    <w:p>
      <w:pPr>
        <w:pStyle w:val="ListParagraph"/>
        <w:numPr>
          <w:ilvl w:val="0"/>
          <w:numId w:val="2"/>
        </w:numPr>
        <w:bidi/>
        <w:spacing w:after="100" w:line="300"/>
        <w:jc w:val="right"/>
      </w:pPr>
      <w:r>
        <w:rPr>
          <w:rFonts w:ascii="Arial" w:cs="Arial" w:eastAsia="Arial" w:hAnsi="Arial"/>
          <w:sz w:val="24"/>
          <w:szCs w:val="24"/>
          <w:rtl/>
        </w:rPr>
        <w:t xml:space="preserve">اعتماد سياسات إدارة السجل.</w:t>
      </w:r>
    </w:p>
    <w:p>
      <w:pPr>
        <w:pStyle w:val="ListParagraph"/>
        <w:numPr>
          <w:ilvl w:val="0"/>
          <w:numId w:val="2"/>
        </w:numPr>
        <w:bidi/>
        <w:spacing w:after="100" w:line="300"/>
        <w:jc w:val="right"/>
      </w:pPr>
      <w:r>
        <w:rPr>
          <w:rFonts w:ascii="Arial" w:cs="Arial" w:eastAsia="Arial" w:hAnsi="Arial"/>
          <w:sz w:val="24"/>
          <w:szCs w:val="24"/>
          <w:rtl/>
        </w:rPr>
        <w:t xml:space="preserve">الإشراف الاستراتيجي على دقة وسلامة السجل.</w:t>
      </w:r>
    </w:p>
    <w:p>
      <w:pPr>
        <w:pStyle w:val="ListParagraph"/>
        <w:numPr>
          <w:ilvl w:val="0"/>
          <w:numId w:val="2"/>
        </w:numPr>
        <w:bidi/>
        <w:spacing w:after="100" w:line="300"/>
        <w:jc w:val="right"/>
      </w:pPr>
      <w:r>
        <w:rPr>
          <w:rFonts w:ascii="Arial" w:cs="Arial" w:eastAsia="Arial" w:hAnsi="Arial"/>
          <w:sz w:val="24"/>
          <w:szCs w:val="24"/>
          <w:rtl/>
        </w:rPr>
        <w:t xml:space="preserve">المسؤولية النهائية أمام الجهات التنظيمية.</w:t>
      </w:r>
    </w:p>
    <w:p>
      <w:pPr>
        <w:pStyle w:val="ListParagraph"/>
        <w:numPr>
          <w:ilvl w:val="0"/>
          <w:numId w:val="2"/>
        </w:numPr>
        <w:bidi/>
        <w:spacing w:after="100" w:line="300"/>
        <w:jc w:val="right"/>
      </w:pPr>
      <w:r>
        <w:rPr>
          <w:rFonts w:ascii="Arial" w:cs="Arial" w:eastAsia="Arial" w:hAnsi="Arial"/>
          <w:sz w:val="24"/>
          <w:szCs w:val="24"/>
          <w:rtl/>
        </w:rPr>
        <w:t xml:space="preserve">اعتماد التقارير الدورية المرتبطة بالسجل.</w:t>
      </w:r>
    </w:p>
    <w:p>
      <w:pPr>
        <w:pStyle w:val="Heading2"/>
        <w:bidi/>
        <w:spacing w:after="160" w:before="280"/>
        <w:jc w:val="right"/>
      </w:pPr>
      <w:r>
        <w:rPr>
          <w:rFonts w:ascii="Arial" w:cs="Arial" w:eastAsia="Arial" w:hAnsi="Arial"/>
          <w:b/>
          <w:bCs/>
          <w:color w:val="2E75B6"/>
          <w:sz w:val="30"/>
          <w:szCs w:val="30"/>
          <w:rtl/>
        </w:rPr>
        <w:t xml:space="preserve">2. لجنة المراجعة</w:t>
      </w:r>
    </w:p>
    <w:p>
      <w:pPr>
        <w:pStyle w:val="ListParagraph"/>
        <w:numPr>
          <w:ilvl w:val="0"/>
          <w:numId w:val="2"/>
        </w:numPr>
        <w:bidi/>
        <w:spacing w:after="100" w:line="300"/>
        <w:jc w:val="right"/>
      </w:pPr>
      <w:r>
        <w:rPr>
          <w:rFonts w:ascii="Arial" w:cs="Arial" w:eastAsia="Arial" w:hAnsi="Arial"/>
          <w:sz w:val="24"/>
          <w:szCs w:val="24"/>
          <w:rtl/>
        </w:rPr>
        <w:t xml:space="preserve">الإشراف على نظم الرقابة الداخلية المتعلقة بالسجل.</w:t>
      </w:r>
    </w:p>
    <w:p>
      <w:pPr>
        <w:pStyle w:val="ListParagraph"/>
        <w:numPr>
          <w:ilvl w:val="0"/>
          <w:numId w:val="2"/>
        </w:numPr>
        <w:bidi/>
        <w:spacing w:after="100" w:line="300"/>
        <w:jc w:val="right"/>
      </w:pPr>
      <w:r>
        <w:rPr>
          <w:rFonts w:ascii="Arial" w:cs="Arial" w:eastAsia="Arial" w:hAnsi="Arial"/>
          <w:sz w:val="24"/>
          <w:szCs w:val="24"/>
          <w:rtl/>
        </w:rPr>
        <w:t xml:space="preserve">مراجعة تقارير المراجع الخارجي بشأن السجل.</w:t>
      </w:r>
    </w:p>
    <w:p>
      <w:pPr>
        <w:pStyle w:val="ListParagraph"/>
        <w:numPr>
          <w:ilvl w:val="0"/>
          <w:numId w:val="2"/>
        </w:numPr>
        <w:bidi/>
        <w:spacing w:after="100" w:line="300"/>
        <w:jc w:val="right"/>
      </w:pPr>
      <w:r>
        <w:rPr>
          <w:rFonts w:ascii="Arial" w:cs="Arial" w:eastAsia="Arial" w:hAnsi="Arial"/>
          <w:sz w:val="24"/>
          <w:szCs w:val="24"/>
          <w:rtl/>
        </w:rPr>
        <w:t xml:space="preserve">متابعة معالجة أي ملاحظات تنظيمية.</w:t>
      </w:r>
    </w:p>
    <w:p>
      <w:pPr>
        <w:pStyle w:val="Heading2"/>
        <w:bidi/>
        <w:spacing w:after="160" w:before="280"/>
        <w:jc w:val="right"/>
      </w:pPr>
      <w:r>
        <w:rPr>
          <w:rFonts w:ascii="Arial" w:cs="Arial" w:eastAsia="Arial" w:hAnsi="Arial"/>
          <w:b/>
          <w:bCs/>
          <w:color w:val="2E75B6"/>
          <w:sz w:val="30"/>
          <w:szCs w:val="30"/>
          <w:rtl/>
        </w:rPr>
        <w:t xml:space="preserve">3. أمين سر مجلس الإدارة</w:t>
      </w:r>
    </w:p>
    <w:p>
      <w:pPr>
        <w:pStyle w:val="ListParagraph"/>
        <w:numPr>
          <w:ilvl w:val="0"/>
          <w:numId w:val="2"/>
        </w:numPr>
        <w:bidi/>
        <w:spacing w:after="100" w:line="300"/>
        <w:jc w:val="right"/>
      </w:pPr>
      <w:r>
        <w:rPr>
          <w:rFonts w:ascii="Arial" w:cs="Arial" w:eastAsia="Arial" w:hAnsi="Arial"/>
          <w:sz w:val="24"/>
          <w:szCs w:val="24"/>
          <w:rtl/>
        </w:rPr>
        <w:t xml:space="preserve">الإشراف التشغيلي على إدارة السجل.</w:t>
      </w:r>
    </w:p>
    <w:p>
      <w:pPr>
        <w:pStyle w:val="ListParagraph"/>
        <w:numPr>
          <w:ilvl w:val="0"/>
          <w:numId w:val="2"/>
        </w:numPr>
        <w:bidi/>
        <w:spacing w:after="100" w:line="300"/>
        <w:jc w:val="right"/>
      </w:pPr>
      <w:r>
        <w:rPr>
          <w:rFonts w:ascii="Arial" w:cs="Arial" w:eastAsia="Arial" w:hAnsi="Arial"/>
          <w:sz w:val="24"/>
          <w:szCs w:val="24"/>
          <w:rtl/>
        </w:rPr>
        <w:t xml:space="preserve">التواصل مع المساهمين.</w:t>
      </w:r>
    </w:p>
    <w:p>
      <w:pPr>
        <w:pStyle w:val="ListParagraph"/>
        <w:numPr>
          <w:ilvl w:val="0"/>
          <w:numId w:val="2"/>
        </w:numPr>
        <w:bidi/>
        <w:spacing w:after="100" w:line="300"/>
        <w:jc w:val="right"/>
      </w:pPr>
      <w:r>
        <w:rPr>
          <w:rFonts w:ascii="Arial" w:cs="Arial" w:eastAsia="Arial" w:hAnsi="Arial"/>
          <w:sz w:val="24"/>
          <w:szCs w:val="24"/>
          <w:rtl/>
        </w:rPr>
        <w:t xml:space="preserve">التنسيق مع مركز إيداع للشركات المدرجة.</w:t>
      </w:r>
    </w:p>
    <w:p>
      <w:pPr>
        <w:pStyle w:val="ListParagraph"/>
        <w:numPr>
          <w:ilvl w:val="0"/>
          <w:numId w:val="2"/>
        </w:numPr>
        <w:bidi/>
        <w:spacing w:after="100" w:line="300"/>
        <w:jc w:val="right"/>
      </w:pPr>
      <w:r>
        <w:rPr>
          <w:rFonts w:ascii="Arial" w:cs="Arial" w:eastAsia="Arial" w:hAnsi="Arial"/>
          <w:sz w:val="24"/>
          <w:szCs w:val="24"/>
          <w:rtl/>
        </w:rPr>
        <w:t xml:space="preserve">الإشراف على عمليات الإفصاح.</w:t>
      </w:r>
    </w:p>
    <w:p>
      <w:pPr>
        <w:pStyle w:val="Heading2"/>
        <w:bidi/>
        <w:spacing w:after="160" w:before="280"/>
        <w:jc w:val="right"/>
      </w:pPr>
      <w:r>
        <w:rPr>
          <w:rFonts w:ascii="Arial" w:cs="Arial" w:eastAsia="Arial" w:hAnsi="Arial"/>
          <w:b/>
          <w:bCs/>
          <w:color w:val="2E75B6"/>
          <w:sz w:val="30"/>
          <w:szCs w:val="30"/>
          <w:rtl/>
        </w:rPr>
        <w:t xml:space="preserve">4. أمين السجل (Registrar)</w:t>
      </w:r>
    </w:p>
    <w:p>
      <w:pPr>
        <w:pStyle w:val="ListParagraph"/>
        <w:numPr>
          <w:ilvl w:val="0"/>
          <w:numId w:val="2"/>
        </w:numPr>
        <w:bidi/>
        <w:spacing w:after="100" w:line="300"/>
        <w:jc w:val="right"/>
      </w:pPr>
      <w:r>
        <w:rPr>
          <w:rFonts w:ascii="Arial" w:cs="Arial" w:eastAsia="Arial" w:hAnsi="Arial"/>
          <w:sz w:val="24"/>
          <w:szCs w:val="24"/>
          <w:rtl/>
        </w:rPr>
        <w:t xml:space="preserve">التنفيذ اليومي لعمليات التحديث.</w:t>
      </w:r>
    </w:p>
    <w:p>
      <w:pPr>
        <w:pStyle w:val="ListParagraph"/>
        <w:numPr>
          <w:ilvl w:val="0"/>
          <w:numId w:val="2"/>
        </w:numPr>
        <w:bidi/>
        <w:spacing w:after="100" w:line="300"/>
        <w:jc w:val="right"/>
      </w:pPr>
      <w:r>
        <w:rPr>
          <w:rFonts w:ascii="Arial" w:cs="Arial" w:eastAsia="Arial" w:hAnsi="Arial"/>
          <w:sz w:val="24"/>
          <w:szCs w:val="24"/>
          <w:rtl/>
        </w:rPr>
        <w:t xml:space="preserve">التحقق من المستندات.</w:t>
      </w:r>
    </w:p>
    <w:p>
      <w:pPr>
        <w:pStyle w:val="ListParagraph"/>
        <w:numPr>
          <w:ilvl w:val="0"/>
          <w:numId w:val="2"/>
        </w:numPr>
        <w:bidi/>
        <w:spacing w:after="100" w:line="300"/>
        <w:jc w:val="right"/>
      </w:pPr>
      <w:r>
        <w:rPr>
          <w:rFonts w:ascii="Arial" w:cs="Arial" w:eastAsia="Arial" w:hAnsi="Arial"/>
          <w:sz w:val="24"/>
          <w:szCs w:val="24"/>
          <w:rtl/>
        </w:rPr>
        <w:t xml:space="preserve">الحفاظ على دقة البيانات.</w:t>
      </w:r>
    </w:p>
    <w:p>
      <w:pPr>
        <w:pStyle w:val="ListParagraph"/>
        <w:numPr>
          <w:ilvl w:val="0"/>
          <w:numId w:val="2"/>
        </w:numPr>
        <w:bidi/>
        <w:spacing w:after="100" w:line="300"/>
        <w:jc w:val="right"/>
      </w:pPr>
      <w:r>
        <w:rPr>
          <w:rFonts w:ascii="Arial" w:cs="Arial" w:eastAsia="Arial" w:hAnsi="Arial"/>
          <w:sz w:val="24"/>
          <w:szCs w:val="24"/>
          <w:rtl/>
        </w:rPr>
        <w:t xml:space="preserve">إعداد التقارير الدورية.</w:t>
      </w:r>
    </w:p>
    <w:p>
      <w:pPr>
        <w:pStyle w:val="Heading2"/>
        <w:bidi/>
        <w:spacing w:after="160" w:before="280"/>
        <w:jc w:val="right"/>
      </w:pPr>
      <w:r>
        <w:rPr>
          <w:rFonts w:ascii="Arial" w:cs="Arial" w:eastAsia="Arial" w:hAnsi="Arial"/>
          <w:b/>
          <w:bCs/>
          <w:color w:val="2E75B6"/>
          <w:sz w:val="30"/>
          <w:szCs w:val="30"/>
          <w:rtl/>
        </w:rPr>
        <w:t xml:space="preserve">5. إدارة المخاطر والامتثال</w:t>
      </w:r>
    </w:p>
    <w:p>
      <w:pPr>
        <w:pStyle w:val="ListParagraph"/>
        <w:numPr>
          <w:ilvl w:val="0"/>
          <w:numId w:val="2"/>
        </w:numPr>
        <w:bidi/>
        <w:spacing w:after="100" w:line="300"/>
        <w:jc w:val="right"/>
      </w:pPr>
      <w:r>
        <w:rPr>
          <w:rFonts w:ascii="Arial" w:cs="Arial" w:eastAsia="Arial" w:hAnsi="Arial"/>
          <w:sz w:val="24"/>
          <w:szCs w:val="24"/>
          <w:rtl/>
        </w:rPr>
        <w:t xml:space="preserve">تحديد مخاطر السجل ومعالجتها.</w:t>
      </w:r>
    </w:p>
    <w:p>
      <w:pPr>
        <w:pStyle w:val="ListParagraph"/>
        <w:numPr>
          <w:ilvl w:val="0"/>
          <w:numId w:val="2"/>
        </w:numPr>
        <w:bidi/>
        <w:spacing w:after="100" w:line="300"/>
        <w:jc w:val="right"/>
      </w:pPr>
      <w:r>
        <w:rPr>
          <w:rFonts w:ascii="Arial" w:cs="Arial" w:eastAsia="Arial" w:hAnsi="Arial"/>
          <w:sz w:val="24"/>
          <w:szCs w:val="24"/>
          <w:rtl/>
        </w:rPr>
        <w:t xml:space="preserve">ضمان الامتثال للمتطلبات النظامية.</w:t>
      </w:r>
    </w:p>
    <w:p>
      <w:pPr>
        <w:pStyle w:val="ListParagraph"/>
        <w:numPr>
          <w:ilvl w:val="0"/>
          <w:numId w:val="2"/>
        </w:numPr>
        <w:bidi/>
        <w:spacing w:after="100" w:line="300"/>
        <w:jc w:val="right"/>
      </w:pPr>
      <w:r>
        <w:rPr>
          <w:rFonts w:ascii="Arial" w:cs="Arial" w:eastAsia="Arial" w:hAnsi="Arial"/>
          <w:sz w:val="24"/>
          <w:szCs w:val="24"/>
          <w:rtl/>
        </w:rPr>
        <w:t xml:space="preserve">متابعة التحديثات التشريعية.</w:t>
      </w:r>
    </w:p>
    <w:p>
      <w:pPr>
        <w:pStyle w:val="Heading2"/>
        <w:bidi/>
        <w:spacing w:after="160" w:before="280"/>
        <w:jc w:val="right"/>
      </w:pPr>
      <w:r>
        <w:rPr>
          <w:rFonts w:ascii="Arial" w:cs="Arial" w:eastAsia="Arial" w:hAnsi="Arial"/>
          <w:b/>
          <w:bCs/>
          <w:color w:val="2E75B6"/>
          <w:sz w:val="30"/>
          <w:szCs w:val="30"/>
          <w:rtl/>
        </w:rPr>
        <w:t xml:space="preserve">6. أمن المعلومات</w:t>
      </w:r>
    </w:p>
    <w:p>
      <w:pPr>
        <w:pStyle w:val="ListParagraph"/>
        <w:numPr>
          <w:ilvl w:val="0"/>
          <w:numId w:val="2"/>
        </w:numPr>
        <w:bidi/>
        <w:spacing w:after="100" w:line="300"/>
        <w:jc w:val="right"/>
      </w:pPr>
      <w:r>
        <w:rPr>
          <w:rFonts w:ascii="Arial" w:cs="Arial" w:eastAsia="Arial" w:hAnsi="Arial"/>
          <w:sz w:val="24"/>
          <w:szCs w:val="24"/>
          <w:rtl/>
        </w:rPr>
        <w:t xml:space="preserve">حماية بيانات السجل من الاختراق.</w:t>
      </w:r>
    </w:p>
    <w:p>
      <w:pPr>
        <w:pStyle w:val="ListParagraph"/>
        <w:numPr>
          <w:ilvl w:val="0"/>
          <w:numId w:val="2"/>
        </w:numPr>
        <w:bidi/>
        <w:spacing w:after="100" w:line="300"/>
        <w:jc w:val="right"/>
      </w:pPr>
      <w:r>
        <w:rPr>
          <w:rFonts w:ascii="Arial" w:cs="Arial" w:eastAsia="Arial" w:hAnsi="Arial"/>
          <w:sz w:val="24"/>
          <w:szCs w:val="24"/>
          <w:rtl/>
        </w:rPr>
        <w:t xml:space="preserve">إدارة الصلاحيات والوصول.</w:t>
      </w:r>
    </w:p>
    <w:p>
      <w:pPr>
        <w:pStyle w:val="ListParagraph"/>
        <w:numPr>
          <w:ilvl w:val="0"/>
          <w:numId w:val="2"/>
        </w:numPr>
        <w:bidi/>
        <w:spacing w:after="100" w:line="300"/>
        <w:jc w:val="right"/>
      </w:pPr>
      <w:r>
        <w:rPr>
          <w:rFonts w:ascii="Arial" w:cs="Arial" w:eastAsia="Arial" w:hAnsi="Arial"/>
          <w:sz w:val="24"/>
          <w:szCs w:val="24"/>
          <w:rtl/>
        </w:rPr>
        <w:t xml:space="preserve">مراقبة الأنشطة المشبوهة.</w:t>
      </w:r>
    </w:p>
    <w:p>
      <w:pPr>
        <w:pStyle w:val="ListParagraph"/>
        <w:numPr>
          <w:ilvl w:val="0"/>
          <w:numId w:val="2"/>
        </w:numPr>
        <w:bidi/>
        <w:spacing w:after="100" w:line="300"/>
        <w:jc w:val="right"/>
      </w:pPr>
      <w:r>
        <w:rPr>
          <w:rFonts w:ascii="Arial" w:cs="Arial" w:eastAsia="Arial" w:hAnsi="Arial"/>
          <w:sz w:val="24"/>
          <w:szCs w:val="24"/>
          <w:rtl/>
        </w:rPr>
        <w:t xml:space="preserve">اختبار الأنظمة دورياً.</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ثامناً: مؤشرات أداء إدارة السجل (KPIs)</w:t>
      </w:r>
    </w:p>
    <w:p>
      <w:pPr>
        <w:bidi/>
        <w:spacing w:after="140" w:line="320"/>
        <w:jc w:val="both"/>
      </w:pPr>
      <w:r>
        <w:rPr>
          <w:rFonts w:ascii="Arial" w:cs="Arial" w:eastAsia="Arial" w:hAnsi="Arial"/>
          <w:sz w:val="24"/>
          <w:szCs w:val="24"/>
          <w:rtl/>
        </w:rPr>
        <w:t xml:space="preserve">لقياس مدى كفاءة إدارة سجل المساهمين، يمكن اعتماد مجموعة من مؤشرات الأداء الرئيسية: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gridCol w:w="25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المؤشر</w:t>
            </w:r>
          </w:p>
        </w:tc>
        <w:tc>
          <w:tcPr>
            <w:tcW w:type="dxa" w:w="4326"/>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الوصف</w:t>
            </w:r>
          </w:p>
        </w:tc>
        <w:tc>
          <w:tcPr>
            <w:tcW w:type="dxa" w:w="25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pPr>
              <w:bidi/>
              <w:jc w:val="center"/>
            </w:pPr>
            <w:r>
              <w:rPr>
                <w:rFonts w:ascii="Arial" w:cs="Arial" w:eastAsia="Arial" w:hAnsi="Arial"/>
                <w:b/>
                <w:bCs/>
                <w:color w:val="FFFFFF"/>
                <w:sz w:val="24"/>
                <w:szCs w:val="24"/>
                <w:rtl/>
              </w:rPr>
              <w:t xml:space="preserve">الهدف</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وقت تنفيذ التحديث</w:t>
            </w:r>
          </w:p>
        </w:tc>
        <w:tc>
          <w:tcPr>
            <w:tcW w:type="dxa" w:w="43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متوسط الوقت بين استلام الطلب وإكماله</w:t>
            </w:r>
          </w:p>
        </w:tc>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أقل من 3 أيام عمل</w:t>
            </w:r>
          </w:p>
        </w:tc>
      </w:tr>
      <w:tr>
        <w:tc>
          <w:tcPr>
            <w:tcW w:type="dxa" w:w="22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معدل الأخطاء</w:t>
            </w:r>
          </w:p>
        </w:tc>
        <w:tc>
          <w:tcPr>
            <w:tcW w:type="dxa" w:w="43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نسبة المعاملات التي تحتوي أخطاء</w:t>
            </w:r>
          </w:p>
        </w:tc>
        <w:tc>
          <w:tcPr>
            <w:tcW w:type="dxa" w:w="2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أقل من 0.5%</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معدل التسويات الناجحة</w:t>
            </w:r>
          </w:p>
        </w:tc>
        <w:tc>
          <w:tcPr>
            <w:tcW w:type="dxa" w:w="43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نسبة التسويات الدورية بدون تباين</w:t>
            </w:r>
          </w:p>
        </w:tc>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أكثر من 99.5%</w:t>
            </w:r>
          </w:p>
        </w:tc>
      </w:tr>
      <w:tr>
        <w:tc>
          <w:tcPr>
            <w:tcW w:type="dxa" w:w="22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دقة الإفصاحات</w:t>
            </w:r>
          </w:p>
        </w:tc>
        <w:tc>
          <w:tcPr>
            <w:tcW w:type="dxa" w:w="43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نسبة الإفصاحات الدقيقة في تاريخها</w:t>
            </w:r>
          </w:p>
        </w:tc>
        <w:tc>
          <w:tcPr>
            <w:tcW w:type="dxa" w:w="2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100%</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معدل رضا المساهمين</w:t>
            </w:r>
          </w:p>
        </w:tc>
        <w:tc>
          <w:tcPr>
            <w:tcW w:type="dxa" w:w="43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نتائج استبيانات الرضا</w:t>
            </w:r>
          </w:p>
        </w:tc>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أكثر من 85%</w:t>
            </w:r>
          </w:p>
        </w:tc>
      </w:tr>
      <w:tr>
        <w:tc>
          <w:tcPr>
            <w:tcW w:type="dxa" w:w="22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زمن استجابة الاستفسارات</w:t>
            </w:r>
          </w:p>
        </w:tc>
        <w:tc>
          <w:tcPr>
            <w:tcW w:type="dxa" w:w="43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متوسط زمن الرد على المساهمين</w:t>
            </w:r>
          </w:p>
        </w:tc>
        <w:tc>
          <w:tcPr>
            <w:tcW w:type="dxa" w:w="2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أقل من 48 ساعة</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معدل توافر النظام</w:t>
            </w:r>
          </w:p>
        </w:tc>
        <w:tc>
          <w:tcPr>
            <w:tcW w:type="dxa" w:w="4326"/>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نسبة الوقت المتاح للنظام الإلكتروني</w:t>
            </w:r>
          </w:p>
        </w:tc>
        <w:tc>
          <w:tcPr>
            <w:tcW w:type="dxa" w:w="2500"/>
            <w:tcBorders>
              <w:top w:val="single" w:color="BFBFBF" w:sz="4"/>
              <w:left w:val="single" w:color="BFBFBF" w:sz="4"/>
              <w:bottom w:val="single" w:color="BFBFBF" w:sz="4"/>
              <w:right w:val="single" w:color="BFBFBF" w:sz="4"/>
            </w:tcBorders>
            <w:shd w:fill="F2F2F2" w:val="clear"/>
            <w:tcMar>
              <w:top w:type="dxa" w:w="120"/>
              <w:left w:type="dxa" w:w="140"/>
              <w:bottom w:type="dxa" w:w="120"/>
              <w:right w:type="dxa" w:w="140"/>
            </w:tcMar>
          </w:tcPr>
          <w:p>
            <w:pPr>
              <w:bidi/>
              <w:jc w:val="right"/>
            </w:pPr>
            <w:r>
              <w:rPr>
                <w:rFonts w:ascii="Arial" w:cs="Arial" w:eastAsia="Arial" w:hAnsi="Arial"/>
                <w:sz w:val="22"/>
                <w:szCs w:val="22"/>
                <w:rtl/>
              </w:rPr>
              <w:t xml:space="preserve">أكثر من 99.9%</w:t>
            </w:r>
          </w:p>
        </w:tc>
      </w:tr>
      <w:tr>
        <w:tc>
          <w:tcPr>
            <w:tcW w:type="dxa" w:w="22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الحوادث الأمنية</w:t>
            </w:r>
          </w:p>
        </w:tc>
        <w:tc>
          <w:tcPr>
            <w:tcW w:type="dxa" w:w="4326"/>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عدد حوادث اختراق أو تسرب بيانات</w:t>
            </w:r>
          </w:p>
        </w:tc>
        <w:tc>
          <w:tcPr>
            <w:tcW w:type="dxa" w:w="2500"/>
            <w:tcBorders>
              <w:top w:val="single" w:color="BFBFBF" w:sz="4"/>
              <w:left w:val="single" w:color="BFBFBF" w:sz="4"/>
              <w:bottom w:val="single" w:color="BFBFBF" w:sz="4"/>
              <w:right w:val="single" w:color="BFBFBF" w:sz="4"/>
            </w:tcBorders>
            <w:shd w:fill="FFFFFF" w:val="clear"/>
            <w:tcMar>
              <w:top w:type="dxa" w:w="120"/>
              <w:left w:type="dxa" w:w="140"/>
              <w:bottom w:type="dxa" w:w="120"/>
              <w:right w:type="dxa" w:w="140"/>
            </w:tcMar>
          </w:tcPr>
          <w:p>
            <w:pPr>
              <w:bidi/>
              <w:jc w:val="right"/>
            </w:pPr>
            <w:r>
              <w:rPr>
                <w:rFonts w:ascii="Arial" w:cs="Arial" w:eastAsia="Arial" w:hAnsi="Arial"/>
                <w:sz w:val="22"/>
                <w:szCs w:val="22"/>
                <w:rtl/>
              </w:rPr>
              <w:t xml:space="preserve">صفر</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تاسعاً: التحديات الشائعة في التحديث والصيانة</w:t>
      </w:r>
    </w:p>
    <w:p>
      <w:pPr>
        <w:pStyle w:val="Heading2"/>
        <w:bidi/>
        <w:spacing w:after="160" w:before="280"/>
        <w:jc w:val="right"/>
      </w:pPr>
      <w:r>
        <w:rPr>
          <w:rFonts w:ascii="Arial" w:cs="Arial" w:eastAsia="Arial" w:hAnsi="Arial"/>
          <w:b/>
          <w:bCs/>
          <w:color w:val="2E75B6"/>
          <w:sz w:val="30"/>
          <w:szCs w:val="30"/>
          <w:rtl/>
        </w:rPr>
        <w:t xml:space="preserve">1. حجم البيانات الكبير</w:t>
      </w:r>
    </w:p>
    <w:p>
      <w:pPr>
        <w:bidi/>
        <w:spacing w:after="140" w:line="320"/>
        <w:jc w:val="both"/>
      </w:pPr>
      <w:r>
        <w:rPr>
          <w:rFonts w:ascii="Arial" w:cs="Arial" w:eastAsia="Arial" w:hAnsi="Arial"/>
          <w:sz w:val="24"/>
          <w:szCs w:val="24"/>
          <w:rtl/>
        </w:rPr>
        <w:t xml:space="preserve">التحدي: في الشركات الكبيرة، قد يصل عدد المساهمين إلى عشرات الآلاف، مما يجعل إدارة السجل عملية معقدة.</w:t>
      </w:r>
    </w:p>
    <w:p>
      <w:pPr>
        <w:bidi/>
        <w:spacing w:after="140" w:line="320"/>
        <w:jc w:val="both"/>
      </w:pPr>
      <w:r>
        <w:rPr>
          <w:rFonts w:ascii="Arial" w:cs="Arial" w:eastAsia="Arial" w:hAnsi="Arial"/>
          <w:sz w:val="24"/>
          <w:szCs w:val="24"/>
          <w:rtl/>
        </w:rPr>
        <w:t xml:space="preserve">الحل: استخدام أنظمة إدارة متطورة قادرة على التعامل مع الأحجام الكبيرة، أتمتة العمليات الروتينية، التركيز على الحالات الاستثنائية.</w:t>
      </w:r>
    </w:p>
    <w:p>
      <w:pPr>
        <w:pStyle w:val="Heading2"/>
        <w:bidi/>
        <w:spacing w:after="160" w:before="280"/>
        <w:jc w:val="right"/>
      </w:pPr>
      <w:r>
        <w:rPr>
          <w:rFonts w:ascii="Arial" w:cs="Arial" w:eastAsia="Arial" w:hAnsi="Arial"/>
          <w:b/>
          <w:bCs/>
          <w:color w:val="2E75B6"/>
          <w:sz w:val="30"/>
          <w:szCs w:val="30"/>
          <w:rtl/>
        </w:rPr>
        <w:t xml:space="preserve">2. تنوع مصادر التحديث</w:t>
      </w:r>
    </w:p>
    <w:p>
      <w:pPr>
        <w:bidi/>
        <w:spacing w:after="140" w:line="320"/>
        <w:jc w:val="both"/>
      </w:pPr>
      <w:r>
        <w:rPr>
          <w:rFonts w:ascii="Arial" w:cs="Arial" w:eastAsia="Arial" w:hAnsi="Arial"/>
          <w:sz w:val="24"/>
          <w:szCs w:val="24"/>
          <w:rtl/>
        </w:rPr>
        <w:t xml:space="preserve">التحدي: تتعدد مصادر التحديث (المساهمون، الجهات القضائية، الورثة...) مما يخلق صعوبة في توحيد الإجراءات.</w:t>
      </w:r>
    </w:p>
    <w:p>
      <w:pPr>
        <w:bidi/>
        <w:spacing w:after="140" w:line="320"/>
        <w:jc w:val="both"/>
      </w:pPr>
      <w:r>
        <w:rPr>
          <w:rFonts w:ascii="Arial" w:cs="Arial" w:eastAsia="Arial" w:hAnsi="Arial"/>
          <w:sz w:val="24"/>
          <w:szCs w:val="24"/>
          <w:rtl/>
        </w:rPr>
        <w:t xml:space="preserve">الحل: تطوير إجراءات معيارية لكل نوع من التحديثات، نماذج موحدة، دليل عمليات شامل.</w:t>
      </w:r>
    </w:p>
    <w:p>
      <w:pPr>
        <w:pStyle w:val="Heading2"/>
        <w:bidi/>
        <w:spacing w:after="160" w:before="280"/>
        <w:jc w:val="right"/>
      </w:pPr>
      <w:r>
        <w:rPr>
          <w:rFonts w:ascii="Arial" w:cs="Arial" w:eastAsia="Arial" w:hAnsi="Arial"/>
          <w:b/>
          <w:bCs/>
          <w:color w:val="2E75B6"/>
          <w:sz w:val="30"/>
          <w:szCs w:val="30"/>
          <w:rtl/>
        </w:rPr>
        <w:t xml:space="preserve">3. التغييرات التنظيمية</w:t>
      </w:r>
    </w:p>
    <w:p>
      <w:pPr>
        <w:bidi/>
        <w:spacing w:after="140" w:line="320"/>
        <w:jc w:val="both"/>
      </w:pPr>
      <w:r>
        <w:rPr>
          <w:rFonts w:ascii="Arial" w:cs="Arial" w:eastAsia="Arial" w:hAnsi="Arial"/>
          <w:sz w:val="24"/>
          <w:szCs w:val="24"/>
          <w:rtl/>
        </w:rPr>
        <w:t xml:space="preserve">التحدي: التحديثات المستمرة في الأنظمة واللوائح تستوجب تكيفاً دائماً.</w:t>
      </w:r>
    </w:p>
    <w:p>
      <w:pPr>
        <w:bidi/>
        <w:spacing w:after="140" w:line="320"/>
        <w:jc w:val="both"/>
      </w:pPr>
      <w:r>
        <w:rPr>
          <w:rFonts w:ascii="Arial" w:cs="Arial" w:eastAsia="Arial" w:hAnsi="Arial"/>
          <w:sz w:val="24"/>
          <w:szCs w:val="24"/>
          <w:rtl/>
        </w:rPr>
        <w:t xml:space="preserve">الحل: متابعة منتظمة للتحديثات التشريعية، اشتراك في النشرات الرسمية، تدريب دوري للفريق.</w:t>
      </w:r>
    </w:p>
    <w:p>
      <w:pPr>
        <w:pStyle w:val="Heading2"/>
        <w:bidi/>
        <w:spacing w:after="160" w:before="280"/>
        <w:jc w:val="right"/>
      </w:pPr>
      <w:r>
        <w:rPr>
          <w:rFonts w:ascii="Arial" w:cs="Arial" w:eastAsia="Arial" w:hAnsi="Arial"/>
          <w:b/>
          <w:bCs/>
          <w:color w:val="2E75B6"/>
          <w:sz w:val="30"/>
          <w:szCs w:val="30"/>
          <w:rtl/>
        </w:rPr>
        <w:t xml:space="preserve">4. الحفاظ على الأمان والخصوصية</w:t>
      </w:r>
    </w:p>
    <w:p>
      <w:pPr>
        <w:bidi/>
        <w:spacing w:after="140" w:line="320"/>
        <w:jc w:val="both"/>
      </w:pPr>
      <w:r>
        <w:rPr>
          <w:rFonts w:ascii="Arial" w:cs="Arial" w:eastAsia="Arial" w:hAnsi="Arial"/>
          <w:sz w:val="24"/>
          <w:szCs w:val="24"/>
          <w:rtl/>
        </w:rPr>
        <w:t xml:space="preserve">التحدي: مع نظام حماية البيانات الشخصية، أصبح التعامل مع بيانات المساهمين أكثر تعقيداً.</w:t>
      </w:r>
    </w:p>
    <w:p>
      <w:pPr>
        <w:bidi/>
        <w:spacing w:after="140" w:line="320"/>
        <w:jc w:val="both"/>
      </w:pPr>
      <w:r>
        <w:rPr>
          <w:rFonts w:ascii="Arial" w:cs="Arial" w:eastAsia="Arial" w:hAnsi="Arial"/>
          <w:sz w:val="24"/>
          <w:szCs w:val="24"/>
          <w:rtl/>
        </w:rPr>
        <w:t xml:space="preserve">الحل: تقييم تأثير الخصوصية، تطبيق ضوابط حماية متعددة الطبقات، التدريب على متطلبات الخصوصية.</w:t>
      </w:r>
    </w:p>
    <w:p>
      <w:pPr>
        <w:pStyle w:val="Heading2"/>
        <w:bidi/>
        <w:spacing w:after="160" w:before="280"/>
        <w:jc w:val="right"/>
      </w:pPr>
      <w:r>
        <w:rPr>
          <w:rFonts w:ascii="Arial" w:cs="Arial" w:eastAsia="Arial" w:hAnsi="Arial"/>
          <w:b/>
          <w:bCs/>
          <w:color w:val="2E75B6"/>
          <w:sz w:val="30"/>
          <w:szCs w:val="30"/>
          <w:rtl/>
        </w:rPr>
        <w:t xml:space="preserve">5. التكامل بين الأنظمة</w:t>
      </w:r>
    </w:p>
    <w:p>
      <w:pPr>
        <w:bidi/>
        <w:spacing w:after="140" w:line="320"/>
        <w:jc w:val="both"/>
      </w:pPr>
      <w:r>
        <w:rPr>
          <w:rFonts w:ascii="Arial" w:cs="Arial" w:eastAsia="Arial" w:hAnsi="Arial"/>
          <w:sz w:val="24"/>
          <w:szCs w:val="24"/>
          <w:rtl/>
        </w:rPr>
        <w:t xml:space="preserve">التحدي: تكامل سجل المساهمين مع أنظمة الشركة الأخرى (المالية، التواصل، الإفصاح) قد يكون معقداً تقنياً.</w:t>
      </w:r>
    </w:p>
    <w:p>
      <w:pPr>
        <w:bidi/>
        <w:spacing w:after="140" w:line="320"/>
        <w:jc w:val="both"/>
      </w:pPr>
      <w:r>
        <w:rPr>
          <w:rFonts w:ascii="Arial" w:cs="Arial" w:eastAsia="Arial" w:hAnsi="Arial"/>
          <w:sz w:val="24"/>
          <w:szCs w:val="24"/>
          <w:rtl/>
        </w:rPr>
        <w:t xml:space="preserve">الحل: تطوير API موحدة، استخدام معايير تبادل البيانات الدولية، الاستثمار في حلول تقنية متكاملة.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عاشراً: أفضل الممارسات في التحديث والصيانة</w:t>
      </w:r>
    </w:p>
    <w:p>
      <w:pPr>
        <w:pStyle w:val="ListParagraph"/>
        <w:numPr>
          <w:ilvl w:val="0"/>
          <w:numId w:val="3"/>
        </w:numPr>
        <w:bidi/>
        <w:spacing w:after="100" w:line="300"/>
        <w:jc w:val="right"/>
      </w:pPr>
      <w:r>
        <w:rPr>
          <w:rFonts w:ascii="Arial" w:cs="Arial" w:eastAsia="Arial" w:hAnsi="Arial"/>
          <w:sz w:val="24"/>
          <w:szCs w:val="24"/>
          <w:rtl/>
        </w:rPr>
        <w:t xml:space="preserve">الأتمتة الكاملة قدر الإمكان لتقليل الأخطاء البشرية.</w:t>
      </w:r>
    </w:p>
    <w:p>
      <w:pPr>
        <w:pStyle w:val="ListParagraph"/>
        <w:numPr>
          <w:ilvl w:val="0"/>
          <w:numId w:val="3"/>
        </w:numPr>
        <w:bidi/>
        <w:spacing w:after="100" w:line="300"/>
        <w:jc w:val="right"/>
      </w:pPr>
      <w:r>
        <w:rPr>
          <w:rFonts w:ascii="Arial" w:cs="Arial" w:eastAsia="Arial" w:hAnsi="Arial"/>
          <w:sz w:val="24"/>
          <w:szCs w:val="24"/>
          <w:rtl/>
        </w:rPr>
        <w:t xml:space="preserve">الفصل بين الواجبات (Segregation of Duties) في عمليات التحديث.</w:t>
      </w:r>
    </w:p>
    <w:p>
      <w:pPr>
        <w:pStyle w:val="ListParagraph"/>
        <w:numPr>
          <w:ilvl w:val="0"/>
          <w:numId w:val="3"/>
        </w:numPr>
        <w:bidi/>
        <w:spacing w:after="100" w:line="300"/>
        <w:jc w:val="right"/>
      </w:pPr>
      <w:r>
        <w:rPr>
          <w:rFonts w:ascii="Arial" w:cs="Arial" w:eastAsia="Arial" w:hAnsi="Arial"/>
          <w:sz w:val="24"/>
          <w:szCs w:val="24"/>
          <w:rtl/>
        </w:rPr>
        <w:t xml:space="preserve">التحقق المتعدد قبل اعتماد أي تحديث.</w:t>
      </w:r>
    </w:p>
    <w:p>
      <w:pPr>
        <w:pStyle w:val="ListParagraph"/>
        <w:numPr>
          <w:ilvl w:val="0"/>
          <w:numId w:val="3"/>
        </w:numPr>
        <w:bidi/>
        <w:spacing w:after="100" w:line="300"/>
        <w:jc w:val="right"/>
      </w:pPr>
      <w:r>
        <w:rPr>
          <w:rFonts w:ascii="Arial" w:cs="Arial" w:eastAsia="Arial" w:hAnsi="Arial"/>
          <w:sz w:val="24"/>
          <w:szCs w:val="24"/>
          <w:rtl/>
        </w:rPr>
        <w:t xml:space="preserve">التوثيق الكامل لكل عملية مع المستندات الداعمة.</w:t>
      </w:r>
    </w:p>
    <w:p>
      <w:pPr>
        <w:pStyle w:val="ListParagraph"/>
        <w:numPr>
          <w:ilvl w:val="0"/>
          <w:numId w:val="3"/>
        </w:numPr>
        <w:bidi/>
        <w:spacing w:after="100" w:line="300"/>
        <w:jc w:val="right"/>
      </w:pPr>
      <w:r>
        <w:rPr>
          <w:rFonts w:ascii="Arial" w:cs="Arial" w:eastAsia="Arial" w:hAnsi="Arial"/>
          <w:sz w:val="24"/>
          <w:szCs w:val="24"/>
          <w:rtl/>
        </w:rPr>
        <w:t xml:space="preserve">التسوية الدورية مع جميع المصادر ذات الصلة.</w:t>
      </w:r>
    </w:p>
    <w:p>
      <w:pPr>
        <w:pStyle w:val="ListParagraph"/>
        <w:numPr>
          <w:ilvl w:val="0"/>
          <w:numId w:val="3"/>
        </w:numPr>
        <w:bidi/>
        <w:spacing w:after="100" w:line="300"/>
        <w:jc w:val="right"/>
      </w:pPr>
      <w:r>
        <w:rPr>
          <w:rFonts w:ascii="Arial" w:cs="Arial" w:eastAsia="Arial" w:hAnsi="Arial"/>
          <w:sz w:val="24"/>
          <w:szCs w:val="24"/>
          <w:rtl/>
        </w:rPr>
        <w:t xml:space="preserve">النسخ الاحتياطي المنتظم في أماكن متعددة.</w:t>
      </w:r>
    </w:p>
    <w:p>
      <w:pPr>
        <w:pStyle w:val="ListParagraph"/>
        <w:numPr>
          <w:ilvl w:val="0"/>
          <w:numId w:val="3"/>
        </w:numPr>
        <w:bidi/>
        <w:spacing w:after="100" w:line="300"/>
        <w:jc w:val="right"/>
      </w:pPr>
      <w:r>
        <w:rPr>
          <w:rFonts w:ascii="Arial" w:cs="Arial" w:eastAsia="Arial" w:hAnsi="Arial"/>
          <w:sz w:val="24"/>
          <w:szCs w:val="24"/>
          <w:rtl/>
        </w:rPr>
        <w:t xml:space="preserve">اختبار خطط التعافي من الكوارث بشكل دوري.</w:t>
      </w:r>
    </w:p>
    <w:p>
      <w:pPr>
        <w:pStyle w:val="ListParagraph"/>
        <w:numPr>
          <w:ilvl w:val="0"/>
          <w:numId w:val="3"/>
        </w:numPr>
        <w:bidi/>
        <w:spacing w:after="100" w:line="300"/>
        <w:jc w:val="right"/>
      </w:pPr>
      <w:r>
        <w:rPr>
          <w:rFonts w:ascii="Arial" w:cs="Arial" w:eastAsia="Arial" w:hAnsi="Arial"/>
          <w:sz w:val="24"/>
          <w:szCs w:val="24"/>
          <w:rtl/>
        </w:rPr>
        <w:t xml:space="preserve">التدريب المستمر للفريق العامل.</w:t>
      </w:r>
    </w:p>
    <w:p>
      <w:pPr>
        <w:pStyle w:val="ListParagraph"/>
        <w:numPr>
          <w:ilvl w:val="0"/>
          <w:numId w:val="3"/>
        </w:numPr>
        <w:bidi/>
        <w:spacing w:after="100" w:line="300"/>
        <w:jc w:val="right"/>
      </w:pPr>
      <w:r>
        <w:rPr>
          <w:rFonts w:ascii="Arial" w:cs="Arial" w:eastAsia="Arial" w:hAnsi="Arial"/>
          <w:sz w:val="24"/>
          <w:szCs w:val="24"/>
          <w:rtl/>
        </w:rPr>
        <w:t xml:space="preserve">استخدام مؤشرات الأداء لقياس الكفاءة.</w:t>
      </w:r>
    </w:p>
    <w:p>
      <w:pPr>
        <w:pStyle w:val="ListParagraph"/>
        <w:numPr>
          <w:ilvl w:val="0"/>
          <w:numId w:val="3"/>
        </w:numPr>
        <w:bidi/>
        <w:spacing w:after="100" w:line="300"/>
        <w:jc w:val="right"/>
      </w:pPr>
      <w:r>
        <w:rPr>
          <w:rFonts w:ascii="Arial" w:cs="Arial" w:eastAsia="Arial" w:hAnsi="Arial"/>
          <w:sz w:val="24"/>
          <w:szCs w:val="24"/>
          <w:rtl/>
        </w:rPr>
        <w:t xml:space="preserve">المراجعة الدورية المستقلة من جهة خارجية.</w:t>
      </w:r>
    </w:p>
    <w:p>
      <w:pPr>
        <w:pStyle w:val="ListParagraph"/>
        <w:numPr>
          <w:ilvl w:val="0"/>
          <w:numId w:val="3"/>
        </w:numPr>
        <w:bidi/>
        <w:spacing w:after="100" w:line="300"/>
        <w:jc w:val="right"/>
      </w:pPr>
      <w:r>
        <w:rPr>
          <w:rFonts w:ascii="Arial" w:cs="Arial" w:eastAsia="Arial" w:hAnsi="Arial"/>
          <w:sz w:val="24"/>
          <w:szCs w:val="24"/>
          <w:rtl/>
        </w:rPr>
        <w:t xml:space="preserve">التواصل الاستباقي مع المساهمين لتشجيع تحديث بياناتهم.</w:t>
      </w:r>
    </w:p>
    <w:p>
      <w:pPr>
        <w:pStyle w:val="ListParagraph"/>
        <w:numPr>
          <w:ilvl w:val="0"/>
          <w:numId w:val="3"/>
        </w:numPr>
        <w:bidi/>
        <w:spacing w:after="100" w:line="300"/>
        <w:jc w:val="right"/>
      </w:pPr>
      <w:r>
        <w:rPr>
          <w:rFonts w:ascii="Arial" w:cs="Arial" w:eastAsia="Arial" w:hAnsi="Arial"/>
          <w:sz w:val="24"/>
          <w:szCs w:val="24"/>
          <w:rtl/>
        </w:rPr>
        <w:t xml:space="preserve">الشفافية في الإجراءات وإتاحة الوصول للمعلومات.</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قائمة مراجعة شاملة لتحديث وصيانة السجل</w:t>
      </w:r>
    </w:p>
    <w:p>
      <w:pPr>
        <w:pStyle w:val="Heading3"/>
        <w:bidi/>
        <w:spacing w:after="120" w:before="200"/>
        <w:jc w:val="right"/>
      </w:pPr>
      <w:r>
        <w:rPr>
          <w:rFonts w:ascii="Arial" w:cs="Arial" w:eastAsia="Arial" w:hAnsi="Arial"/>
          <w:b/>
          <w:bCs/>
          <w:color w:val="1F4E79"/>
          <w:sz w:val="26"/>
          <w:szCs w:val="26"/>
          <w:rtl/>
        </w:rPr>
        <w:t xml:space="preserve">على المستوى اليومي</w:t>
      </w:r>
    </w:p>
    <w:p>
      <w:pPr>
        <w:pStyle w:val="ListParagraph"/>
        <w:numPr>
          <w:ilvl w:val="0"/>
          <w:numId w:val="2"/>
        </w:numPr>
        <w:bidi/>
        <w:spacing w:after="100" w:line="300"/>
        <w:jc w:val="right"/>
      </w:pPr>
      <w:r>
        <w:rPr>
          <w:rFonts w:ascii="Arial" w:cs="Arial" w:eastAsia="Arial" w:hAnsi="Arial"/>
          <w:sz w:val="24"/>
          <w:szCs w:val="24"/>
          <w:rtl/>
        </w:rPr>
        <w:t xml:space="preserve">مراجعة طلبات التحديث الجديدة.</w:t>
      </w:r>
    </w:p>
    <w:p>
      <w:pPr>
        <w:pStyle w:val="ListParagraph"/>
        <w:numPr>
          <w:ilvl w:val="0"/>
          <w:numId w:val="2"/>
        </w:numPr>
        <w:bidi/>
        <w:spacing w:after="100" w:line="300"/>
        <w:jc w:val="right"/>
      </w:pPr>
      <w:r>
        <w:rPr>
          <w:rFonts w:ascii="Arial" w:cs="Arial" w:eastAsia="Arial" w:hAnsi="Arial"/>
          <w:sz w:val="24"/>
          <w:szCs w:val="24"/>
          <w:rtl/>
        </w:rPr>
        <w:t xml:space="preserve">تنفيذ التحديثات المعتمدة وفق الإجراءات.</w:t>
      </w:r>
    </w:p>
    <w:p>
      <w:pPr>
        <w:pStyle w:val="ListParagraph"/>
        <w:numPr>
          <w:ilvl w:val="0"/>
          <w:numId w:val="2"/>
        </w:numPr>
        <w:bidi/>
        <w:spacing w:after="100" w:line="300"/>
        <w:jc w:val="right"/>
      </w:pPr>
      <w:r>
        <w:rPr>
          <w:rFonts w:ascii="Arial" w:cs="Arial" w:eastAsia="Arial" w:hAnsi="Arial"/>
          <w:sz w:val="24"/>
          <w:szCs w:val="24"/>
          <w:rtl/>
        </w:rPr>
        <w:t xml:space="preserve">التحقق من سلامة النسخ الاحتياطية.</w:t>
      </w:r>
    </w:p>
    <w:p>
      <w:pPr>
        <w:pStyle w:val="ListParagraph"/>
        <w:numPr>
          <w:ilvl w:val="0"/>
          <w:numId w:val="2"/>
        </w:numPr>
        <w:bidi/>
        <w:spacing w:after="100" w:line="300"/>
        <w:jc w:val="right"/>
      </w:pPr>
      <w:r>
        <w:rPr>
          <w:rFonts w:ascii="Arial" w:cs="Arial" w:eastAsia="Arial" w:hAnsi="Arial"/>
          <w:sz w:val="24"/>
          <w:szCs w:val="24"/>
          <w:rtl/>
        </w:rPr>
        <w:t xml:space="preserve">مراقبة أداء الأنظمة الإلكترونية.</w:t>
      </w:r>
    </w:p>
    <w:p>
      <w:pPr>
        <w:pStyle w:val="Heading3"/>
        <w:bidi/>
        <w:spacing w:after="120" w:before="200"/>
        <w:jc w:val="right"/>
      </w:pPr>
      <w:r>
        <w:rPr>
          <w:rFonts w:ascii="Arial" w:cs="Arial" w:eastAsia="Arial" w:hAnsi="Arial"/>
          <w:b/>
          <w:bCs/>
          <w:color w:val="1F4E79"/>
          <w:sz w:val="26"/>
          <w:szCs w:val="26"/>
          <w:rtl/>
        </w:rPr>
        <w:t xml:space="preserve">على المستوى الأسبوعي</w:t>
      </w:r>
    </w:p>
    <w:p>
      <w:pPr>
        <w:pStyle w:val="ListParagraph"/>
        <w:numPr>
          <w:ilvl w:val="0"/>
          <w:numId w:val="2"/>
        </w:numPr>
        <w:bidi/>
        <w:spacing w:after="100" w:line="300"/>
        <w:jc w:val="right"/>
      </w:pPr>
      <w:r>
        <w:rPr>
          <w:rFonts w:ascii="Arial" w:cs="Arial" w:eastAsia="Arial" w:hAnsi="Arial"/>
          <w:sz w:val="24"/>
          <w:szCs w:val="24"/>
          <w:rtl/>
        </w:rPr>
        <w:t xml:space="preserve">تسوية موجزة لإجمالي الأسهم المسجلة.</w:t>
      </w:r>
    </w:p>
    <w:p>
      <w:pPr>
        <w:pStyle w:val="ListParagraph"/>
        <w:numPr>
          <w:ilvl w:val="0"/>
          <w:numId w:val="2"/>
        </w:numPr>
        <w:bidi/>
        <w:spacing w:after="100" w:line="300"/>
        <w:jc w:val="right"/>
      </w:pPr>
      <w:r>
        <w:rPr>
          <w:rFonts w:ascii="Arial" w:cs="Arial" w:eastAsia="Arial" w:hAnsi="Arial"/>
          <w:sz w:val="24"/>
          <w:szCs w:val="24"/>
          <w:rtl/>
        </w:rPr>
        <w:t xml:space="preserve">مراجعة العمليات الاستثنائية.</w:t>
      </w:r>
    </w:p>
    <w:p>
      <w:pPr>
        <w:pStyle w:val="ListParagraph"/>
        <w:numPr>
          <w:ilvl w:val="0"/>
          <w:numId w:val="2"/>
        </w:numPr>
        <w:bidi/>
        <w:spacing w:after="100" w:line="300"/>
        <w:jc w:val="right"/>
      </w:pPr>
      <w:r>
        <w:rPr>
          <w:rFonts w:ascii="Arial" w:cs="Arial" w:eastAsia="Arial" w:hAnsi="Arial"/>
          <w:sz w:val="24"/>
          <w:szCs w:val="24"/>
          <w:rtl/>
        </w:rPr>
        <w:t xml:space="preserve">متابعة الطلبات المعلقة.</w:t>
      </w:r>
    </w:p>
    <w:p>
      <w:pPr>
        <w:pStyle w:val="ListParagraph"/>
        <w:numPr>
          <w:ilvl w:val="0"/>
          <w:numId w:val="2"/>
        </w:numPr>
        <w:bidi/>
        <w:spacing w:after="100" w:line="300"/>
        <w:jc w:val="right"/>
      </w:pPr>
      <w:r>
        <w:rPr>
          <w:rFonts w:ascii="Arial" w:cs="Arial" w:eastAsia="Arial" w:hAnsi="Arial"/>
          <w:sz w:val="24"/>
          <w:szCs w:val="24"/>
          <w:rtl/>
        </w:rPr>
        <w:t xml:space="preserve">مراجعة سجل الوصول والصلاحيات.</w:t>
      </w:r>
    </w:p>
    <w:p>
      <w:pPr>
        <w:pStyle w:val="Heading3"/>
        <w:bidi/>
        <w:spacing w:after="120" w:before="200"/>
        <w:jc w:val="right"/>
      </w:pPr>
      <w:r>
        <w:rPr>
          <w:rFonts w:ascii="Arial" w:cs="Arial" w:eastAsia="Arial" w:hAnsi="Arial"/>
          <w:b/>
          <w:bCs/>
          <w:color w:val="1F4E79"/>
          <w:sz w:val="26"/>
          <w:szCs w:val="26"/>
          <w:rtl/>
        </w:rPr>
        <w:t xml:space="preserve">على المستوى الشهري</w:t>
      </w:r>
    </w:p>
    <w:p>
      <w:pPr>
        <w:pStyle w:val="ListParagraph"/>
        <w:numPr>
          <w:ilvl w:val="0"/>
          <w:numId w:val="2"/>
        </w:numPr>
        <w:bidi/>
        <w:spacing w:after="100" w:line="300"/>
        <w:jc w:val="right"/>
      </w:pPr>
      <w:r>
        <w:rPr>
          <w:rFonts w:ascii="Arial" w:cs="Arial" w:eastAsia="Arial" w:hAnsi="Arial"/>
          <w:sz w:val="24"/>
          <w:szCs w:val="24"/>
          <w:rtl/>
        </w:rPr>
        <w:t xml:space="preserve">تسوية شاملة للسجل مع المصادر الأخرى.</w:t>
      </w:r>
    </w:p>
    <w:p>
      <w:pPr>
        <w:pStyle w:val="ListParagraph"/>
        <w:numPr>
          <w:ilvl w:val="0"/>
          <w:numId w:val="2"/>
        </w:numPr>
        <w:bidi/>
        <w:spacing w:after="100" w:line="300"/>
        <w:jc w:val="right"/>
      </w:pPr>
      <w:r>
        <w:rPr>
          <w:rFonts w:ascii="Arial" w:cs="Arial" w:eastAsia="Arial" w:hAnsi="Arial"/>
          <w:sz w:val="24"/>
          <w:szCs w:val="24"/>
          <w:rtl/>
        </w:rPr>
        <w:t xml:space="preserve">إعداد تقرير كبار المساهمين.</w:t>
      </w:r>
    </w:p>
    <w:p>
      <w:pPr>
        <w:pStyle w:val="ListParagraph"/>
        <w:numPr>
          <w:ilvl w:val="0"/>
          <w:numId w:val="2"/>
        </w:numPr>
        <w:bidi/>
        <w:spacing w:after="100" w:line="300"/>
        <w:jc w:val="right"/>
      </w:pPr>
      <w:r>
        <w:rPr>
          <w:rFonts w:ascii="Arial" w:cs="Arial" w:eastAsia="Arial" w:hAnsi="Arial"/>
          <w:sz w:val="24"/>
          <w:szCs w:val="24"/>
          <w:rtl/>
        </w:rPr>
        <w:t xml:space="preserve">مراجعة معدلات الأخطاء وأسبابها.</w:t>
      </w:r>
    </w:p>
    <w:p>
      <w:pPr>
        <w:pStyle w:val="ListParagraph"/>
        <w:numPr>
          <w:ilvl w:val="0"/>
          <w:numId w:val="2"/>
        </w:numPr>
        <w:bidi/>
        <w:spacing w:after="100" w:line="300"/>
        <w:jc w:val="right"/>
      </w:pPr>
      <w:r>
        <w:rPr>
          <w:rFonts w:ascii="Arial" w:cs="Arial" w:eastAsia="Arial" w:hAnsi="Arial"/>
          <w:sz w:val="24"/>
          <w:szCs w:val="24"/>
          <w:rtl/>
        </w:rPr>
        <w:t xml:space="preserve">إعداد التقرير الشهري لمؤشرات الأداء.</w:t>
      </w:r>
    </w:p>
    <w:p>
      <w:pPr>
        <w:pStyle w:val="Heading3"/>
        <w:bidi/>
        <w:spacing w:after="120" w:before="200"/>
        <w:jc w:val="right"/>
      </w:pPr>
      <w:r>
        <w:rPr>
          <w:rFonts w:ascii="Arial" w:cs="Arial" w:eastAsia="Arial" w:hAnsi="Arial"/>
          <w:b/>
          <w:bCs/>
          <w:color w:val="1F4E79"/>
          <w:sz w:val="26"/>
          <w:szCs w:val="26"/>
          <w:rtl/>
        </w:rPr>
        <w:t xml:space="preserve">على المستوى الفصلي</w:t>
      </w:r>
    </w:p>
    <w:p>
      <w:pPr>
        <w:pStyle w:val="ListParagraph"/>
        <w:numPr>
          <w:ilvl w:val="0"/>
          <w:numId w:val="2"/>
        </w:numPr>
        <w:bidi/>
        <w:spacing w:after="100" w:line="300"/>
        <w:jc w:val="right"/>
      </w:pPr>
      <w:r>
        <w:rPr>
          <w:rFonts w:ascii="Arial" w:cs="Arial" w:eastAsia="Arial" w:hAnsi="Arial"/>
          <w:sz w:val="24"/>
          <w:szCs w:val="24"/>
          <w:rtl/>
        </w:rPr>
        <w:t xml:space="preserve">مراجعة شاملة لجميع البيانات.</w:t>
      </w:r>
    </w:p>
    <w:p>
      <w:pPr>
        <w:pStyle w:val="ListParagraph"/>
        <w:numPr>
          <w:ilvl w:val="0"/>
          <w:numId w:val="2"/>
        </w:numPr>
        <w:bidi/>
        <w:spacing w:after="100" w:line="300"/>
        <w:jc w:val="right"/>
      </w:pPr>
      <w:r>
        <w:rPr>
          <w:rFonts w:ascii="Arial" w:cs="Arial" w:eastAsia="Arial" w:hAnsi="Arial"/>
          <w:sz w:val="24"/>
          <w:szCs w:val="24"/>
          <w:rtl/>
        </w:rPr>
        <w:t xml:space="preserve">تدقيق الإجراءات والسياسات.</w:t>
      </w:r>
    </w:p>
    <w:p>
      <w:pPr>
        <w:pStyle w:val="ListParagraph"/>
        <w:numPr>
          <w:ilvl w:val="0"/>
          <w:numId w:val="2"/>
        </w:numPr>
        <w:bidi/>
        <w:spacing w:after="100" w:line="300"/>
        <w:jc w:val="right"/>
      </w:pPr>
      <w:r>
        <w:rPr>
          <w:rFonts w:ascii="Arial" w:cs="Arial" w:eastAsia="Arial" w:hAnsi="Arial"/>
          <w:sz w:val="24"/>
          <w:szCs w:val="24"/>
          <w:rtl/>
        </w:rPr>
        <w:t xml:space="preserve">اختبار خطط استمرارية الأعمال.</w:t>
      </w:r>
    </w:p>
    <w:p>
      <w:pPr>
        <w:pStyle w:val="ListParagraph"/>
        <w:numPr>
          <w:ilvl w:val="0"/>
          <w:numId w:val="2"/>
        </w:numPr>
        <w:bidi/>
        <w:spacing w:after="100" w:line="300"/>
        <w:jc w:val="right"/>
      </w:pPr>
      <w:r>
        <w:rPr>
          <w:rFonts w:ascii="Arial" w:cs="Arial" w:eastAsia="Arial" w:hAnsi="Arial"/>
          <w:sz w:val="24"/>
          <w:szCs w:val="24"/>
          <w:rtl/>
        </w:rPr>
        <w:t xml:space="preserve">مراجعة الصلاحيات والأدوار.</w:t>
      </w:r>
    </w:p>
    <w:p>
      <w:pPr>
        <w:pStyle w:val="Heading3"/>
        <w:bidi/>
        <w:spacing w:after="120" w:before="200"/>
        <w:jc w:val="right"/>
      </w:pPr>
      <w:r>
        <w:rPr>
          <w:rFonts w:ascii="Arial" w:cs="Arial" w:eastAsia="Arial" w:hAnsi="Arial"/>
          <w:b/>
          <w:bCs/>
          <w:color w:val="1F4E79"/>
          <w:sz w:val="26"/>
          <w:szCs w:val="26"/>
          <w:rtl/>
        </w:rPr>
        <w:t xml:space="preserve">على المستوى السنوي</w:t>
      </w:r>
    </w:p>
    <w:p>
      <w:pPr>
        <w:pStyle w:val="ListParagraph"/>
        <w:numPr>
          <w:ilvl w:val="0"/>
          <w:numId w:val="2"/>
        </w:numPr>
        <w:bidi/>
        <w:spacing w:after="100" w:line="300"/>
        <w:jc w:val="right"/>
      </w:pPr>
      <w:r>
        <w:rPr>
          <w:rFonts w:ascii="Arial" w:cs="Arial" w:eastAsia="Arial" w:hAnsi="Arial"/>
          <w:sz w:val="24"/>
          <w:szCs w:val="24"/>
          <w:rtl/>
        </w:rPr>
        <w:t xml:space="preserve">التدقيق الخارجي الشامل.</w:t>
      </w:r>
    </w:p>
    <w:p>
      <w:pPr>
        <w:pStyle w:val="ListParagraph"/>
        <w:numPr>
          <w:ilvl w:val="0"/>
          <w:numId w:val="2"/>
        </w:numPr>
        <w:bidi/>
        <w:spacing w:after="100" w:line="300"/>
        <w:jc w:val="right"/>
      </w:pPr>
      <w:r>
        <w:rPr>
          <w:rFonts w:ascii="Arial" w:cs="Arial" w:eastAsia="Arial" w:hAnsi="Arial"/>
          <w:sz w:val="24"/>
          <w:szCs w:val="24"/>
          <w:rtl/>
        </w:rPr>
        <w:t xml:space="preserve">مراجعة وتحديث السياسات.</w:t>
      </w:r>
    </w:p>
    <w:p>
      <w:pPr>
        <w:pStyle w:val="ListParagraph"/>
        <w:numPr>
          <w:ilvl w:val="0"/>
          <w:numId w:val="2"/>
        </w:numPr>
        <w:bidi/>
        <w:spacing w:after="100" w:line="300"/>
        <w:jc w:val="right"/>
      </w:pPr>
      <w:r>
        <w:rPr>
          <w:rFonts w:ascii="Arial" w:cs="Arial" w:eastAsia="Arial" w:hAnsi="Arial"/>
          <w:sz w:val="24"/>
          <w:szCs w:val="24"/>
          <w:rtl/>
        </w:rPr>
        <w:t xml:space="preserve">التدريب السنوي للفريق.</w:t>
      </w:r>
    </w:p>
    <w:p>
      <w:pPr>
        <w:pStyle w:val="ListParagraph"/>
        <w:numPr>
          <w:ilvl w:val="0"/>
          <w:numId w:val="2"/>
        </w:numPr>
        <w:bidi/>
        <w:spacing w:after="100" w:line="300"/>
        <w:jc w:val="right"/>
      </w:pPr>
      <w:r>
        <w:rPr>
          <w:rFonts w:ascii="Arial" w:cs="Arial" w:eastAsia="Arial" w:hAnsi="Arial"/>
          <w:sz w:val="24"/>
          <w:szCs w:val="24"/>
          <w:rtl/>
        </w:rPr>
        <w:t xml:space="preserve">تقييم الأنظمة التقنية واحتياجات التطوير.</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الخلاصة والنقاط الرئيسية</w:t>
      </w:r>
    </w:p>
    <w:p>
      <w:pPr>
        <w:bidi/>
        <w:spacing w:after="140" w:line="320"/>
        <w:jc w:val="both"/>
      </w:pPr>
      <w:r>
        <w:rPr>
          <w:rFonts w:ascii="Arial" w:cs="Arial" w:eastAsia="Arial" w:hAnsi="Arial"/>
          <w:sz w:val="24"/>
          <w:szCs w:val="24"/>
          <w:rtl/>
        </w:rPr>
        <w:t xml:space="preserve">التحديث الفعّال والصيانة المنتظمة لسجل المساهمين ليسا مجرد إجراءات إدارية، بل ركيزتان جوهريتان للحوكمة الرشيدة وحماية حقوق المساهمين والامتثال التنظيمي. والشركات التي تستثمر في تطوير أنظمة وإجراءات قوية لإدارة سجلها تجني فوائد مستدامة على مستوى الثقة والسمعة والكفاءة التشغيلية.</w:t>
      </w:r>
    </w:p>
    <w:p>
      <w:pPr>
        <w:bidi/>
        <w:spacing w:after="140" w:line="320"/>
        <w:jc w:val="both"/>
      </w:pPr>
      <w:r>
        <w:rPr>
          <w:rFonts w:ascii="Arial" w:cs="Arial" w:eastAsia="Arial" w:hAnsi="Arial"/>
          <w:sz w:val="24"/>
          <w:szCs w:val="24"/>
          <w:rtl/>
        </w:rPr>
        <w:t xml:space="preserve">التحول الرقمي الذي تشهده المملكة العربية السعودية يفتح آفاقاً واسعة لرفع كفاءة إدارة السجل، من خلال الأتمتة والتكامل والتسوية الآنية. غير أن التقنية وحدها لا تكفي، بل يجب أن تكون مدعومة بسياسات واضحة وإجراءات صارمة وكوادر مؤهلة.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النقاط الجوهرية للحفظ</w:t>
            </w:r>
          </w:p>
          <w:p>
            <w:pPr>
              <w:bidi/>
              <w:spacing w:line="300"/>
              <w:jc w:val="both"/>
            </w:pPr>
            <w:r>
              <w:rPr>
                <w:rFonts w:ascii="Arial" w:cs="Arial" w:eastAsia="Arial" w:hAnsi="Arial"/>
                <w:sz w:val="24"/>
                <w:szCs w:val="24"/>
                <w:rtl/>
              </w:rPr>
              <w:t xml:space="preserve">1) التحديث الدوري ضرورة قانونية وتشغيلية وليس خياراً. 2) التحديثات تنقسم إلى فورية (مع كل واقعة) ودورية (وفق جداول زمنية). 3) مبدأ الأربع عيون (Four-Eyes Principle) أساس لمنع الأخطاء والاحتيال. 4) التسوية الدورية مع المصادر المختلفة هي أهم آليات الصيانة الوقائية. 5) مؤشرات الأداء (KPIs) ضرورية لقياس كفاءة إدارة السجل وتحسينها المستمر. 6) الأتمتة والتكامل التقني هما المفتاح لإدارة سجل بمعايير عالمية.</w:t>
            </w:r>
          </w:p>
        </w:tc>
      </w:tr>
    </w:tbl>
    <w:p>
      <w:pPr>
        <w:spacing w:after="80"/>
      </w:pPr>
      <w:r>
        <w:rPr>
          <w:sz w:val="16"/>
          <w:szCs w:val="16"/>
        </w:rPr>
        <w:t xml:space="preserve"/>
      </w:r>
    </w:p>
    <w:p>
      <w:pPr>
        <w:spacing w:after="80"/>
      </w:pPr>
      <w:r>
        <w:rPr>
          <w:sz w:val="16"/>
          <w:szCs w:val="16"/>
        </w:rPr>
        <w:t xml:space="preserve"/>
      </w:r>
    </w:p>
    <w:p>
      <w:pPr>
        <w:pStyle w:val="Heading2"/>
        <w:bidi/>
        <w:spacing w:after="160" w:before="280"/>
        <w:jc w:val="right"/>
      </w:pPr>
      <w:r>
        <w:rPr>
          <w:rFonts w:ascii="Arial" w:cs="Arial" w:eastAsia="Arial" w:hAnsi="Arial"/>
          <w:b/>
          <w:bCs/>
          <w:color w:val="2E75B6"/>
          <w:sz w:val="30"/>
          <w:szCs w:val="30"/>
          <w:rtl/>
        </w:rPr>
        <w:t xml:space="preserve">المراجع والمصادر</w:t>
      </w:r>
    </w:p>
    <w:p>
      <w:pPr>
        <w:pStyle w:val="ListParagraph"/>
        <w:numPr>
          <w:ilvl w:val="0"/>
          <w:numId w:val="2"/>
        </w:numPr>
        <w:bidi/>
        <w:spacing w:after="100" w:line="300"/>
        <w:jc w:val="right"/>
      </w:pPr>
      <w:r>
        <w:rPr>
          <w:rFonts w:ascii="Arial" w:cs="Arial" w:eastAsia="Arial" w:hAnsi="Arial"/>
          <w:sz w:val="24"/>
          <w:szCs w:val="24"/>
          <w:rtl/>
        </w:rPr>
        <w:t xml:space="preserve">نظام الشركات السعودي ولائحته التنفيذية.</w:t>
      </w:r>
    </w:p>
    <w:p>
      <w:pPr>
        <w:pStyle w:val="ListParagraph"/>
        <w:numPr>
          <w:ilvl w:val="0"/>
          <w:numId w:val="2"/>
        </w:numPr>
        <w:bidi/>
        <w:spacing w:after="100" w:line="300"/>
        <w:jc w:val="right"/>
      </w:pPr>
      <w:r>
        <w:rPr>
          <w:rFonts w:ascii="Arial" w:cs="Arial" w:eastAsia="Arial" w:hAnsi="Arial"/>
          <w:sz w:val="24"/>
          <w:szCs w:val="24"/>
          <w:rtl/>
        </w:rPr>
        <w:t xml:space="preserve">لائحة حوكمة الشركات، هيئة السوق المالية السعودية.</w:t>
      </w:r>
    </w:p>
    <w:p>
      <w:pPr>
        <w:pStyle w:val="ListParagraph"/>
        <w:numPr>
          <w:ilvl w:val="0"/>
          <w:numId w:val="2"/>
        </w:numPr>
        <w:bidi/>
        <w:spacing w:after="100" w:line="300"/>
        <w:jc w:val="right"/>
      </w:pPr>
      <w:r>
        <w:rPr>
          <w:rFonts w:ascii="Arial" w:cs="Arial" w:eastAsia="Arial" w:hAnsi="Arial"/>
          <w:sz w:val="24"/>
          <w:szCs w:val="24"/>
          <w:rtl/>
        </w:rPr>
        <w:t xml:space="preserve">قواعد الإيداع والتسجيل، مركز إيداع الأوراق المالية.</w:t>
      </w:r>
    </w:p>
    <w:p>
      <w:pPr>
        <w:pStyle w:val="ListParagraph"/>
        <w:numPr>
          <w:ilvl w:val="0"/>
          <w:numId w:val="2"/>
        </w:numPr>
        <w:bidi/>
        <w:spacing w:after="100" w:line="300"/>
        <w:jc w:val="right"/>
      </w:pPr>
      <w:r>
        <w:rPr>
          <w:rFonts w:ascii="Arial" w:cs="Arial" w:eastAsia="Arial" w:hAnsi="Arial"/>
          <w:sz w:val="24"/>
          <w:szCs w:val="24"/>
          <w:rtl/>
        </w:rPr>
        <w:t xml:space="preserve">نظام حماية البيانات الشخصية في المملكة العربية السعودية.</w:t>
      </w:r>
    </w:p>
    <w:p>
      <w:pPr>
        <w:pStyle w:val="ListParagraph"/>
        <w:numPr>
          <w:ilvl w:val="0"/>
          <w:numId w:val="2"/>
        </w:numPr>
        <w:bidi/>
        <w:spacing w:after="100" w:line="300"/>
        <w:jc w:val="right"/>
      </w:pPr>
      <w:r>
        <w:rPr>
          <w:rFonts w:ascii="Arial" w:cs="Arial" w:eastAsia="Arial" w:hAnsi="Arial"/>
          <w:sz w:val="24"/>
          <w:szCs w:val="24"/>
          <w:rtl/>
        </w:rPr>
        <w:t xml:space="preserve">المعايير الدولية لإدارة سجلات المستثمرين (ISSA Standards).</w:t>
      </w:r>
    </w:p>
    <w:p>
      <w:pPr>
        <w:pStyle w:val="ListParagraph"/>
        <w:numPr>
          <w:ilvl w:val="0"/>
          <w:numId w:val="2"/>
        </w:numPr>
        <w:bidi/>
        <w:spacing w:after="100" w:line="300"/>
        <w:jc w:val="right"/>
      </w:pPr>
      <w:r>
        <w:rPr>
          <w:rFonts w:ascii="Arial" w:cs="Arial" w:eastAsia="Arial" w:hAnsi="Arial"/>
          <w:sz w:val="24"/>
          <w:szCs w:val="24"/>
          <w:rtl/>
        </w:rPr>
        <w:t xml:space="preserve">معايير COSO للرقابة الداخلية.</w:t>
      </w:r>
    </w:p>
    <w:p>
      <w:pPr>
        <w:pStyle w:val="ListParagraph"/>
        <w:numPr>
          <w:ilvl w:val="0"/>
          <w:numId w:val="2"/>
        </w:numPr>
        <w:bidi/>
        <w:spacing w:after="100" w:line="300"/>
        <w:jc w:val="right"/>
      </w:pPr>
      <w:r>
        <w:rPr>
          <w:rFonts w:ascii="Arial" w:cs="Arial" w:eastAsia="Arial" w:hAnsi="Arial"/>
          <w:sz w:val="24"/>
          <w:szCs w:val="24"/>
          <w:rtl/>
        </w:rPr>
        <w:t xml:space="preserve">الممارسات الرائدة في إدارة سجلات المساهمين (Securities Industry Best Practices).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i/>
        <w:iCs/>
        <w:color w:val="808080"/>
        <w:sz w:val="18"/>
        <w:szCs w:val="18"/>
        <w:rtl/>
      </w:rPr>
      <w:t xml:space="preserve">تحديث وصيانة سجل المساهمين | حوكمة الشركات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تحديث وصيانة سجل المساهمين</dc:title>
  <dc:creator>Corporate Governance Knowledge Base</dc:creator>
  <cp:lastModifiedBy>Un-named</cp:lastModifiedBy>
  <cp:revision>1</cp:revision>
  <dcterms:created xsi:type="dcterms:W3CDTF">2026-05-15T23:48:35.570Z</dcterms:created>
  <dcterms:modified xsi:type="dcterms:W3CDTF">2026-05-15T23:48:35.570Z</dcterms:modified>
</cp:coreProperties>
</file>

<file path=docProps/custom.xml><?xml version="1.0" encoding="utf-8"?>
<Properties xmlns="http://schemas.openxmlformats.org/officeDocument/2006/custom-properties" xmlns:vt="http://schemas.openxmlformats.org/officeDocument/2006/docPropsVTypes"/>
</file>