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التعامل مع تغييرات الملكية</w:t>
      </w:r>
    </w:p>
    <w:p>
      <w:pPr>
        <w:bidi/>
        <w:spacing w:after="400"/>
        <w:jc w:val="center"/>
      </w:pPr>
      <w:r>
        <w:rPr>
          <w:rFonts w:ascii="Arial" w:cs="Arial" w:eastAsia="Arial" w:hAnsi="Arial"/>
          <w:i/>
          <w:iCs/>
          <w:color w:val="2E75B6"/>
          <w:sz w:val="26"/>
          <w:szCs w:val="26"/>
          <w:rtl/>
        </w:rPr>
        <w:t xml:space="preserve">التحويلات، الإرث، الهبات، الرهن، والحجز - دليل تطبيقي</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تُعدّ تغييرات الملكية أكثر العمليات حساسيةً وتعقيداً في إدارة سجل المساهمين، إذ تنتقل بها الحقوق من شخص إلى آخر، وتترتب عليها آثار قانونية ومالية بعيدة المدى. وأي خطأ أو تقصير في إجراءاتها قد يؤدي إلى نزاعات قضائية، أو ضياع لحقوق، أو مسؤولية قانونية على الشركة.</w:t>
      </w:r>
    </w:p>
    <w:p>
      <w:pPr>
        <w:bidi/>
        <w:spacing w:after="140" w:line="320"/>
        <w:jc w:val="both"/>
      </w:pPr>
      <w:r>
        <w:rPr>
          <w:rFonts w:ascii="Arial" w:cs="Arial" w:eastAsia="Arial" w:hAnsi="Arial"/>
          <w:sz w:val="24"/>
          <w:szCs w:val="24"/>
          <w:rtl/>
        </w:rPr>
        <w:t xml:space="preserve">التعامل مع هذه التغييرات يتطلب فهماً عميقاً للأنواع المختلفة من نقل الملكية، الإجراءات النظامية المعتمدة لكل نوع، الوثائق المطلوبة، والمخاطر المرتبطة بكل عملية. كما يستوجب توازناً دقيقاً بين تسهيل الإجراءات للمساهمين، وضمان حماية حقوق جميع الأطراف، والامتثال للمتطلبات التنظيمية.</w:t>
      </w:r>
    </w:p>
    <w:p>
      <w:pPr>
        <w:bidi/>
        <w:spacing w:after="140" w:line="320"/>
        <w:jc w:val="both"/>
      </w:pPr>
      <w:r>
        <w:rPr>
          <w:rFonts w:ascii="Arial" w:cs="Arial" w:eastAsia="Arial" w:hAnsi="Arial"/>
          <w:sz w:val="24"/>
          <w:szCs w:val="24"/>
          <w:rtl/>
        </w:rPr>
        <w:t xml:space="preserve">في هذا المقال التطبيقي، نستعرض بالتفصيل كل نوع من أنواع تغييرات الملكية المعتمدة في النظام السعودي، مع تقديم خطوات عملية ووثائق محددة لكل حالة، وبيان المخاطر الشائعة وكيفية التعامل معها.</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تصنيف تغييرات الملكية</w:t>
      </w:r>
    </w:p>
    <w:p>
      <w:pPr>
        <w:bidi/>
        <w:spacing w:after="140" w:line="320"/>
        <w:jc w:val="both"/>
      </w:pPr>
      <w:r>
        <w:rPr>
          <w:rFonts w:ascii="Arial" w:cs="Arial" w:eastAsia="Arial" w:hAnsi="Arial"/>
          <w:sz w:val="24"/>
          <w:szCs w:val="24"/>
          <w:rtl/>
        </w:rPr>
        <w:t xml:space="preserve">يمكن تصنيف تغييرات الملكية في الشركات المساهمة وفق عدة معايير:</w:t>
      </w:r>
    </w:p>
    <w:p>
      <w:pPr>
        <w:pStyle w:val="Heading2"/>
        <w:bidi/>
        <w:spacing w:after="160" w:before="280"/>
        <w:jc w:val="right"/>
      </w:pPr>
      <w:r>
        <w:rPr>
          <w:rFonts w:ascii="Arial" w:cs="Arial" w:eastAsia="Arial" w:hAnsi="Arial"/>
          <w:b/>
          <w:bCs/>
          <w:color w:val="2E75B6"/>
          <w:sz w:val="30"/>
          <w:szCs w:val="30"/>
          <w:rtl/>
        </w:rPr>
        <w:t xml:space="preserve">التصنيف وفق المسبّب</w:t>
      </w:r>
    </w:p>
    <w:p>
      <w:pPr>
        <w:pStyle w:val="Heading3"/>
        <w:bidi/>
        <w:spacing w:after="120" w:before="200"/>
        <w:jc w:val="right"/>
      </w:pPr>
      <w:r>
        <w:rPr>
          <w:rFonts w:ascii="Arial" w:cs="Arial" w:eastAsia="Arial" w:hAnsi="Arial"/>
          <w:b/>
          <w:bCs/>
          <w:color w:val="1F4E79"/>
          <w:sz w:val="26"/>
          <w:szCs w:val="26"/>
          <w:rtl/>
        </w:rPr>
        <w:t xml:space="preserve">1. التغييرات الإرادية</w:t>
      </w:r>
    </w:p>
    <w:p>
      <w:pPr>
        <w:bidi/>
        <w:spacing w:after="140" w:line="320"/>
        <w:jc w:val="both"/>
      </w:pPr>
      <w:r>
        <w:rPr>
          <w:rFonts w:ascii="Arial" w:cs="Arial" w:eastAsia="Arial" w:hAnsi="Arial"/>
          <w:sz w:val="24"/>
          <w:szCs w:val="24"/>
          <w:rtl/>
        </w:rPr>
        <w:t xml:space="preserve">وهي التغييرات التي تتم بإرادة المالك وموافقته الكاملة، وتشمل:</w:t>
      </w:r>
    </w:p>
    <w:p>
      <w:pPr>
        <w:pStyle w:val="ListParagraph"/>
        <w:numPr>
          <w:ilvl w:val="0"/>
          <w:numId w:val="2"/>
        </w:numPr>
        <w:bidi/>
        <w:spacing w:after="100" w:line="300"/>
        <w:jc w:val="right"/>
      </w:pPr>
      <w:r>
        <w:rPr>
          <w:rFonts w:ascii="Arial" w:cs="Arial" w:eastAsia="Arial" w:hAnsi="Arial"/>
          <w:sz w:val="24"/>
          <w:szCs w:val="24"/>
          <w:rtl/>
        </w:rPr>
        <w:t xml:space="preserve">البيع للغير.</w:t>
      </w:r>
    </w:p>
    <w:p>
      <w:pPr>
        <w:pStyle w:val="ListParagraph"/>
        <w:numPr>
          <w:ilvl w:val="0"/>
          <w:numId w:val="2"/>
        </w:numPr>
        <w:bidi/>
        <w:spacing w:after="100" w:line="300"/>
        <w:jc w:val="right"/>
      </w:pPr>
      <w:r>
        <w:rPr>
          <w:rFonts w:ascii="Arial" w:cs="Arial" w:eastAsia="Arial" w:hAnsi="Arial"/>
          <w:sz w:val="24"/>
          <w:szCs w:val="24"/>
          <w:rtl/>
        </w:rPr>
        <w:t xml:space="preserve">الهبة والتبرع.</w:t>
      </w:r>
    </w:p>
    <w:p>
      <w:pPr>
        <w:pStyle w:val="ListParagraph"/>
        <w:numPr>
          <w:ilvl w:val="0"/>
          <w:numId w:val="2"/>
        </w:numPr>
        <w:bidi/>
        <w:spacing w:after="100" w:line="300"/>
        <w:jc w:val="right"/>
      </w:pPr>
      <w:r>
        <w:rPr>
          <w:rFonts w:ascii="Arial" w:cs="Arial" w:eastAsia="Arial" w:hAnsi="Arial"/>
          <w:sz w:val="24"/>
          <w:szCs w:val="24"/>
          <w:rtl/>
        </w:rPr>
        <w:t xml:space="preserve">التنازل.</w:t>
      </w:r>
    </w:p>
    <w:p>
      <w:pPr>
        <w:pStyle w:val="ListParagraph"/>
        <w:numPr>
          <w:ilvl w:val="0"/>
          <w:numId w:val="2"/>
        </w:numPr>
        <w:bidi/>
        <w:spacing w:after="100" w:line="300"/>
        <w:jc w:val="right"/>
      </w:pPr>
      <w:r>
        <w:rPr>
          <w:rFonts w:ascii="Arial" w:cs="Arial" w:eastAsia="Arial" w:hAnsi="Arial"/>
          <w:sz w:val="24"/>
          <w:szCs w:val="24"/>
          <w:rtl/>
        </w:rPr>
        <w:t xml:space="preserve">التحويل بين فئات الأسهم.</w:t>
      </w:r>
    </w:p>
    <w:p>
      <w:pPr>
        <w:pStyle w:val="Heading3"/>
        <w:bidi/>
        <w:spacing w:after="120" w:before="200"/>
        <w:jc w:val="right"/>
      </w:pPr>
      <w:r>
        <w:rPr>
          <w:rFonts w:ascii="Arial" w:cs="Arial" w:eastAsia="Arial" w:hAnsi="Arial"/>
          <w:b/>
          <w:bCs/>
          <w:color w:val="1F4E79"/>
          <w:sz w:val="26"/>
          <w:szCs w:val="26"/>
          <w:rtl/>
        </w:rPr>
        <w:t xml:space="preserve">2. التغييرات بحكم القانون</w:t>
      </w:r>
    </w:p>
    <w:p>
      <w:pPr>
        <w:bidi/>
        <w:spacing w:after="140" w:line="320"/>
        <w:jc w:val="both"/>
      </w:pPr>
      <w:r>
        <w:rPr>
          <w:rFonts w:ascii="Arial" w:cs="Arial" w:eastAsia="Arial" w:hAnsi="Arial"/>
          <w:sz w:val="24"/>
          <w:szCs w:val="24"/>
          <w:rtl/>
        </w:rPr>
        <w:t xml:space="preserve">وهي التغييرات التي تحدث تلقائياً بحكم القانون، دون الحاجة إلى إرادة المالك:</w:t>
      </w:r>
    </w:p>
    <w:p>
      <w:pPr>
        <w:pStyle w:val="ListParagraph"/>
        <w:numPr>
          <w:ilvl w:val="0"/>
          <w:numId w:val="2"/>
        </w:numPr>
        <w:bidi/>
        <w:spacing w:after="100" w:line="300"/>
        <w:jc w:val="right"/>
      </w:pPr>
      <w:r>
        <w:rPr>
          <w:rFonts w:ascii="Arial" w:cs="Arial" w:eastAsia="Arial" w:hAnsi="Arial"/>
          <w:sz w:val="24"/>
          <w:szCs w:val="24"/>
          <w:rtl/>
        </w:rPr>
        <w:t xml:space="preserve">الإرث بسبب الوفاة.</w:t>
      </w:r>
    </w:p>
    <w:p>
      <w:pPr>
        <w:pStyle w:val="ListParagraph"/>
        <w:numPr>
          <w:ilvl w:val="0"/>
          <w:numId w:val="2"/>
        </w:numPr>
        <w:bidi/>
        <w:spacing w:after="100" w:line="300"/>
        <w:jc w:val="right"/>
      </w:pPr>
      <w:r>
        <w:rPr>
          <w:rFonts w:ascii="Arial" w:cs="Arial" w:eastAsia="Arial" w:hAnsi="Arial"/>
          <w:sz w:val="24"/>
          <w:szCs w:val="24"/>
          <w:rtl/>
        </w:rPr>
        <w:t xml:space="preserve">الاندماج والاستحواذ.</w:t>
      </w:r>
    </w:p>
    <w:p>
      <w:pPr>
        <w:pStyle w:val="ListParagraph"/>
        <w:numPr>
          <w:ilvl w:val="0"/>
          <w:numId w:val="2"/>
        </w:numPr>
        <w:bidi/>
        <w:spacing w:after="100" w:line="300"/>
        <w:jc w:val="right"/>
      </w:pPr>
      <w:r>
        <w:rPr>
          <w:rFonts w:ascii="Arial" w:cs="Arial" w:eastAsia="Arial" w:hAnsi="Arial"/>
          <w:sz w:val="24"/>
          <w:szCs w:val="24"/>
          <w:rtl/>
        </w:rPr>
        <w:t xml:space="preserve">تحويل الأسهم وفق النظام الأساس.</w:t>
      </w:r>
    </w:p>
    <w:p>
      <w:pPr>
        <w:pStyle w:val="Heading3"/>
        <w:bidi/>
        <w:spacing w:after="120" w:before="200"/>
        <w:jc w:val="right"/>
      </w:pPr>
      <w:r>
        <w:rPr>
          <w:rFonts w:ascii="Arial" w:cs="Arial" w:eastAsia="Arial" w:hAnsi="Arial"/>
          <w:b/>
          <w:bCs/>
          <w:color w:val="1F4E79"/>
          <w:sz w:val="26"/>
          <w:szCs w:val="26"/>
          <w:rtl/>
        </w:rPr>
        <w:t xml:space="preserve">3. التغييرات القسرية</w:t>
      </w:r>
    </w:p>
    <w:p>
      <w:pPr>
        <w:bidi/>
        <w:spacing w:after="140" w:line="320"/>
        <w:jc w:val="both"/>
      </w:pPr>
      <w:r>
        <w:rPr>
          <w:rFonts w:ascii="Arial" w:cs="Arial" w:eastAsia="Arial" w:hAnsi="Arial"/>
          <w:sz w:val="24"/>
          <w:szCs w:val="24"/>
          <w:rtl/>
        </w:rPr>
        <w:t xml:space="preserve">وهي التغييرات التي تتم رغماً عن المالك بحكم قضائي أو إجراء تنفيذي:</w:t>
      </w:r>
    </w:p>
    <w:p>
      <w:pPr>
        <w:pStyle w:val="ListParagraph"/>
        <w:numPr>
          <w:ilvl w:val="0"/>
          <w:numId w:val="2"/>
        </w:numPr>
        <w:bidi/>
        <w:spacing w:after="100" w:line="300"/>
        <w:jc w:val="right"/>
      </w:pPr>
      <w:r>
        <w:rPr>
          <w:rFonts w:ascii="Arial" w:cs="Arial" w:eastAsia="Arial" w:hAnsi="Arial"/>
          <w:sz w:val="24"/>
          <w:szCs w:val="24"/>
          <w:rtl/>
        </w:rPr>
        <w:t xml:space="preserve">التنفيذ القضائي وبيع الأسهم في المزاد.</w:t>
      </w:r>
    </w:p>
    <w:p>
      <w:pPr>
        <w:pStyle w:val="ListParagraph"/>
        <w:numPr>
          <w:ilvl w:val="0"/>
          <w:numId w:val="2"/>
        </w:numPr>
        <w:bidi/>
        <w:spacing w:after="100" w:line="300"/>
        <w:jc w:val="right"/>
      </w:pPr>
      <w:r>
        <w:rPr>
          <w:rFonts w:ascii="Arial" w:cs="Arial" w:eastAsia="Arial" w:hAnsi="Arial"/>
          <w:sz w:val="24"/>
          <w:szCs w:val="24"/>
          <w:rtl/>
        </w:rPr>
        <w:t xml:space="preserve">المصادرة لمصلحة الدائنين.</w:t>
      </w:r>
    </w:p>
    <w:p>
      <w:pPr>
        <w:pStyle w:val="ListParagraph"/>
        <w:numPr>
          <w:ilvl w:val="0"/>
          <w:numId w:val="2"/>
        </w:numPr>
        <w:bidi/>
        <w:spacing w:after="100" w:line="300"/>
        <w:jc w:val="right"/>
      </w:pPr>
      <w:r>
        <w:rPr>
          <w:rFonts w:ascii="Arial" w:cs="Arial" w:eastAsia="Arial" w:hAnsi="Arial"/>
          <w:sz w:val="24"/>
          <w:szCs w:val="24"/>
          <w:rtl/>
        </w:rPr>
        <w:t xml:space="preserve">بيع الأسهم لعدم سداد قيمتها.</w:t>
      </w:r>
    </w:p>
    <w:p>
      <w:pPr>
        <w:pStyle w:val="Heading2"/>
        <w:bidi/>
        <w:spacing w:after="160" w:before="280"/>
        <w:jc w:val="right"/>
      </w:pPr>
      <w:r>
        <w:rPr>
          <w:rFonts w:ascii="Arial" w:cs="Arial" w:eastAsia="Arial" w:hAnsi="Arial"/>
          <w:b/>
          <w:bCs/>
          <w:color w:val="2E75B6"/>
          <w:sz w:val="30"/>
          <w:szCs w:val="30"/>
          <w:rtl/>
        </w:rPr>
        <w:t xml:space="preserve">التصنيف وفق طبيعة النقل</w:t>
      </w:r>
    </w:p>
    <w:p>
      <w:pPr>
        <w:pStyle w:val="Heading3"/>
        <w:bidi/>
        <w:spacing w:after="120" w:before="200"/>
        <w:jc w:val="right"/>
      </w:pPr>
      <w:r>
        <w:rPr>
          <w:rFonts w:ascii="Arial" w:cs="Arial" w:eastAsia="Arial" w:hAnsi="Arial"/>
          <w:b/>
          <w:bCs/>
          <w:color w:val="1F4E79"/>
          <w:sz w:val="26"/>
          <w:szCs w:val="26"/>
          <w:rtl/>
        </w:rPr>
        <w:t xml:space="preserve">1. النقل الكامل</w:t>
      </w:r>
    </w:p>
    <w:p>
      <w:pPr>
        <w:bidi/>
        <w:spacing w:after="140" w:line="320"/>
        <w:jc w:val="both"/>
      </w:pPr>
      <w:r>
        <w:rPr>
          <w:rFonts w:ascii="Arial" w:cs="Arial" w:eastAsia="Arial" w:hAnsi="Arial"/>
          <w:sz w:val="24"/>
          <w:szCs w:val="24"/>
          <w:rtl/>
        </w:rPr>
        <w:t xml:space="preserve">انتقال ملكية الأسهم بالكامل من شخص إلى آخر، بحيث يفقد المالك السابق جميع حقوقه فيها.</w:t>
      </w:r>
    </w:p>
    <w:p>
      <w:pPr>
        <w:pStyle w:val="Heading3"/>
        <w:bidi/>
        <w:spacing w:after="120" w:before="200"/>
        <w:jc w:val="right"/>
      </w:pPr>
      <w:r>
        <w:rPr>
          <w:rFonts w:ascii="Arial" w:cs="Arial" w:eastAsia="Arial" w:hAnsi="Arial"/>
          <w:b/>
          <w:bCs/>
          <w:color w:val="1F4E79"/>
          <w:sz w:val="26"/>
          <w:szCs w:val="26"/>
          <w:rtl/>
        </w:rPr>
        <w:t xml:space="preserve">2. النقل الجزئي</w:t>
      </w:r>
    </w:p>
    <w:p>
      <w:pPr>
        <w:bidi/>
        <w:spacing w:after="140" w:line="320"/>
        <w:jc w:val="both"/>
      </w:pPr>
      <w:r>
        <w:rPr>
          <w:rFonts w:ascii="Arial" w:cs="Arial" w:eastAsia="Arial" w:hAnsi="Arial"/>
          <w:sz w:val="24"/>
          <w:szCs w:val="24"/>
          <w:rtl/>
        </w:rPr>
        <w:t xml:space="preserve">انتقال جزء من الأسهم من المالك إلى مالك آخر، مع احتفاظ المالك الأصلي بالجزء المتبقي.</w:t>
      </w:r>
    </w:p>
    <w:p>
      <w:pPr>
        <w:pStyle w:val="Heading3"/>
        <w:bidi/>
        <w:spacing w:after="120" w:before="200"/>
        <w:jc w:val="right"/>
      </w:pPr>
      <w:r>
        <w:rPr>
          <w:rFonts w:ascii="Arial" w:cs="Arial" w:eastAsia="Arial" w:hAnsi="Arial"/>
          <w:b/>
          <w:bCs/>
          <w:color w:val="1F4E79"/>
          <w:sz w:val="26"/>
          <w:szCs w:val="26"/>
          <w:rtl/>
        </w:rPr>
        <w:t xml:space="preserve">3. النقل المؤقت / المقيد</w:t>
      </w:r>
    </w:p>
    <w:p>
      <w:pPr>
        <w:bidi/>
        <w:spacing w:after="140" w:line="320"/>
        <w:jc w:val="both"/>
      </w:pPr>
      <w:r>
        <w:rPr>
          <w:rFonts w:ascii="Arial" w:cs="Arial" w:eastAsia="Arial" w:hAnsi="Arial"/>
          <w:sz w:val="24"/>
          <w:szCs w:val="24"/>
          <w:rtl/>
        </w:rPr>
        <w:t xml:space="preserve">نقل بعض الحقوق دون الملكية الكاملة، كما في حالات الرهن أو الحجز، حيث تبقى الملكية للمالك الأصلي لكن مع تقييد التصرف.</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البيع - الإجراءات التفصيلية</w:t>
      </w:r>
    </w:p>
    <w:p>
      <w:pPr>
        <w:bidi/>
        <w:spacing w:after="140" w:line="320"/>
        <w:jc w:val="both"/>
      </w:pPr>
      <w:r>
        <w:rPr>
          <w:rFonts w:ascii="Arial" w:cs="Arial" w:eastAsia="Arial" w:hAnsi="Arial"/>
          <w:sz w:val="24"/>
          <w:szCs w:val="24"/>
          <w:rtl/>
        </w:rPr>
        <w:t xml:space="preserve">البيع هو أكثر أشكال نقل الملكية شيوعاً، وله إجراءات تختلف بحسب نوع الشركة وموقعها.</w:t>
      </w:r>
    </w:p>
    <w:p>
      <w:pPr>
        <w:pStyle w:val="Heading2"/>
        <w:bidi/>
        <w:spacing w:after="160" w:before="280"/>
        <w:jc w:val="right"/>
      </w:pPr>
      <w:r>
        <w:rPr>
          <w:rFonts w:ascii="Arial" w:cs="Arial" w:eastAsia="Arial" w:hAnsi="Arial"/>
          <w:b/>
          <w:bCs/>
          <w:color w:val="2E75B6"/>
          <w:sz w:val="30"/>
          <w:szCs w:val="30"/>
          <w:rtl/>
        </w:rPr>
        <w:t xml:space="preserve">1. البيع في الشركات المدرجة</w:t>
      </w:r>
    </w:p>
    <w:p>
      <w:pPr>
        <w:bidi/>
        <w:spacing w:after="140" w:line="320"/>
        <w:jc w:val="both"/>
      </w:pPr>
      <w:r>
        <w:rPr>
          <w:rFonts w:ascii="Arial" w:cs="Arial" w:eastAsia="Arial" w:hAnsi="Arial"/>
          <w:sz w:val="24"/>
          <w:szCs w:val="24"/>
          <w:rtl/>
        </w:rPr>
        <w:t xml:space="preserve">في الشركات المدرجة في السوق المالية السعودية، تتم عمليات البيع والشراء بشكل آلي عبر منصة "تداول" ووفق منظومة "إيداع".</w:t>
      </w:r>
    </w:p>
    <w:p>
      <w:pPr>
        <w:pStyle w:val="Heading3"/>
        <w:bidi/>
        <w:spacing w:after="120" w:before="200"/>
        <w:jc w:val="right"/>
      </w:pPr>
      <w:r>
        <w:rPr>
          <w:rFonts w:ascii="Arial" w:cs="Arial" w:eastAsia="Arial" w:hAnsi="Arial"/>
          <w:b/>
          <w:bCs/>
          <w:color w:val="1F4E79"/>
          <w:sz w:val="26"/>
          <w:szCs w:val="26"/>
          <w:rtl/>
        </w:rPr>
        <w:t xml:space="preserve">الإجراءات التفصيلية</w:t>
      </w:r>
    </w:p>
    <w:p>
      <w:pPr>
        <w:pStyle w:val="ListParagraph"/>
        <w:numPr>
          <w:ilvl w:val="0"/>
          <w:numId w:val="3"/>
        </w:numPr>
        <w:bidi/>
        <w:spacing w:after="100" w:line="300"/>
        <w:jc w:val="right"/>
      </w:pPr>
      <w:r>
        <w:rPr>
          <w:rFonts w:ascii="Arial" w:cs="Arial" w:eastAsia="Arial" w:hAnsi="Arial"/>
          <w:sz w:val="24"/>
          <w:szCs w:val="24"/>
          <w:rtl/>
        </w:rPr>
        <w:t xml:space="preserve">توفر حساب استثماري لدى وسيط مالي مرخص من هيئة السوق المالية.</w:t>
      </w:r>
    </w:p>
    <w:p>
      <w:pPr>
        <w:pStyle w:val="ListParagraph"/>
        <w:numPr>
          <w:ilvl w:val="0"/>
          <w:numId w:val="3"/>
        </w:numPr>
        <w:bidi/>
        <w:spacing w:after="100" w:line="300"/>
        <w:jc w:val="right"/>
      </w:pPr>
      <w:r>
        <w:rPr>
          <w:rFonts w:ascii="Arial" w:cs="Arial" w:eastAsia="Arial" w:hAnsi="Arial"/>
          <w:sz w:val="24"/>
          <w:szCs w:val="24"/>
          <w:rtl/>
        </w:rPr>
        <w:t xml:space="preserve">توفر محفظة استثمارية في مركز إيداع.</w:t>
      </w:r>
    </w:p>
    <w:p>
      <w:pPr>
        <w:pStyle w:val="ListParagraph"/>
        <w:numPr>
          <w:ilvl w:val="0"/>
          <w:numId w:val="3"/>
        </w:numPr>
        <w:bidi/>
        <w:spacing w:after="100" w:line="300"/>
        <w:jc w:val="right"/>
      </w:pPr>
      <w:r>
        <w:rPr>
          <w:rFonts w:ascii="Arial" w:cs="Arial" w:eastAsia="Arial" w:hAnsi="Arial"/>
          <w:sz w:val="24"/>
          <w:szCs w:val="24"/>
          <w:rtl/>
        </w:rPr>
        <w:t xml:space="preserve">توفر السيولة الكافية لتنفيذ الصفقة.</w:t>
      </w:r>
    </w:p>
    <w:p>
      <w:pPr>
        <w:pStyle w:val="ListParagraph"/>
        <w:numPr>
          <w:ilvl w:val="0"/>
          <w:numId w:val="3"/>
        </w:numPr>
        <w:bidi/>
        <w:spacing w:after="100" w:line="300"/>
        <w:jc w:val="right"/>
      </w:pPr>
      <w:r>
        <w:rPr>
          <w:rFonts w:ascii="Arial" w:cs="Arial" w:eastAsia="Arial" w:hAnsi="Arial"/>
          <w:sz w:val="24"/>
          <w:szCs w:val="24"/>
          <w:rtl/>
        </w:rPr>
        <w:t xml:space="preserve">إصدار أمر البيع عبر منصة الوسيط (سواء بسعر السوق أو بسعر محدد).</w:t>
      </w:r>
    </w:p>
    <w:p>
      <w:pPr>
        <w:pStyle w:val="ListParagraph"/>
        <w:numPr>
          <w:ilvl w:val="0"/>
          <w:numId w:val="3"/>
        </w:numPr>
        <w:bidi/>
        <w:spacing w:after="100" w:line="300"/>
        <w:jc w:val="right"/>
      </w:pPr>
      <w:r>
        <w:rPr>
          <w:rFonts w:ascii="Arial" w:cs="Arial" w:eastAsia="Arial" w:hAnsi="Arial"/>
          <w:sz w:val="24"/>
          <w:szCs w:val="24"/>
          <w:rtl/>
        </w:rPr>
        <w:t xml:space="preserve">تنفيذ الأمر تلقائياً عند تطابقه مع أمر شراء مقابل.</w:t>
      </w:r>
    </w:p>
    <w:p>
      <w:pPr>
        <w:pStyle w:val="ListParagraph"/>
        <w:numPr>
          <w:ilvl w:val="0"/>
          <w:numId w:val="3"/>
        </w:numPr>
        <w:bidi/>
        <w:spacing w:after="100" w:line="300"/>
        <w:jc w:val="right"/>
      </w:pPr>
      <w:r>
        <w:rPr>
          <w:rFonts w:ascii="Arial" w:cs="Arial" w:eastAsia="Arial" w:hAnsi="Arial"/>
          <w:sz w:val="24"/>
          <w:szCs w:val="24"/>
          <w:rtl/>
        </w:rPr>
        <w:t xml:space="preserve">تأكيد الصفقة وإصدار إشعار التنفيذ.</w:t>
      </w:r>
    </w:p>
    <w:p>
      <w:pPr>
        <w:pStyle w:val="ListParagraph"/>
        <w:numPr>
          <w:ilvl w:val="0"/>
          <w:numId w:val="3"/>
        </w:numPr>
        <w:bidi/>
        <w:spacing w:after="100" w:line="300"/>
        <w:jc w:val="right"/>
      </w:pPr>
      <w:r>
        <w:rPr>
          <w:rFonts w:ascii="Arial" w:cs="Arial" w:eastAsia="Arial" w:hAnsi="Arial"/>
          <w:sz w:val="24"/>
          <w:szCs w:val="24"/>
          <w:rtl/>
        </w:rPr>
        <w:t xml:space="preserve">التسوية الآلية خلال يومي عمل (T+2).</w:t>
      </w:r>
    </w:p>
    <w:p>
      <w:pPr>
        <w:pStyle w:val="ListParagraph"/>
        <w:numPr>
          <w:ilvl w:val="0"/>
          <w:numId w:val="3"/>
        </w:numPr>
        <w:bidi/>
        <w:spacing w:after="100" w:line="300"/>
        <w:jc w:val="right"/>
      </w:pPr>
      <w:r>
        <w:rPr>
          <w:rFonts w:ascii="Arial" w:cs="Arial" w:eastAsia="Arial" w:hAnsi="Arial"/>
          <w:sz w:val="24"/>
          <w:szCs w:val="24"/>
          <w:rtl/>
        </w:rPr>
        <w:t xml:space="preserve">تحديث سجل المساهمين تلقائياً لدى مركز إيداع.</w:t>
      </w:r>
    </w:p>
    <w:p>
      <w:pPr>
        <w:pStyle w:val="ListParagraph"/>
        <w:numPr>
          <w:ilvl w:val="0"/>
          <w:numId w:val="3"/>
        </w:numPr>
        <w:bidi/>
        <w:spacing w:after="100" w:line="300"/>
        <w:jc w:val="right"/>
      </w:pPr>
      <w:r>
        <w:rPr>
          <w:rFonts w:ascii="Arial" w:cs="Arial" w:eastAsia="Arial" w:hAnsi="Arial"/>
          <w:sz w:val="24"/>
          <w:szCs w:val="24"/>
          <w:rtl/>
        </w:rPr>
        <w:t xml:space="preserve">تحويل المبلغ إلى الحساب الاستثماري للبائع.</w:t>
      </w:r>
    </w:p>
    <w:p>
      <w:pPr>
        <w:pStyle w:val="Heading3"/>
        <w:bidi/>
        <w:spacing w:after="120" w:before="200"/>
        <w:jc w:val="right"/>
      </w:pPr>
      <w:r>
        <w:rPr>
          <w:rFonts w:ascii="Arial" w:cs="Arial" w:eastAsia="Arial" w:hAnsi="Arial"/>
          <w:b/>
          <w:bCs/>
          <w:color w:val="1F4E79"/>
          <w:sz w:val="26"/>
          <w:szCs w:val="26"/>
          <w:rtl/>
        </w:rPr>
        <w:t xml:space="preserve">الميزات</w:t>
      </w:r>
    </w:p>
    <w:p>
      <w:pPr>
        <w:pStyle w:val="ListParagraph"/>
        <w:numPr>
          <w:ilvl w:val="0"/>
          <w:numId w:val="2"/>
        </w:numPr>
        <w:bidi/>
        <w:spacing w:after="100" w:line="300"/>
        <w:jc w:val="right"/>
      </w:pPr>
      <w:r>
        <w:rPr>
          <w:rFonts w:ascii="Arial" w:cs="Arial" w:eastAsia="Arial" w:hAnsi="Arial"/>
          <w:sz w:val="24"/>
          <w:szCs w:val="24"/>
          <w:rtl/>
        </w:rPr>
        <w:t xml:space="preserve">سرعة عالية في التنفيذ (ثوانٍ معدودة).</w:t>
      </w:r>
    </w:p>
    <w:p>
      <w:pPr>
        <w:pStyle w:val="ListParagraph"/>
        <w:numPr>
          <w:ilvl w:val="0"/>
          <w:numId w:val="2"/>
        </w:numPr>
        <w:bidi/>
        <w:spacing w:after="100" w:line="300"/>
        <w:jc w:val="right"/>
      </w:pPr>
      <w:r>
        <w:rPr>
          <w:rFonts w:ascii="Arial" w:cs="Arial" w:eastAsia="Arial" w:hAnsi="Arial"/>
          <w:sz w:val="24"/>
          <w:szCs w:val="24"/>
          <w:rtl/>
        </w:rPr>
        <w:t xml:space="preserve">شفافية كاملة في الأسعار.</w:t>
      </w:r>
    </w:p>
    <w:p>
      <w:pPr>
        <w:pStyle w:val="ListParagraph"/>
        <w:numPr>
          <w:ilvl w:val="0"/>
          <w:numId w:val="2"/>
        </w:numPr>
        <w:bidi/>
        <w:spacing w:after="100" w:line="300"/>
        <w:jc w:val="right"/>
      </w:pPr>
      <w:r>
        <w:rPr>
          <w:rFonts w:ascii="Arial" w:cs="Arial" w:eastAsia="Arial" w:hAnsi="Arial"/>
          <w:sz w:val="24"/>
          <w:szCs w:val="24"/>
          <w:rtl/>
        </w:rPr>
        <w:t xml:space="preserve">لا حاجة لإجراءات يدوية من المتعاملين.</w:t>
      </w:r>
    </w:p>
    <w:p>
      <w:pPr>
        <w:pStyle w:val="ListParagraph"/>
        <w:numPr>
          <w:ilvl w:val="0"/>
          <w:numId w:val="2"/>
        </w:numPr>
        <w:bidi/>
        <w:spacing w:after="100" w:line="300"/>
        <w:jc w:val="right"/>
      </w:pPr>
      <w:r>
        <w:rPr>
          <w:rFonts w:ascii="Arial" w:cs="Arial" w:eastAsia="Arial" w:hAnsi="Arial"/>
          <w:sz w:val="24"/>
          <w:szCs w:val="24"/>
          <w:rtl/>
        </w:rPr>
        <w:t xml:space="preserve">توثيق تلقائي لكل عملية.</w:t>
      </w:r>
    </w:p>
    <w:p>
      <w:pPr>
        <w:pStyle w:val="ListParagraph"/>
        <w:numPr>
          <w:ilvl w:val="0"/>
          <w:numId w:val="2"/>
        </w:numPr>
        <w:bidi/>
        <w:spacing w:after="100" w:line="300"/>
        <w:jc w:val="right"/>
      </w:pPr>
      <w:r>
        <w:rPr>
          <w:rFonts w:ascii="Arial" w:cs="Arial" w:eastAsia="Arial" w:hAnsi="Arial"/>
          <w:sz w:val="24"/>
          <w:szCs w:val="24"/>
          <w:rtl/>
        </w:rPr>
        <w:t xml:space="preserve">حماية عالية ضد الاحتيال.</w:t>
      </w:r>
    </w:p>
    <w:p>
      <w:pPr>
        <w:pStyle w:val="Heading2"/>
        <w:bidi/>
        <w:spacing w:after="160" w:before="280"/>
        <w:jc w:val="right"/>
      </w:pPr>
      <w:r>
        <w:rPr>
          <w:rFonts w:ascii="Arial" w:cs="Arial" w:eastAsia="Arial" w:hAnsi="Arial"/>
          <w:b/>
          <w:bCs/>
          <w:color w:val="2E75B6"/>
          <w:sz w:val="30"/>
          <w:szCs w:val="30"/>
          <w:rtl/>
        </w:rPr>
        <w:t xml:space="preserve">2. البيع في الشركات غير المدرجة</w:t>
      </w:r>
    </w:p>
    <w:p>
      <w:pPr>
        <w:bidi/>
        <w:spacing w:after="140" w:line="320"/>
        <w:jc w:val="both"/>
      </w:pPr>
      <w:r>
        <w:rPr>
          <w:rFonts w:ascii="Arial" w:cs="Arial" w:eastAsia="Arial" w:hAnsi="Arial"/>
          <w:sz w:val="24"/>
          <w:szCs w:val="24"/>
          <w:rtl/>
        </w:rPr>
        <w:t xml:space="preserve">في الشركات غير المدرجة، تتطلب عمليات البيع إجراءات يدوية أكثر تفصيلاً ووثائق محددة.</w:t>
      </w:r>
    </w:p>
    <w:p>
      <w:pPr>
        <w:pStyle w:val="Heading3"/>
        <w:bidi/>
        <w:spacing w:after="120" w:before="200"/>
        <w:jc w:val="right"/>
      </w:pPr>
      <w:r>
        <w:rPr>
          <w:rFonts w:ascii="Arial" w:cs="Arial" w:eastAsia="Arial" w:hAnsi="Arial"/>
          <w:b/>
          <w:bCs/>
          <w:color w:val="1F4E79"/>
          <w:sz w:val="26"/>
          <w:szCs w:val="26"/>
          <w:rtl/>
        </w:rPr>
        <w:t xml:space="preserve">الوثائق المطلوبة</w:t>
      </w:r>
    </w:p>
    <w:p>
      <w:pPr>
        <w:pStyle w:val="ListParagraph"/>
        <w:numPr>
          <w:ilvl w:val="0"/>
          <w:numId w:val="2"/>
        </w:numPr>
        <w:bidi/>
        <w:spacing w:after="100" w:line="300"/>
        <w:jc w:val="right"/>
      </w:pPr>
      <w:r>
        <w:rPr>
          <w:rFonts w:ascii="Arial" w:cs="Arial" w:eastAsia="Arial" w:hAnsi="Arial"/>
          <w:sz w:val="24"/>
          <w:szCs w:val="24"/>
          <w:rtl/>
        </w:rPr>
        <w:t xml:space="preserve">نموذج طلب نقل ملكية موقّع من البائع والمشتري.</w:t>
      </w:r>
    </w:p>
    <w:p>
      <w:pPr>
        <w:pStyle w:val="ListParagraph"/>
        <w:numPr>
          <w:ilvl w:val="0"/>
          <w:numId w:val="2"/>
        </w:numPr>
        <w:bidi/>
        <w:spacing w:after="100" w:line="300"/>
        <w:jc w:val="right"/>
      </w:pPr>
      <w:r>
        <w:rPr>
          <w:rFonts w:ascii="Arial" w:cs="Arial" w:eastAsia="Arial" w:hAnsi="Arial"/>
          <w:sz w:val="24"/>
          <w:szCs w:val="24"/>
          <w:rtl/>
        </w:rPr>
        <w:t xml:space="preserve">صور من هويتي البائع والمشتري (سارية المفعول).</w:t>
      </w:r>
    </w:p>
    <w:p>
      <w:pPr>
        <w:pStyle w:val="ListParagraph"/>
        <w:numPr>
          <w:ilvl w:val="0"/>
          <w:numId w:val="2"/>
        </w:numPr>
        <w:bidi/>
        <w:spacing w:after="100" w:line="300"/>
        <w:jc w:val="right"/>
      </w:pPr>
      <w:r>
        <w:rPr>
          <w:rFonts w:ascii="Arial" w:cs="Arial" w:eastAsia="Arial" w:hAnsi="Arial"/>
          <w:sz w:val="24"/>
          <w:szCs w:val="24"/>
          <w:rtl/>
        </w:rPr>
        <w:t xml:space="preserve">شهادة الأسهم الأصلية (إن وُجدت).</w:t>
      </w:r>
    </w:p>
    <w:p>
      <w:pPr>
        <w:pStyle w:val="ListParagraph"/>
        <w:numPr>
          <w:ilvl w:val="0"/>
          <w:numId w:val="2"/>
        </w:numPr>
        <w:bidi/>
        <w:spacing w:after="100" w:line="300"/>
        <w:jc w:val="right"/>
      </w:pPr>
      <w:r>
        <w:rPr>
          <w:rFonts w:ascii="Arial" w:cs="Arial" w:eastAsia="Arial" w:hAnsi="Arial"/>
          <w:sz w:val="24"/>
          <w:szCs w:val="24"/>
          <w:rtl/>
        </w:rPr>
        <w:t xml:space="preserve">سند سداد قيمة الصفقة (للحالات التي تتطلب ذلك).</w:t>
      </w:r>
    </w:p>
    <w:p>
      <w:pPr>
        <w:pStyle w:val="ListParagraph"/>
        <w:numPr>
          <w:ilvl w:val="0"/>
          <w:numId w:val="2"/>
        </w:numPr>
        <w:bidi/>
        <w:spacing w:after="100" w:line="300"/>
        <w:jc w:val="right"/>
      </w:pPr>
      <w:r>
        <w:rPr>
          <w:rFonts w:ascii="Arial" w:cs="Arial" w:eastAsia="Arial" w:hAnsi="Arial"/>
          <w:sz w:val="24"/>
          <w:szCs w:val="24"/>
          <w:rtl/>
        </w:rPr>
        <w:t xml:space="preserve">شهادة عدم وجود رهن أو حجز على الأسهم.</w:t>
      </w:r>
    </w:p>
    <w:p>
      <w:pPr>
        <w:pStyle w:val="ListParagraph"/>
        <w:numPr>
          <w:ilvl w:val="0"/>
          <w:numId w:val="2"/>
        </w:numPr>
        <w:bidi/>
        <w:spacing w:after="100" w:line="300"/>
        <w:jc w:val="right"/>
      </w:pPr>
      <w:r>
        <w:rPr>
          <w:rFonts w:ascii="Arial" w:cs="Arial" w:eastAsia="Arial" w:hAnsi="Arial"/>
          <w:sz w:val="24"/>
          <w:szCs w:val="24"/>
          <w:rtl/>
        </w:rPr>
        <w:t xml:space="preserve">موافقة شركاء آخرين إن استلزم النظام الأساس ذلك.</w:t>
      </w:r>
    </w:p>
    <w:p>
      <w:pPr>
        <w:pStyle w:val="ListParagraph"/>
        <w:numPr>
          <w:ilvl w:val="0"/>
          <w:numId w:val="2"/>
        </w:numPr>
        <w:bidi/>
        <w:spacing w:after="100" w:line="300"/>
        <w:jc w:val="right"/>
      </w:pPr>
      <w:r>
        <w:rPr>
          <w:rFonts w:ascii="Arial" w:cs="Arial" w:eastAsia="Arial" w:hAnsi="Arial"/>
          <w:sz w:val="24"/>
          <w:szCs w:val="24"/>
          <w:rtl/>
        </w:rPr>
        <w:t xml:space="preserve">توكيلات نظامية في حال كان البائع أو المشتري ممثَّلاً.</w:t>
      </w:r>
    </w:p>
    <w:p>
      <w:pPr>
        <w:pStyle w:val="Heading3"/>
        <w:bidi/>
        <w:spacing w:after="120" w:before="200"/>
        <w:jc w:val="right"/>
      </w:pPr>
      <w:r>
        <w:rPr>
          <w:rFonts w:ascii="Arial" w:cs="Arial" w:eastAsia="Arial" w:hAnsi="Arial"/>
          <w:b/>
          <w:bCs/>
          <w:color w:val="1F4E79"/>
          <w:sz w:val="26"/>
          <w:szCs w:val="26"/>
          <w:rtl/>
        </w:rPr>
        <w:t xml:space="preserve">الإجراءات التفصيلية</w:t>
      </w:r>
    </w:p>
    <w:p>
      <w:pPr>
        <w:pStyle w:val="ListParagraph"/>
        <w:numPr>
          <w:ilvl w:val="0"/>
          <w:numId w:val="3"/>
        </w:numPr>
        <w:bidi/>
        <w:spacing w:after="100" w:line="300"/>
        <w:jc w:val="right"/>
      </w:pPr>
      <w:r>
        <w:rPr>
          <w:rFonts w:ascii="Arial" w:cs="Arial" w:eastAsia="Arial" w:hAnsi="Arial"/>
          <w:sz w:val="24"/>
          <w:szCs w:val="24"/>
          <w:rtl/>
        </w:rPr>
        <w:t xml:space="preserve">اتفاق البيع والشراء بين الطرفين على السعر والشروط.</w:t>
      </w:r>
    </w:p>
    <w:p>
      <w:pPr>
        <w:pStyle w:val="ListParagraph"/>
        <w:numPr>
          <w:ilvl w:val="0"/>
          <w:numId w:val="3"/>
        </w:numPr>
        <w:bidi/>
        <w:spacing w:after="100" w:line="300"/>
        <w:jc w:val="right"/>
      </w:pPr>
      <w:r>
        <w:rPr>
          <w:rFonts w:ascii="Arial" w:cs="Arial" w:eastAsia="Arial" w:hAnsi="Arial"/>
          <w:sz w:val="24"/>
          <w:szCs w:val="24"/>
          <w:rtl/>
        </w:rPr>
        <w:t xml:space="preserve">توقيع نموذج نقل الملكية المعتمد من الشركة.</w:t>
      </w:r>
    </w:p>
    <w:p>
      <w:pPr>
        <w:pStyle w:val="ListParagraph"/>
        <w:numPr>
          <w:ilvl w:val="0"/>
          <w:numId w:val="3"/>
        </w:numPr>
        <w:bidi/>
        <w:spacing w:after="100" w:line="300"/>
        <w:jc w:val="right"/>
      </w:pPr>
      <w:r>
        <w:rPr>
          <w:rFonts w:ascii="Arial" w:cs="Arial" w:eastAsia="Arial" w:hAnsi="Arial"/>
          <w:sz w:val="24"/>
          <w:szCs w:val="24"/>
          <w:rtl/>
        </w:rPr>
        <w:t xml:space="preserve">توثيق التوقيعات لدى هيئة السوق المالية أو كاتب العدل أو الأشخاص المرخص لهم بأعمال التوثيق.</w:t>
      </w:r>
    </w:p>
    <w:p>
      <w:pPr>
        <w:pStyle w:val="ListParagraph"/>
        <w:numPr>
          <w:ilvl w:val="0"/>
          <w:numId w:val="3"/>
        </w:numPr>
        <w:bidi/>
        <w:spacing w:after="100" w:line="300"/>
        <w:jc w:val="right"/>
      </w:pPr>
      <w:r>
        <w:rPr>
          <w:rFonts w:ascii="Arial" w:cs="Arial" w:eastAsia="Arial" w:hAnsi="Arial"/>
          <w:sz w:val="24"/>
          <w:szCs w:val="24"/>
          <w:rtl/>
        </w:rPr>
        <w:t xml:space="preserve">تقديم الطلب إلى رئيس مجلس إدارة الشركة أو الجهة المخوّلة بإدارة السجل.</w:t>
      </w:r>
    </w:p>
    <w:p>
      <w:pPr>
        <w:pStyle w:val="ListParagraph"/>
        <w:numPr>
          <w:ilvl w:val="0"/>
          <w:numId w:val="3"/>
        </w:numPr>
        <w:bidi/>
        <w:spacing w:after="100" w:line="300"/>
        <w:jc w:val="right"/>
      </w:pPr>
      <w:r>
        <w:rPr>
          <w:rFonts w:ascii="Arial" w:cs="Arial" w:eastAsia="Arial" w:hAnsi="Arial"/>
          <w:sz w:val="24"/>
          <w:szCs w:val="24"/>
          <w:rtl/>
        </w:rPr>
        <w:t xml:space="preserve">مراجعة الطلب والوثائق من قبل الشركة.</w:t>
      </w:r>
    </w:p>
    <w:p>
      <w:pPr>
        <w:pStyle w:val="ListParagraph"/>
        <w:numPr>
          <w:ilvl w:val="0"/>
          <w:numId w:val="3"/>
        </w:numPr>
        <w:bidi/>
        <w:spacing w:after="100" w:line="300"/>
        <w:jc w:val="right"/>
      </w:pPr>
      <w:r>
        <w:rPr>
          <w:rFonts w:ascii="Arial" w:cs="Arial" w:eastAsia="Arial" w:hAnsi="Arial"/>
          <w:sz w:val="24"/>
          <w:szCs w:val="24"/>
          <w:rtl/>
        </w:rPr>
        <w:t xml:space="preserve">التحقق من عدم وجود قيود تمنع النقل.</w:t>
      </w:r>
    </w:p>
    <w:p>
      <w:pPr>
        <w:pStyle w:val="ListParagraph"/>
        <w:numPr>
          <w:ilvl w:val="0"/>
          <w:numId w:val="3"/>
        </w:numPr>
        <w:bidi/>
        <w:spacing w:after="100" w:line="300"/>
        <w:jc w:val="right"/>
      </w:pPr>
      <w:r>
        <w:rPr>
          <w:rFonts w:ascii="Arial" w:cs="Arial" w:eastAsia="Arial" w:hAnsi="Arial"/>
          <w:sz w:val="24"/>
          <w:szCs w:val="24"/>
          <w:rtl/>
        </w:rPr>
        <w:t xml:space="preserve">التحقق من حق الأولوية للشركاء الحاليين (إن وُجد في النظام الأساس).</w:t>
      </w:r>
    </w:p>
    <w:p>
      <w:pPr>
        <w:pStyle w:val="ListParagraph"/>
        <w:numPr>
          <w:ilvl w:val="0"/>
          <w:numId w:val="3"/>
        </w:numPr>
        <w:bidi/>
        <w:spacing w:after="100" w:line="300"/>
        <w:jc w:val="right"/>
      </w:pPr>
      <w:r>
        <w:rPr>
          <w:rFonts w:ascii="Arial" w:cs="Arial" w:eastAsia="Arial" w:hAnsi="Arial"/>
          <w:sz w:val="24"/>
          <w:szCs w:val="24"/>
          <w:rtl/>
        </w:rPr>
        <w:t xml:space="preserve">الموافقة على الطلب وإصدار قرار النقل.</w:t>
      </w:r>
    </w:p>
    <w:p>
      <w:pPr>
        <w:pStyle w:val="ListParagraph"/>
        <w:numPr>
          <w:ilvl w:val="0"/>
          <w:numId w:val="3"/>
        </w:numPr>
        <w:bidi/>
        <w:spacing w:after="100" w:line="300"/>
        <w:jc w:val="right"/>
      </w:pPr>
      <w:r>
        <w:rPr>
          <w:rFonts w:ascii="Arial" w:cs="Arial" w:eastAsia="Arial" w:hAnsi="Arial"/>
          <w:sz w:val="24"/>
          <w:szCs w:val="24"/>
          <w:rtl/>
        </w:rPr>
        <w:t xml:space="preserve">التحديث في سجل المساهمين.</w:t>
      </w:r>
    </w:p>
    <w:p>
      <w:pPr>
        <w:pStyle w:val="ListParagraph"/>
        <w:numPr>
          <w:ilvl w:val="0"/>
          <w:numId w:val="3"/>
        </w:numPr>
        <w:bidi/>
        <w:spacing w:after="100" w:line="300"/>
        <w:jc w:val="right"/>
      </w:pPr>
      <w:r>
        <w:rPr>
          <w:rFonts w:ascii="Arial" w:cs="Arial" w:eastAsia="Arial" w:hAnsi="Arial"/>
          <w:sz w:val="24"/>
          <w:szCs w:val="24"/>
          <w:rtl/>
        </w:rPr>
        <w:t xml:space="preserve">التحديث في سجل وزارة التجارة (للشركات المساهمة المبسطة).</w:t>
      </w:r>
    </w:p>
    <w:p>
      <w:pPr>
        <w:pStyle w:val="ListParagraph"/>
        <w:numPr>
          <w:ilvl w:val="0"/>
          <w:numId w:val="3"/>
        </w:numPr>
        <w:bidi/>
        <w:spacing w:after="100" w:line="300"/>
        <w:jc w:val="right"/>
      </w:pPr>
      <w:r>
        <w:rPr>
          <w:rFonts w:ascii="Arial" w:cs="Arial" w:eastAsia="Arial" w:hAnsi="Arial"/>
          <w:sz w:val="24"/>
          <w:szCs w:val="24"/>
          <w:rtl/>
        </w:rPr>
        <w:t xml:space="preserve">إصدار شهادة سهم جديدة للمشتري.</w:t>
      </w:r>
    </w:p>
    <w:p>
      <w:pPr>
        <w:pStyle w:val="ListParagraph"/>
        <w:numPr>
          <w:ilvl w:val="0"/>
          <w:numId w:val="3"/>
        </w:numPr>
        <w:bidi/>
        <w:spacing w:after="100" w:line="300"/>
        <w:jc w:val="right"/>
      </w:pPr>
      <w:r>
        <w:rPr>
          <w:rFonts w:ascii="Arial" w:cs="Arial" w:eastAsia="Arial" w:hAnsi="Arial"/>
          <w:sz w:val="24"/>
          <w:szCs w:val="24"/>
          <w:rtl/>
        </w:rPr>
        <w:t xml:space="preserve">إخطار الطرفين بإكمال النقل.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المدة الزمنية المتوقعة</w:t>
            </w:r>
          </w:p>
          <w:p>
            <w:pPr>
              <w:bidi/>
              <w:spacing w:line="300"/>
              <w:jc w:val="both"/>
            </w:pPr>
            <w:r>
              <w:rPr>
                <w:rFonts w:ascii="Arial" w:cs="Arial" w:eastAsia="Arial" w:hAnsi="Arial"/>
                <w:sz w:val="24"/>
                <w:szCs w:val="24"/>
                <w:rtl/>
              </w:rPr>
              <w:t xml:space="preserve">في الشركات المدرجة، يستغرق نقل الملكية بالبيع بضع ثوانٍ مع التسوية في يومي عمل. أما في الشركات غير المدرجة، فقد يستغرق نقل الملكية من 3 إلى 10 أيام عمل، بحسب اكتمال الوثائق وكفاءة إجراءات الشركة.</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الهبة - الإجراءات الخاصة</w:t>
      </w:r>
    </w:p>
    <w:p>
      <w:pPr>
        <w:bidi/>
        <w:spacing w:after="140" w:line="320"/>
        <w:jc w:val="both"/>
      </w:pPr>
      <w:r>
        <w:rPr>
          <w:rFonts w:ascii="Arial" w:cs="Arial" w:eastAsia="Arial" w:hAnsi="Arial"/>
          <w:sz w:val="24"/>
          <w:szCs w:val="24"/>
          <w:rtl/>
        </w:rPr>
        <w:t xml:space="preserve">الهبة هي نقل ملكية الأسهم دون مقابل من الواهب إلى الموهوب له. وهي تخضع لأحكام الشريعة الإسلامية إلى جانب الأحكام النظامية، مما يستوجب الانتباه لخصوصيتها.</w:t>
      </w:r>
    </w:p>
    <w:p>
      <w:pPr>
        <w:pStyle w:val="Heading2"/>
        <w:bidi/>
        <w:spacing w:after="160" w:before="280"/>
        <w:jc w:val="right"/>
      </w:pPr>
      <w:r>
        <w:rPr>
          <w:rFonts w:ascii="Arial" w:cs="Arial" w:eastAsia="Arial" w:hAnsi="Arial"/>
          <w:b/>
          <w:bCs/>
          <w:color w:val="2E75B6"/>
          <w:sz w:val="30"/>
          <w:szCs w:val="30"/>
          <w:rtl/>
        </w:rPr>
        <w:t xml:space="preserve">الأركان الشرعية والقانونية للهبة</w:t>
      </w:r>
    </w:p>
    <w:p>
      <w:pPr>
        <w:pStyle w:val="ListParagraph"/>
        <w:numPr>
          <w:ilvl w:val="0"/>
          <w:numId w:val="3"/>
        </w:numPr>
        <w:bidi/>
        <w:spacing w:after="100" w:line="300"/>
        <w:jc w:val="right"/>
      </w:pPr>
      <w:r>
        <w:rPr>
          <w:rFonts w:ascii="Arial" w:cs="Arial" w:eastAsia="Arial" w:hAnsi="Arial"/>
          <w:sz w:val="24"/>
          <w:szCs w:val="24"/>
          <w:rtl/>
        </w:rPr>
        <w:t xml:space="preserve">الإيجاب من الواهب: التعبير عن إرادة الهبة بشكل واضح.</w:t>
      </w:r>
    </w:p>
    <w:p>
      <w:pPr>
        <w:pStyle w:val="ListParagraph"/>
        <w:numPr>
          <w:ilvl w:val="0"/>
          <w:numId w:val="3"/>
        </w:numPr>
        <w:bidi/>
        <w:spacing w:after="100" w:line="300"/>
        <w:jc w:val="right"/>
      </w:pPr>
      <w:r>
        <w:rPr>
          <w:rFonts w:ascii="Arial" w:cs="Arial" w:eastAsia="Arial" w:hAnsi="Arial"/>
          <w:sz w:val="24"/>
          <w:szCs w:val="24"/>
          <w:rtl/>
        </w:rPr>
        <w:t xml:space="preserve">القبول من الموهوب له: قبول الهبة صراحةً.</w:t>
      </w:r>
    </w:p>
    <w:p>
      <w:pPr>
        <w:pStyle w:val="ListParagraph"/>
        <w:numPr>
          <w:ilvl w:val="0"/>
          <w:numId w:val="3"/>
        </w:numPr>
        <w:bidi/>
        <w:spacing w:after="100" w:line="300"/>
        <w:jc w:val="right"/>
      </w:pPr>
      <w:r>
        <w:rPr>
          <w:rFonts w:ascii="Arial" w:cs="Arial" w:eastAsia="Arial" w:hAnsi="Arial"/>
          <w:sz w:val="24"/>
          <w:szCs w:val="24"/>
          <w:rtl/>
        </w:rPr>
        <w:t xml:space="preserve">القبض: استلام الموهوب له للهبة (في حالة الأسهم، يتم بالقيد في السجل).</w:t>
      </w:r>
    </w:p>
    <w:p>
      <w:pPr>
        <w:pStyle w:val="ListParagraph"/>
        <w:numPr>
          <w:ilvl w:val="0"/>
          <w:numId w:val="3"/>
        </w:numPr>
        <w:bidi/>
        <w:spacing w:after="100" w:line="300"/>
        <w:jc w:val="right"/>
      </w:pPr>
      <w:r>
        <w:rPr>
          <w:rFonts w:ascii="Arial" w:cs="Arial" w:eastAsia="Arial" w:hAnsi="Arial"/>
          <w:sz w:val="24"/>
          <w:szCs w:val="24"/>
          <w:rtl/>
        </w:rPr>
        <w:t xml:space="preserve">أهلية الواهب: كمال أهلية التصرف وعدم المنع منه.</w:t>
      </w:r>
    </w:p>
    <w:p>
      <w:pPr>
        <w:pStyle w:val="ListParagraph"/>
        <w:numPr>
          <w:ilvl w:val="0"/>
          <w:numId w:val="3"/>
        </w:numPr>
        <w:bidi/>
        <w:spacing w:after="100" w:line="300"/>
        <w:jc w:val="right"/>
      </w:pPr>
      <w:r>
        <w:rPr>
          <w:rFonts w:ascii="Arial" w:cs="Arial" w:eastAsia="Arial" w:hAnsi="Arial"/>
          <w:sz w:val="24"/>
          <w:szCs w:val="24"/>
          <w:rtl/>
        </w:rPr>
        <w:t xml:space="preserve">عدم الإضرار بالدائنين: ألا تكون الهبة في مرض الموت إلا في حدود ثلث التركة.</w:t>
      </w:r>
    </w:p>
    <w:p>
      <w:pPr>
        <w:pStyle w:val="Heading2"/>
        <w:bidi/>
        <w:spacing w:after="160" w:before="280"/>
        <w:jc w:val="right"/>
      </w:pPr>
      <w:r>
        <w:rPr>
          <w:rFonts w:ascii="Arial" w:cs="Arial" w:eastAsia="Arial" w:hAnsi="Arial"/>
          <w:b/>
          <w:bCs/>
          <w:color w:val="2E75B6"/>
          <w:sz w:val="30"/>
          <w:szCs w:val="30"/>
          <w:rtl/>
        </w:rPr>
        <w:t xml:space="preserve">الإجراءات التفصيلية للهبة</w:t>
      </w:r>
    </w:p>
    <w:p>
      <w:pPr>
        <w:pStyle w:val="ListParagraph"/>
        <w:numPr>
          <w:ilvl w:val="0"/>
          <w:numId w:val="3"/>
        </w:numPr>
        <w:bidi/>
        <w:spacing w:after="100" w:line="300"/>
        <w:jc w:val="right"/>
      </w:pPr>
      <w:r>
        <w:rPr>
          <w:rFonts w:ascii="Arial" w:cs="Arial" w:eastAsia="Arial" w:hAnsi="Arial"/>
          <w:sz w:val="24"/>
          <w:szCs w:val="24"/>
          <w:rtl/>
        </w:rPr>
        <w:t xml:space="preserve">صياغة عقد هبة مكتوب يتضمن: بيانات الأطراف، تفاصيل الأسهم الموهوبة، تاريخ الهبة، التأكيد على عدم وجود مقابل.</w:t>
      </w:r>
    </w:p>
    <w:p>
      <w:pPr>
        <w:pStyle w:val="ListParagraph"/>
        <w:numPr>
          <w:ilvl w:val="0"/>
          <w:numId w:val="3"/>
        </w:numPr>
        <w:bidi/>
        <w:spacing w:after="100" w:line="300"/>
        <w:jc w:val="right"/>
      </w:pPr>
      <w:r>
        <w:rPr>
          <w:rFonts w:ascii="Arial" w:cs="Arial" w:eastAsia="Arial" w:hAnsi="Arial"/>
          <w:sz w:val="24"/>
          <w:szCs w:val="24"/>
          <w:rtl/>
        </w:rPr>
        <w:t xml:space="preserve">توثيق عقد الهبة لدى كاتب العدل.</w:t>
      </w:r>
    </w:p>
    <w:p>
      <w:pPr>
        <w:pStyle w:val="ListParagraph"/>
        <w:numPr>
          <w:ilvl w:val="0"/>
          <w:numId w:val="3"/>
        </w:numPr>
        <w:bidi/>
        <w:spacing w:after="100" w:line="300"/>
        <w:jc w:val="right"/>
      </w:pPr>
      <w:r>
        <w:rPr>
          <w:rFonts w:ascii="Arial" w:cs="Arial" w:eastAsia="Arial" w:hAnsi="Arial"/>
          <w:sz w:val="24"/>
          <w:szCs w:val="24"/>
          <w:rtl/>
        </w:rPr>
        <w:t xml:space="preserve">الحصول على موافقة الزوج/الزوجة في بعض الحالات (للأموال المشتركة).</w:t>
      </w:r>
    </w:p>
    <w:p>
      <w:pPr>
        <w:pStyle w:val="ListParagraph"/>
        <w:numPr>
          <w:ilvl w:val="0"/>
          <w:numId w:val="3"/>
        </w:numPr>
        <w:bidi/>
        <w:spacing w:after="100" w:line="300"/>
        <w:jc w:val="right"/>
      </w:pPr>
      <w:r>
        <w:rPr>
          <w:rFonts w:ascii="Arial" w:cs="Arial" w:eastAsia="Arial" w:hAnsi="Arial"/>
          <w:sz w:val="24"/>
          <w:szCs w:val="24"/>
          <w:rtl/>
        </w:rPr>
        <w:t xml:space="preserve">تقديم العقد الموثق إلى الشركة مع الوثائق الأخرى.</w:t>
      </w:r>
    </w:p>
    <w:p>
      <w:pPr>
        <w:pStyle w:val="ListParagraph"/>
        <w:numPr>
          <w:ilvl w:val="0"/>
          <w:numId w:val="3"/>
        </w:numPr>
        <w:bidi/>
        <w:spacing w:after="100" w:line="300"/>
        <w:jc w:val="right"/>
      </w:pPr>
      <w:r>
        <w:rPr>
          <w:rFonts w:ascii="Arial" w:cs="Arial" w:eastAsia="Arial" w:hAnsi="Arial"/>
          <w:sz w:val="24"/>
          <w:szCs w:val="24"/>
          <w:rtl/>
        </w:rPr>
        <w:t xml:space="preserve">استكمال إجراءات نقل الملكية المعتادة.</w:t>
      </w:r>
    </w:p>
    <w:p>
      <w:pPr>
        <w:pStyle w:val="ListParagraph"/>
        <w:numPr>
          <w:ilvl w:val="0"/>
          <w:numId w:val="3"/>
        </w:numPr>
        <w:bidi/>
        <w:spacing w:after="100" w:line="300"/>
        <w:jc w:val="right"/>
      </w:pPr>
      <w:r>
        <w:rPr>
          <w:rFonts w:ascii="Arial" w:cs="Arial" w:eastAsia="Arial" w:hAnsi="Arial"/>
          <w:sz w:val="24"/>
          <w:szCs w:val="24"/>
          <w:rtl/>
        </w:rPr>
        <w:t xml:space="preserve">القيد في السجل لإتمام الهبة قانونياً.</w:t>
      </w:r>
    </w:p>
    <w:p>
      <w:pPr>
        <w:pStyle w:val="ListParagraph"/>
        <w:numPr>
          <w:ilvl w:val="0"/>
          <w:numId w:val="3"/>
        </w:numPr>
        <w:bidi/>
        <w:spacing w:after="100" w:line="300"/>
        <w:jc w:val="right"/>
      </w:pPr>
      <w:r>
        <w:rPr>
          <w:rFonts w:ascii="Arial" w:cs="Arial" w:eastAsia="Arial" w:hAnsi="Arial"/>
          <w:sz w:val="24"/>
          <w:szCs w:val="24"/>
          <w:rtl/>
        </w:rPr>
        <w:t xml:space="preserve">إخطار الأطراف بإكمال العملية.</w:t>
      </w:r>
    </w:p>
    <w:p>
      <w:pPr>
        <w:pStyle w:val="Heading2"/>
        <w:bidi/>
        <w:spacing w:after="160" w:before="280"/>
        <w:jc w:val="right"/>
      </w:pPr>
      <w:r>
        <w:rPr>
          <w:rFonts w:ascii="Arial" w:cs="Arial" w:eastAsia="Arial" w:hAnsi="Arial"/>
          <w:b/>
          <w:bCs/>
          <w:color w:val="2E75B6"/>
          <w:sz w:val="30"/>
          <w:szCs w:val="30"/>
          <w:rtl/>
        </w:rPr>
        <w:t xml:space="preserve">حالات خاصة للهبة</w:t>
      </w:r>
    </w:p>
    <w:p>
      <w:pPr>
        <w:pStyle w:val="Heading3"/>
        <w:bidi/>
        <w:spacing w:after="120" w:before="200"/>
        <w:jc w:val="right"/>
      </w:pPr>
      <w:r>
        <w:rPr>
          <w:rFonts w:ascii="Arial" w:cs="Arial" w:eastAsia="Arial" w:hAnsi="Arial"/>
          <w:b/>
          <w:bCs/>
          <w:color w:val="1F4E79"/>
          <w:sz w:val="26"/>
          <w:szCs w:val="26"/>
          <w:rtl/>
        </w:rPr>
        <w:t xml:space="preserve">الهبة بين الزوجين</w:t>
      </w:r>
    </w:p>
    <w:p>
      <w:pPr>
        <w:bidi/>
        <w:spacing w:after="140" w:line="320"/>
        <w:jc w:val="both"/>
      </w:pPr>
      <w:r>
        <w:rPr>
          <w:rFonts w:ascii="Arial" w:cs="Arial" w:eastAsia="Arial" w:hAnsi="Arial"/>
          <w:sz w:val="24"/>
          <w:szCs w:val="24"/>
          <w:rtl/>
        </w:rPr>
        <w:t xml:space="preserve">تخضع لأحكام خاصة في حالة الانفصال أو الطلاق. يُنصح بتوثيق دقيق للأسباب والشروط لتجنب النزاعات المستقبلية.</w:t>
      </w:r>
    </w:p>
    <w:p>
      <w:pPr>
        <w:pStyle w:val="Heading3"/>
        <w:bidi/>
        <w:spacing w:after="120" w:before="200"/>
        <w:jc w:val="right"/>
      </w:pPr>
      <w:r>
        <w:rPr>
          <w:rFonts w:ascii="Arial" w:cs="Arial" w:eastAsia="Arial" w:hAnsi="Arial"/>
          <w:b/>
          <w:bCs/>
          <w:color w:val="1F4E79"/>
          <w:sz w:val="26"/>
          <w:szCs w:val="26"/>
          <w:rtl/>
        </w:rPr>
        <w:t xml:space="preserve">الهبة للأقارب</w:t>
      </w:r>
    </w:p>
    <w:p>
      <w:pPr>
        <w:bidi/>
        <w:spacing w:after="140" w:line="320"/>
        <w:jc w:val="both"/>
      </w:pPr>
      <w:r>
        <w:rPr>
          <w:rFonts w:ascii="Arial" w:cs="Arial" w:eastAsia="Arial" w:hAnsi="Arial"/>
          <w:sz w:val="24"/>
          <w:szCs w:val="24"/>
          <w:rtl/>
        </w:rPr>
        <w:t xml:space="preserve">الهبة للأقارب من الدرجة الأولى لها أحكام خاصة في الشريعة. يجب مراعاة العدل بين الأبناء عند الهبة، وفقاً للنصوص الشرعية.</w:t>
      </w:r>
    </w:p>
    <w:p>
      <w:pPr>
        <w:pStyle w:val="Heading3"/>
        <w:bidi/>
        <w:spacing w:after="120" w:before="200"/>
        <w:jc w:val="right"/>
      </w:pPr>
      <w:r>
        <w:rPr>
          <w:rFonts w:ascii="Arial" w:cs="Arial" w:eastAsia="Arial" w:hAnsi="Arial"/>
          <w:b/>
          <w:bCs/>
          <w:color w:val="1F4E79"/>
          <w:sz w:val="26"/>
          <w:szCs w:val="26"/>
          <w:rtl/>
        </w:rPr>
        <w:t xml:space="preserve">الهبة المشروطة</w:t>
      </w:r>
    </w:p>
    <w:p>
      <w:pPr>
        <w:bidi/>
        <w:spacing w:after="140" w:line="320"/>
        <w:jc w:val="both"/>
      </w:pPr>
      <w:r>
        <w:rPr>
          <w:rFonts w:ascii="Arial" w:cs="Arial" w:eastAsia="Arial" w:hAnsi="Arial"/>
          <w:sz w:val="24"/>
          <w:szCs w:val="24"/>
          <w:rtl/>
        </w:rPr>
        <w:t xml:space="preserve">قد تكون الهبة مشروطة بشروط معينة، كاستمرار في الشركة أو حسن السلوك. هذه الشروط يجب توثيقها بدقة وتسجيلها في السجل.</w:t>
      </w:r>
    </w:p>
    <w:p>
      <w:pPr>
        <w:pStyle w:val="Heading3"/>
        <w:bidi/>
        <w:spacing w:after="120" w:before="200"/>
        <w:jc w:val="right"/>
      </w:pPr>
      <w:r>
        <w:rPr>
          <w:rFonts w:ascii="Arial" w:cs="Arial" w:eastAsia="Arial" w:hAnsi="Arial"/>
          <w:b/>
          <w:bCs/>
          <w:color w:val="1F4E79"/>
          <w:sz w:val="26"/>
          <w:szCs w:val="26"/>
          <w:rtl/>
        </w:rPr>
        <w:t xml:space="preserve">الهبة في مرض الموت</w:t>
      </w:r>
    </w:p>
    <w:p>
      <w:pPr>
        <w:bidi/>
        <w:spacing w:after="140" w:line="320"/>
        <w:jc w:val="both"/>
      </w:pPr>
      <w:r>
        <w:rPr>
          <w:rFonts w:ascii="Arial" w:cs="Arial" w:eastAsia="Arial" w:hAnsi="Arial"/>
          <w:sz w:val="24"/>
          <w:szCs w:val="24"/>
          <w:rtl/>
        </w:rPr>
        <w:t xml:space="preserve">تأخذ حكم الوصية ولا تنفذ إلا في حدود ثلث التركة. يجب توخي الحذر في توثيقها.</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الإرث - معالجة شاملة</w:t>
      </w:r>
    </w:p>
    <w:p>
      <w:pPr>
        <w:bidi/>
        <w:spacing w:after="140" w:line="320"/>
        <w:jc w:val="both"/>
      </w:pPr>
      <w:r>
        <w:rPr>
          <w:rFonts w:ascii="Arial" w:cs="Arial" w:eastAsia="Arial" w:hAnsi="Arial"/>
          <w:sz w:val="24"/>
          <w:szCs w:val="24"/>
          <w:rtl/>
        </w:rPr>
        <w:t xml:space="preserve">الإرث هو انتقال الملكية تلقائياً عند وفاة المساهم إلى ورثته وفق الأحكام الشرعية. وهو من أكثر العمليات تعقيداً نظراً لتعدد الورثة واختلاف أنصبتهم.</w:t>
      </w:r>
    </w:p>
    <w:p>
      <w:pPr>
        <w:pStyle w:val="Heading2"/>
        <w:bidi/>
        <w:spacing w:after="160" w:before="280"/>
        <w:jc w:val="right"/>
      </w:pPr>
      <w:r>
        <w:rPr>
          <w:rFonts w:ascii="Arial" w:cs="Arial" w:eastAsia="Arial" w:hAnsi="Arial"/>
          <w:b/>
          <w:bCs/>
          <w:color w:val="2E75B6"/>
          <w:sz w:val="30"/>
          <w:szCs w:val="30"/>
          <w:rtl/>
        </w:rPr>
        <w:t xml:space="preserve">المرحلة الأولى: الإخطار بالوفاة</w:t>
      </w:r>
    </w:p>
    <w:p>
      <w:pPr>
        <w:pStyle w:val="ListParagraph"/>
        <w:numPr>
          <w:ilvl w:val="0"/>
          <w:numId w:val="3"/>
        </w:numPr>
        <w:bidi/>
        <w:spacing w:after="100" w:line="300"/>
        <w:jc w:val="right"/>
      </w:pPr>
      <w:r>
        <w:rPr>
          <w:rFonts w:ascii="Arial" w:cs="Arial" w:eastAsia="Arial" w:hAnsi="Arial"/>
          <w:sz w:val="24"/>
          <w:szCs w:val="24"/>
          <w:rtl/>
        </w:rPr>
        <w:t xml:space="preserve">استلام الشركة إخطاراً رسمياً بوفاة المساهم (شهادة وفاة).</w:t>
      </w:r>
    </w:p>
    <w:p>
      <w:pPr>
        <w:pStyle w:val="ListParagraph"/>
        <w:numPr>
          <w:ilvl w:val="0"/>
          <w:numId w:val="3"/>
        </w:numPr>
        <w:bidi/>
        <w:spacing w:after="100" w:line="300"/>
        <w:jc w:val="right"/>
      </w:pPr>
      <w:r>
        <w:rPr>
          <w:rFonts w:ascii="Arial" w:cs="Arial" w:eastAsia="Arial" w:hAnsi="Arial"/>
          <w:sz w:val="24"/>
          <w:szCs w:val="24"/>
          <w:rtl/>
        </w:rPr>
        <w:t xml:space="preserve">تعليق فوري للعمليات على الأسهم المعنية.</w:t>
      </w:r>
    </w:p>
    <w:p>
      <w:pPr>
        <w:pStyle w:val="ListParagraph"/>
        <w:numPr>
          <w:ilvl w:val="0"/>
          <w:numId w:val="3"/>
        </w:numPr>
        <w:bidi/>
        <w:spacing w:after="100" w:line="300"/>
        <w:jc w:val="right"/>
      </w:pPr>
      <w:r>
        <w:rPr>
          <w:rFonts w:ascii="Arial" w:cs="Arial" w:eastAsia="Arial" w:hAnsi="Arial"/>
          <w:sz w:val="24"/>
          <w:szCs w:val="24"/>
          <w:rtl/>
        </w:rPr>
        <w:t xml:space="preserve">إنشاء ملف خاص بالحالة.</w:t>
      </w:r>
    </w:p>
    <w:p>
      <w:pPr>
        <w:pStyle w:val="ListParagraph"/>
        <w:numPr>
          <w:ilvl w:val="0"/>
          <w:numId w:val="3"/>
        </w:numPr>
        <w:bidi/>
        <w:spacing w:after="100" w:line="300"/>
        <w:jc w:val="right"/>
      </w:pPr>
      <w:r>
        <w:rPr>
          <w:rFonts w:ascii="Arial" w:cs="Arial" w:eastAsia="Arial" w:hAnsi="Arial"/>
          <w:sz w:val="24"/>
          <w:szCs w:val="24"/>
          <w:rtl/>
        </w:rPr>
        <w:t xml:space="preserve">إخطار الجهات ذات العلاقة (مركز إيداع للشركات المدرجة).</w:t>
      </w:r>
    </w:p>
    <w:p>
      <w:pPr>
        <w:pStyle w:val="ListParagraph"/>
        <w:numPr>
          <w:ilvl w:val="0"/>
          <w:numId w:val="3"/>
        </w:numPr>
        <w:bidi/>
        <w:spacing w:after="100" w:line="300"/>
        <w:jc w:val="right"/>
      </w:pPr>
      <w:r>
        <w:rPr>
          <w:rFonts w:ascii="Arial" w:cs="Arial" w:eastAsia="Arial" w:hAnsi="Arial"/>
          <w:sz w:val="24"/>
          <w:szCs w:val="24"/>
          <w:rtl/>
        </w:rPr>
        <w:t xml:space="preserve">إيقاف صرف أي توزيعات أرباح حتى استكمال الإجراءات.</w:t>
      </w:r>
    </w:p>
    <w:p>
      <w:pPr>
        <w:pStyle w:val="Heading2"/>
        <w:bidi/>
        <w:spacing w:after="160" w:before="280"/>
        <w:jc w:val="right"/>
      </w:pPr>
      <w:r>
        <w:rPr>
          <w:rFonts w:ascii="Arial" w:cs="Arial" w:eastAsia="Arial" w:hAnsi="Arial"/>
          <w:b/>
          <w:bCs/>
          <w:color w:val="2E75B6"/>
          <w:sz w:val="30"/>
          <w:szCs w:val="30"/>
          <w:rtl/>
        </w:rPr>
        <w:t xml:space="preserve">المرحلة الثانية: استكمال الوثائق</w:t>
      </w:r>
    </w:p>
    <w:p>
      <w:pPr>
        <w:pStyle w:val="Heading3"/>
        <w:bidi/>
        <w:spacing w:after="120" w:before="200"/>
        <w:jc w:val="right"/>
      </w:pPr>
      <w:r>
        <w:rPr>
          <w:rFonts w:ascii="Arial" w:cs="Arial" w:eastAsia="Arial" w:hAnsi="Arial"/>
          <w:b/>
          <w:bCs/>
          <w:color w:val="1F4E79"/>
          <w:sz w:val="26"/>
          <w:szCs w:val="26"/>
          <w:rtl/>
        </w:rPr>
        <w:t xml:space="preserve">الوثائق المطلوبة من الورثة</w:t>
      </w:r>
    </w:p>
    <w:p>
      <w:pPr>
        <w:pStyle w:val="ListParagraph"/>
        <w:numPr>
          <w:ilvl w:val="0"/>
          <w:numId w:val="2"/>
        </w:numPr>
        <w:bidi/>
        <w:spacing w:after="100" w:line="300"/>
        <w:jc w:val="right"/>
      </w:pPr>
      <w:r>
        <w:rPr>
          <w:rFonts w:ascii="Arial" w:cs="Arial" w:eastAsia="Arial" w:hAnsi="Arial"/>
          <w:sz w:val="24"/>
          <w:szCs w:val="24"/>
          <w:rtl/>
        </w:rPr>
        <w:t xml:space="preserve">شهادة الوفاة الأصلية.</w:t>
      </w:r>
    </w:p>
    <w:p>
      <w:pPr>
        <w:pStyle w:val="ListParagraph"/>
        <w:numPr>
          <w:ilvl w:val="0"/>
          <w:numId w:val="2"/>
        </w:numPr>
        <w:bidi/>
        <w:spacing w:after="100" w:line="300"/>
        <w:jc w:val="right"/>
      </w:pPr>
      <w:r>
        <w:rPr>
          <w:rFonts w:ascii="Arial" w:cs="Arial" w:eastAsia="Arial" w:hAnsi="Arial"/>
          <w:sz w:val="24"/>
          <w:szCs w:val="24"/>
          <w:rtl/>
        </w:rPr>
        <w:t xml:space="preserve">صك حصر الإرث المعتمد من المحكمة المختصة.</w:t>
      </w:r>
    </w:p>
    <w:p>
      <w:pPr>
        <w:pStyle w:val="ListParagraph"/>
        <w:numPr>
          <w:ilvl w:val="0"/>
          <w:numId w:val="2"/>
        </w:numPr>
        <w:bidi/>
        <w:spacing w:after="100" w:line="300"/>
        <w:jc w:val="right"/>
      </w:pPr>
      <w:r>
        <w:rPr>
          <w:rFonts w:ascii="Arial" w:cs="Arial" w:eastAsia="Arial" w:hAnsi="Arial"/>
          <w:sz w:val="24"/>
          <w:szCs w:val="24"/>
          <w:rtl/>
        </w:rPr>
        <w:t xml:space="preserve">صك قسمة الورثة (إن وُجد) أو اتفاق قسمة موثق.</w:t>
      </w:r>
    </w:p>
    <w:p>
      <w:pPr>
        <w:pStyle w:val="ListParagraph"/>
        <w:numPr>
          <w:ilvl w:val="0"/>
          <w:numId w:val="2"/>
        </w:numPr>
        <w:bidi/>
        <w:spacing w:after="100" w:line="300"/>
        <w:jc w:val="right"/>
      </w:pPr>
      <w:r>
        <w:rPr>
          <w:rFonts w:ascii="Arial" w:cs="Arial" w:eastAsia="Arial" w:hAnsi="Arial"/>
          <w:sz w:val="24"/>
          <w:szCs w:val="24"/>
          <w:rtl/>
        </w:rPr>
        <w:t xml:space="preserve">صور من هويات جميع الورثة.</w:t>
      </w:r>
    </w:p>
    <w:p>
      <w:pPr>
        <w:pStyle w:val="ListParagraph"/>
        <w:numPr>
          <w:ilvl w:val="0"/>
          <w:numId w:val="2"/>
        </w:numPr>
        <w:bidi/>
        <w:spacing w:after="100" w:line="300"/>
        <w:jc w:val="right"/>
      </w:pPr>
      <w:r>
        <w:rPr>
          <w:rFonts w:ascii="Arial" w:cs="Arial" w:eastAsia="Arial" w:hAnsi="Arial"/>
          <w:sz w:val="24"/>
          <w:szCs w:val="24"/>
          <w:rtl/>
        </w:rPr>
        <w:t xml:space="preserve">توكيلات نظامية من الورثة لشخص واحد للتواصل مع الشركة (إن أمكن).</w:t>
      </w:r>
    </w:p>
    <w:p>
      <w:pPr>
        <w:pStyle w:val="ListParagraph"/>
        <w:numPr>
          <w:ilvl w:val="0"/>
          <w:numId w:val="2"/>
        </w:numPr>
        <w:bidi/>
        <w:spacing w:after="100" w:line="300"/>
        <w:jc w:val="right"/>
      </w:pPr>
      <w:r>
        <w:rPr>
          <w:rFonts w:ascii="Arial" w:cs="Arial" w:eastAsia="Arial" w:hAnsi="Arial"/>
          <w:sz w:val="24"/>
          <w:szCs w:val="24"/>
          <w:rtl/>
        </w:rPr>
        <w:t xml:space="preserve">حصر شامل لأموال المتوفى في الشركة (شهادات أسهم، حسابات، أرباح مستحقة).</w:t>
      </w:r>
    </w:p>
    <w:p>
      <w:pPr>
        <w:pStyle w:val="Heading2"/>
        <w:bidi/>
        <w:spacing w:after="160" w:before="280"/>
        <w:jc w:val="right"/>
      </w:pPr>
      <w:r>
        <w:rPr>
          <w:rFonts w:ascii="Arial" w:cs="Arial" w:eastAsia="Arial" w:hAnsi="Arial"/>
          <w:b/>
          <w:bCs/>
          <w:color w:val="2E75B6"/>
          <w:sz w:val="30"/>
          <w:szCs w:val="30"/>
          <w:rtl/>
        </w:rPr>
        <w:t xml:space="preserve">المرحلة الثالثة: حساب الأنصبة</w:t>
      </w:r>
    </w:p>
    <w:p>
      <w:pPr>
        <w:bidi/>
        <w:spacing w:after="140" w:line="320"/>
        <w:jc w:val="both"/>
      </w:pPr>
      <w:r>
        <w:rPr>
          <w:rFonts w:ascii="Arial" w:cs="Arial" w:eastAsia="Arial" w:hAnsi="Arial"/>
          <w:sz w:val="24"/>
          <w:szCs w:val="24"/>
          <w:rtl/>
        </w:rPr>
        <w:t xml:space="preserve">تُحسب أنصبة الورثة وفق الشرعة الإسلامية كما هو موضح في صك حصر الإرث. وعند التطبيق على الأسهم:</w:t>
      </w:r>
    </w:p>
    <w:p>
      <w:pPr>
        <w:pStyle w:val="ListParagraph"/>
        <w:numPr>
          <w:ilvl w:val="0"/>
          <w:numId w:val="3"/>
        </w:numPr>
        <w:bidi/>
        <w:spacing w:after="100" w:line="300"/>
        <w:jc w:val="right"/>
      </w:pPr>
      <w:r>
        <w:rPr>
          <w:rFonts w:ascii="Arial" w:cs="Arial" w:eastAsia="Arial" w:hAnsi="Arial"/>
          <w:sz w:val="24"/>
          <w:szCs w:val="24"/>
          <w:rtl/>
        </w:rPr>
        <w:t xml:space="preserve">تحديد إجمالي الأسهم المتروكة.</w:t>
      </w:r>
    </w:p>
    <w:p>
      <w:pPr>
        <w:pStyle w:val="ListParagraph"/>
        <w:numPr>
          <w:ilvl w:val="0"/>
          <w:numId w:val="3"/>
        </w:numPr>
        <w:bidi/>
        <w:spacing w:after="100" w:line="300"/>
        <w:jc w:val="right"/>
      </w:pPr>
      <w:r>
        <w:rPr>
          <w:rFonts w:ascii="Arial" w:cs="Arial" w:eastAsia="Arial" w:hAnsi="Arial"/>
          <w:sz w:val="24"/>
          <w:szCs w:val="24"/>
          <w:rtl/>
        </w:rPr>
        <w:t xml:space="preserve">تطبيق نسب الإرث على هذا الإجمالي.</w:t>
      </w:r>
    </w:p>
    <w:p>
      <w:pPr>
        <w:pStyle w:val="ListParagraph"/>
        <w:numPr>
          <w:ilvl w:val="0"/>
          <w:numId w:val="3"/>
        </w:numPr>
        <w:bidi/>
        <w:spacing w:after="100" w:line="300"/>
        <w:jc w:val="right"/>
      </w:pPr>
      <w:r>
        <w:rPr>
          <w:rFonts w:ascii="Arial" w:cs="Arial" w:eastAsia="Arial" w:hAnsi="Arial"/>
          <w:sz w:val="24"/>
          <w:szCs w:val="24"/>
          <w:rtl/>
        </w:rPr>
        <w:t xml:space="preserve">التعامل مع الكسور إما بالتقريب وفق اتفاق الورثة، أو بإبقاء الكسر.</w:t>
      </w:r>
    </w:p>
    <w:p>
      <w:pPr>
        <w:pStyle w:val="ListParagraph"/>
        <w:numPr>
          <w:ilvl w:val="0"/>
          <w:numId w:val="3"/>
        </w:numPr>
        <w:bidi/>
        <w:spacing w:after="100" w:line="300"/>
        <w:jc w:val="right"/>
      </w:pPr>
      <w:r>
        <w:rPr>
          <w:rFonts w:ascii="Arial" w:cs="Arial" w:eastAsia="Arial" w:hAnsi="Arial"/>
          <w:sz w:val="24"/>
          <w:szCs w:val="24"/>
          <w:rtl/>
        </w:rPr>
        <w:t xml:space="preserve">توثيق نصيب كل وارث بدقة.</w:t>
      </w:r>
    </w:p>
    <w:p>
      <w:pPr>
        <w:pStyle w:val="Heading2"/>
        <w:bidi/>
        <w:spacing w:after="160" w:before="280"/>
        <w:jc w:val="right"/>
      </w:pPr>
      <w:r>
        <w:rPr>
          <w:rFonts w:ascii="Arial" w:cs="Arial" w:eastAsia="Arial" w:hAnsi="Arial"/>
          <w:b/>
          <w:bCs/>
          <w:color w:val="2E75B6"/>
          <w:sz w:val="30"/>
          <w:szCs w:val="30"/>
          <w:rtl/>
        </w:rPr>
        <w:t xml:space="preserve">المرحلة الرابعة: تنفيذ التحويل</w:t>
      </w:r>
    </w:p>
    <w:p>
      <w:pPr>
        <w:pStyle w:val="ListParagraph"/>
        <w:numPr>
          <w:ilvl w:val="0"/>
          <w:numId w:val="3"/>
        </w:numPr>
        <w:bidi/>
        <w:spacing w:after="100" w:line="300"/>
        <w:jc w:val="right"/>
      </w:pPr>
      <w:r>
        <w:rPr>
          <w:rFonts w:ascii="Arial" w:cs="Arial" w:eastAsia="Arial" w:hAnsi="Arial"/>
          <w:sz w:val="24"/>
          <w:szCs w:val="24"/>
          <w:rtl/>
        </w:rPr>
        <w:t xml:space="preserve">إدخال بيانات كل وارث في السجل (إن لم يكن مسجلاً سابقاً).</w:t>
      </w:r>
    </w:p>
    <w:p>
      <w:pPr>
        <w:pStyle w:val="ListParagraph"/>
        <w:numPr>
          <w:ilvl w:val="0"/>
          <w:numId w:val="3"/>
        </w:numPr>
        <w:bidi/>
        <w:spacing w:after="100" w:line="300"/>
        <w:jc w:val="right"/>
      </w:pPr>
      <w:r>
        <w:rPr>
          <w:rFonts w:ascii="Arial" w:cs="Arial" w:eastAsia="Arial" w:hAnsi="Arial"/>
          <w:sz w:val="24"/>
          <w:szCs w:val="24"/>
          <w:rtl/>
        </w:rPr>
        <w:t xml:space="preserve">تحويل نصيب كل وارث إلى حسابه.</w:t>
      </w:r>
    </w:p>
    <w:p>
      <w:pPr>
        <w:pStyle w:val="ListParagraph"/>
        <w:numPr>
          <w:ilvl w:val="0"/>
          <w:numId w:val="3"/>
        </w:numPr>
        <w:bidi/>
        <w:spacing w:after="100" w:line="300"/>
        <w:jc w:val="right"/>
      </w:pPr>
      <w:r>
        <w:rPr>
          <w:rFonts w:ascii="Arial" w:cs="Arial" w:eastAsia="Arial" w:hAnsi="Arial"/>
          <w:sz w:val="24"/>
          <w:szCs w:val="24"/>
          <w:rtl/>
        </w:rPr>
        <w:t xml:space="preserve">إصدار شهادات أسهم جديدة باسم كل وارث (إن كان النظام يستلزم ذلك).</w:t>
      </w:r>
    </w:p>
    <w:p>
      <w:pPr>
        <w:pStyle w:val="ListParagraph"/>
        <w:numPr>
          <w:ilvl w:val="0"/>
          <w:numId w:val="3"/>
        </w:numPr>
        <w:bidi/>
        <w:spacing w:after="100" w:line="300"/>
        <w:jc w:val="right"/>
      </w:pPr>
      <w:r>
        <w:rPr>
          <w:rFonts w:ascii="Arial" w:cs="Arial" w:eastAsia="Arial" w:hAnsi="Arial"/>
          <w:sz w:val="24"/>
          <w:szCs w:val="24"/>
          <w:rtl/>
        </w:rPr>
        <w:t xml:space="preserve">تحديث جميع البيانات ذات العلاقة (التواصل، الحساب المصرفي، إلخ).</w:t>
      </w:r>
    </w:p>
    <w:p>
      <w:pPr>
        <w:pStyle w:val="ListParagraph"/>
        <w:numPr>
          <w:ilvl w:val="0"/>
          <w:numId w:val="3"/>
        </w:numPr>
        <w:bidi/>
        <w:spacing w:after="100" w:line="300"/>
        <w:jc w:val="right"/>
      </w:pPr>
      <w:r>
        <w:rPr>
          <w:rFonts w:ascii="Arial" w:cs="Arial" w:eastAsia="Arial" w:hAnsi="Arial"/>
          <w:sz w:val="24"/>
          <w:szCs w:val="24"/>
          <w:rtl/>
        </w:rPr>
        <w:t xml:space="preserve">صرف الأرباح المستحقة قبل الوفاة لكل وارث بنسبة نصيبه.</w:t>
      </w:r>
    </w:p>
    <w:p>
      <w:pPr>
        <w:pStyle w:val="Heading2"/>
        <w:bidi/>
        <w:spacing w:after="160" w:before="280"/>
        <w:jc w:val="right"/>
      </w:pPr>
      <w:r>
        <w:rPr>
          <w:rFonts w:ascii="Arial" w:cs="Arial" w:eastAsia="Arial" w:hAnsi="Arial"/>
          <w:b/>
          <w:bCs/>
          <w:color w:val="2E75B6"/>
          <w:sz w:val="30"/>
          <w:szCs w:val="30"/>
          <w:rtl/>
        </w:rPr>
        <w:t xml:space="preserve">الحالات الاستثنائية في الإرث</w:t>
      </w:r>
    </w:p>
    <w:p>
      <w:pPr>
        <w:pStyle w:val="Heading3"/>
        <w:bidi/>
        <w:spacing w:after="120" w:before="200"/>
        <w:jc w:val="right"/>
      </w:pPr>
      <w:r>
        <w:rPr>
          <w:rFonts w:ascii="Arial" w:cs="Arial" w:eastAsia="Arial" w:hAnsi="Arial"/>
          <w:b/>
          <w:bCs/>
          <w:color w:val="1F4E79"/>
          <w:sz w:val="26"/>
          <w:szCs w:val="26"/>
          <w:rtl/>
        </w:rPr>
        <w:t xml:space="preserve">وفاة وارث قبل قسمة الإرث</w:t>
      </w:r>
    </w:p>
    <w:p>
      <w:pPr>
        <w:bidi/>
        <w:spacing w:after="140" w:line="320"/>
        <w:jc w:val="both"/>
      </w:pPr>
      <w:r>
        <w:rPr>
          <w:rFonts w:ascii="Arial" w:cs="Arial" w:eastAsia="Arial" w:hAnsi="Arial"/>
          <w:sz w:val="24"/>
          <w:szCs w:val="24"/>
          <w:rtl/>
        </w:rPr>
        <w:t xml:space="preserve">إذا توفي أحد الورثة قبل قسمة الإرث، انتقل نصيبه إلى ورثته، مما يستوجب صكاً جديداً لحصر الإرث الثاني والقسمة المركبة.</w:t>
      </w:r>
    </w:p>
    <w:p>
      <w:pPr>
        <w:pStyle w:val="Heading3"/>
        <w:bidi/>
        <w:spacing w:after="120" w:before="200"/>
        <w:jc w:val="right"/>
      </w:pPr>
      <w:r>
        <w:rPr>
          <w:rFonts w:ascii="Arial" w:cs="Arial" w:eastAsia="Arial" w:hAnsi="Arial"/>
          <w:b/>
          <w:bCs/>
          <w:color w:val="1F4E79"/>
          <w:sz w:val="26"/>
          <w:szCs w:val="26"/>
          <w:rtl/>
        </w:rPr>
        <w:t xml:space="preserve">القاصرون والمحجور عليهم</w:t>
      </w:r>
    </w:p>
    <w:p>
      <w:pPr>
        <w:bidi/>
        <w:spacing w:after="140" w:line="320"/>
        <w:jc w:val="both"/>
      </w:pPr>
      <w:r>
        <w:rPr>
          <w:rFonts w:ascii="Arial" w:cs="Arial" w:eastAsia="Arial" w:hAnsi="Arial"/>
          <w:sz w:val="24"/>
          <w:szCs w:val="24"/>
          <w:rtl/>
        </w:rPr>
        <w:t xml:space="preserve">نصيب القاصر يُدار من قبل الولي الشرعي وبعد عمر معين الوصي. ولا يجوز التصرف في الأسهم إلا بإذن من المحكمة المختصة.</w:t>
      </w:r>
    </w:p>
    <w:p>
      <w:pPr>
        <w:pStyle w:val="Heading3"/>
        <w:bidi/>
        <w:spacing w:after="120" w:before="200"/>
        <w:jc w:val="right"/>
      </w:pPr>
      <w:r>
        <w:rPr>
          <w:rFonts w:ascii="Arial" w:cs="Arial" w:eastAsia="Arial" w:hAnsi="Arial"/>
          <w:b/>
          <w:bCs/>
          <w:color w:val="1F4E79"/>
          <w:sz w:val="26"/>
          <w:szCs w:val="26"/>
          <w:rtl/>
        </w:rPr>
        <w:t xml:space="preserve">الورثة المفقودون أو غير المعروفين</w:t>
      </w:r>
    </w:p>
    <w:p>
      <w:pPr>
        <w:bidi/>
        <w:spacing w:after="140" w:line="320"/>
        <w:jc w:val="both"/>
      </w:pPr>
      <w:r>
        <w:rPr>
          <w:rFonts w:ascii="Arial" w:cs="Arial" w:eastAsia="Arial" w:hAnsi="Arial"/>
          <w:sz w:val="24"/>
          <w:szCs w:val="24"/>
          <w:rtl/>
        </w:rPr>
        <w:t xml:space="preserve">في حالة وجود ورثة مفقودين، تُحفظ أنصبتهم وفق الأحكام الشرعية، وتُدار بإشراف المحكمة.</w:t>
      </w:r>
    </w:p>
    <w:p>
      <w:pPr>
        <w:pStyle w:val="Heading3"/>
        <w:bidi/>
        <w:spacing w:after="120" w:before="200"/>
        <w:jc w:val="right"/>
      </w:pPr>
      <w:r>
        <w:rPr>
          <w:rFonts w:ascii="Arial" w:cs="Arial" w:eastAsia="Arial" w:hAnsi="Arial"/>
          <w:b/>
          <w:bCs/>
          <w:color w:val="1F4E79"/>
          <w:sz w:val="26"/>
          <w:szCs w:val="26"/>
          <w:rtl/>
        </w:rPr>
        <w:t xml:space="preserve">الورثة من جنسيات مختلفة</w:t>
      </w:r>
    </w:p>
    <w:p>
      <w:pPr>
        <w:bidi/>
        <w:spacing w:after="140" w:line="320"/>
        <w:jc w:val="both"/>
      </w:pPr>
      <w:r>
        <w:rPr>
          <w:rFonts w:ascii="Arial" w:cs="Arial" w:eastAsia="Arial" w:hAnsi="Arial"/>
          <w:sz w:val="24"/>
          <w:szCs w:val="24"/>
          <w:rtl/>
        </w:rPr>
        <w:t xml:space="preserve">قد تتطلب الإجراءات تصديق الوثائق من السفارات والقنصليات، وتوثيقها وفق الاتفاقيات الدولية.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تنبيه قانوني مهم</w:t>
            </w:r>
          </w:p>
          <w:p>
            <w:pPr>
              <w:bidi/>
              <w:spacing w:line="300"/>
              <w:jc w:val="both"/>
            </w:pPr>
            <w:r>
              <w:rPr>
                <w:rFonts w:ascii="Arial" w:cs="Arial" w:eastAsia="Arial" w:hAnsi="Arial"/>
                <w:sz w:val="24"/>
                <w:szCs w:val="24"/>
                <w:rtl/>
              </w:rPr>
              <w:t xml:space="preserve">يحظر على الشركة قسمة الأسهم بين الورثة قبل استلام صك حصر الإرث والقسمة الرسمية. وأي قسمة بدون مستندات رسمية قد تترتب عليها مسؤولية قانونية على الشركة، خاصةً إذا ظهرت لاحقاً ورثة آخرون.</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الرهن - الإجراءات والضوابط</w:t>
      </w:r>
    </w:p>
    <w:p>
      <w:pPr>
        <w:bidi/>
        <w:spacing w:after="140" w:line="320"/>
        <w:jc w:val="both"/>
      </w:pPr>
      <w:r>
        <w:rPr>
          <w:rFonts w:ascii="Arial" w:cs="Arial" w:eastAsia="Arial" w:hAnsi="Arial"/>
          <w:sz w:val="24"/>
          <w:szCs w:val="24"/>
          <w:rtl/>
        </w:rPr>
        <w:t xml:space="preserve">الرهن هو ضمان عيني يضعه المساهم على أسهمه لمصلحة دائن (المرتهن)، لتأمين سداد دين. ويستوجب إجراءات دقيقة لحماية حقوق جميع الأطراف.</w:t>
      </w:r>
    </w:p>
    <w:p>
      <w:pPr>
        <w:pStyle w:val="Heading2"/>
        <w:bidi/>
        <w:spacing w:after="160" w:before="280"/>
        <w:jc w:val="right"/>
      </w:pPr>
      <w:r>
        <w:rPr>
          <w:rFonts w:ascii="Arial" w:cs="Arial" w:eastAsia="Arial" w:hAnsi="Arial"/>
          <w:b/>
          <w:bCs/>
          <w:color w:val="2E75B6"/>
          <w:sz w:val="30"/>
          <w:szCs w:val="30"/>
          <w:rtl/>
        </w:rPr>
        <w:t xml:space="preserve">ضوابط رهن الأسهم وفقاً للنظام السعودي</w:t>
      </w:r>
    </w:p>
    <w:p>
      <w:pPr>
        <w:pStyle w:val="ListParagraph"/>
        <w:numPr>
          <w:ilvl w:val="0"/>
          <w:numId w:val="3"/>
        </w:numPr>
        <w:bidi/>
        <w:spacing w:after="100" w:line="300"/>
        <w:jc w:val="right"/>
      </w:pPr>
      <w:r>
        <w:rPr>
          <w:rFonts w:ascii="Arial" w:cs="Arial" w:eastAsia="Arial" w:hAnsi="Arial"/>
          <w:sz w:val="24"/>
          <w:szCs w:val="24"/>
          <w:rtl/>
        </w:rPr>
        <w:t xml:space="preserve">لا يجوز رهن الأسهم إلا بعقد مكتوب موثق.</w:t>
      </w:r>
    </w:p>
    <w:p>
      <w:pPr>
        <w:pStyle w:val="ListParagraph"/>
        <w:numPr>
          <w:ilvl w:val="0"/>
          <w:numId w:val="3"/>
        </w:numPr>
        <w:bidi/>
        <w:spacing w:after="100" w:line="300"/>
        <w:jc w:val="right"/>
      </w:pPr>
      <w:r>
        <w:rPr>
          <w:rFonts w:ascii="Arial" w:cs="Arial" w:eastAsia="Arial" w:hAnsi="Arial"/>
          <w:sz w:val="24"/>
          <w:szCs w:val="24"/>
          <w:rtl/>
        </w:rPr>
        <w:t xml:space="preserve">يجب تقديم طلب رهن مشترك من المرتهن والمساهم الراهن إلى الشركة.</w:t>
      </w:r>
    </w:p>
    <w:p>
      <w:pPr>
        <w:pStyle w:val="ListParagraph"/>
        <w:numPr>
          <w:ilvl w:val="0"/>
          <w:numId w:val="3"/>
        </w:numPr>
        <w:bidi/>
        <w:spacing w:after="100" w:line="300"/>
        <w:jc w:val="right"/>
      </w:pPr>
      <w:r>
        <w:rPr>
          <w:rFonts w:ascii="Arial" w:cs="Arial" w:eastAsia="Arial" w:hAnsi="Arial"/>
          <w:sz w:val="24"/>
          <w:szCs w:val="24"/>
          <w:rtl/>
        </w:rPr>
        <w:t xml:space="preserve">يجب أن تكون التوقيعات مصدّقة من جهة معتمدة.</w:t>
      </w:r>
    </w:p>
    <w:p>
      <w:pPr>
        <w:pStyle w:val="ListParagraph"/>
        <w:numPr>
          <w:ilvl w:val="0"/>
          <w:numId w:val="3"/>
        </w:numPr>
        <w:bidi/>
        <w:spacing w:after="100" w:line="300"/>
        <w:jc w:val="right"/>
      </w:pPr>
      <w:r>
        <w:rPr>
          <w:rFonts w:ascii="Arial" w:cs="Arial" w:eastAsia="Arial" w:hAnsi="Arial"/>
          <w:sz w:val="24"/>
          <w:szCs w:val="24"/>
          <w:rtl/>
        </w:rPr>
        <w:t xml:space="preserve">يُؤشَّر على الأسهم المرهونة في السجل بما يفيد الرهن.</w:t>
      </w:r>
    </w:p>
    <w:p>
      <w:pPr>
        <w:pStyle w:val="ListParagraph"/>
        <w:numPr>
          <w:ilvl w:val="0"/>
          <w:numId w:val="3"/>
        </w:numPr>
        <w:bidi/>
        <w:spacing w:after="100" w:line="300"/>
        <w:jc w:val="right"/>
      </w:pPr>
      <w:r>
        <w:rPr>
          <w:rFonts w:ascii="Arial" w:cs="Arial" w:eastAsia="Arial" w:hAnsi="Arial"/>
          <w:sz w:val="24"/>
          <w:szCs w:val="24"/>
          <w:rtl/>
        </w:rPr>
        <w:t xml:space="preserve">لا يجوز التصرف في الأسهم المرهونة دون موافقة المرتهن.</w:t>
      </w:r>
    </w:p>
    <w:p>
      <w:pPr>
        <w:pStyle w:val="ListParagraph"/>
        <w:numPr>
          <w:ilvl w:val="0"/>
          <w:numId w:val="3"/>
        </w:numPr>
        <w:bidi/>
        <w:spacing w:after="100" w:line="300"/>
        <w:jc w:val="right"/>
      </w:pPr>
      <w:r>
        <w:rPr>
          <w:rFonts w:ascii="Arial" w:cs="Arial" w:eastAsia="Arial" w:hAnsi="Arial"/>
          <w:sz w:val="24"/>
          <w:szCs w:val="24"/>
          <w:rtl/>
        </w:rPr>
        <w:t xml:space="preserve">تستمر الحقوق غير المالية للراهن (التصويت) ما لم يتفق الطرفان على خلاف ذلك.</w:t>
      </w:r>
    </w:p>
    <w:p>
      <w:pPr>
        <w:pStyle w:val="Heading2"/>
        <w:bidi/>
        <w:spacing w:after="160" w:before="280"/>
        <w:jc w:val="right"/>
      </w:pPr>
      <w:r>
        <w:rPr>
          <w:rFonts w:ascii="Arial" w:cs="Arial" w:eastAsia="Arial" w:hAnsi="Arial"/>
          <w:b/>
          <w:bCs/>
          <w:color w:val="2E75B6"/>
          <w:sz w:val="30"/>
          <w:szCs w:val="30"/>
          <w:rtl/>
        </w:rPr>
        <w:t xml:space="preserve">بيانات الواجب تضمينها في طلب الرهن</w:t>
      </w:r>
    </w:p>
    <w:p>
      <w:pPr>
        <w:pStyle w:val="ListParagraph"/>
        <w:numPr>
          <w:ilvl w:val="0"/>
          <w:numId w:val="2"/>
        </w:numPr>
        <w:bidi/>
        <w:spacing w:after="100" w:line="300"/>
        <w:jc w:val="right"/>
      </w:pPr>
      <w:r>
        <w:rPr>
          <w:rFonts w:ascii="Arial" w:cs="Arial" w:eastAsia="Arial" w:hAnsi="Arial"/>
          <w:sz w:val="24"/>
          <w:szCs w:val="24"/>
          <w:rtl/>
        </w:rPr>
        <w:t xml:space="preserve">بيانات المرتهن (الاسم، الهوية، العنوان، بيانات التواصل).</w:t>
      </w:r>
    </w:p>
    <w:p>
      <w:pPr>
        <w:pStyle w:val="ListParagraph"/>
        <w:numPr>
          <w:ilvl w:val="0"/>
          <w:numId w:val="2"/>
        </w:numPr>
        <w:bidi/>
        <w:spacing w:after="100" w:line="300"/>
        <w:jc w:val="right"/>
      </w:pPr>
      <w:r>
        <w:rPr>
          <w:rFonts w:ascii="Arial" w:cs="Arial" w:eastAsia="Arial" w:hAnsi="Arial"/>
          <w:sz w:val="24"/>
          <w:szCs w:val="24"/>
          <w:rtl/>
        </w:rPr>
        <w:t xml:space="preserve">بيانات المساهم الراهن (الاسم، الهوية، العنوان).</w:t>
      </w:r>
    </w:p>
    <w:p>
      <w:pPr>
        <w:pStyle w:val="ListParagraph"/>
        <w:numPr>
          <w:ilvl w:val="0"/>
          <w:numId w:val="2"/>
        </w:numPr>
        <w:bidi/>
        <w:spacing w:after="100" w:line="300"/>
        <w:jc w:val="right"/>
      </w:pPr>
      <w:r>
        <w:rPr>
          <w:rFonts w:ascii="Arial" w:cs="Arial" w:eastAsia="Arial" w:hAnsi="Arial"/>
          <w:sz w:val="24"/>
          <w:szCs w:val="24"/>
          <w:rtl/>
        </w:rPr>
        <w:t xml:space="preserve">عدد الأسهم المرهونة وقيمتها وأرقامها.</w:t>
      </w:r>
    </w:p>
    <w:p>
      <w:pPr>
        <w:pStyle w:val="ListParagraph"/>
        <w:numPr>
          <w:ilvl w:val="0"/>
          <w:numId w:val="2"/>
        </w:numPr>
        <w:bidi/>
        <w:spacing w:after="100" w:line="300"/>
        <w:jc w:val="right"/>
      </w:pPr>
      <w:r>
        <w:rPr>
          <w:rFonts w:ascii="Arial" w:cs="Arial" w:eastAsia="Arial" w:hAnsi="Arial"/>
          <w:sz w:val="24"/>
          <w:szCs w:val="24"/>
          <w:rtl/>
        </w:rPr>
        <w:t xml:space="preserve">الشركة المصدرة لها ورقم سجلها التجاري.</w:t>
      </w:r>
    </w:p>
    <w:p>
      <w:pPr>
        <w:pStyle w:val="ListParagraph"/>
        <w:numPr>
          <w:ilvl w:val="0"/>
          <w:numId w:val="2"/>
        </w:numPr>
        <w:bidi/>
        <w:spacing w:after="100" w:line="300"/>
        <w:jc w:val="right"/>
      </w:pPr>
      <w:r>
        <w:rPr>
          <w:rFonts w:ascii="Arial" w:cs="Arial" w:eastAsia="Arial" w:hAnsi="Arial"/>
          <w:sz w:val="24"/>
          <w:szCs w:val="24"/>
          <w:rtl/>
        </w:rPr>
        <w:t xml:space="preserve">مقدار الدين المضمون بالرهن.</w:t>
      </w:r>
    </w:p>
    <w:p>
      <w:pPr>
        <w:pStyle w:val="ListParagraph"/>
        <w:numPr>
          <w:ilvl w:val="0"/>
          <w:numId w:val="2"/>
        </w:numPr>
        <w:bidi/>
        <w:spacing w:after="100" w:line="300"/>
        <w:jc w:val="right"/>
      </w:pPr>
      <w:r>
        <w:rPr>
          <w:rFonts w:ascii="Arial" w:cs="Arial" w:eastAsia="Arial" w:hAnsi="Arial"/>
          <w:sz w:val="24"/>
          <w:szCs w:val="24"/>
          <w:rtl/>
        </w:rPr>
        <w:t xml:space="preserve">الحد الأقصى الذي ينتهي إليه الدين (إن وُجد).</w:t>
      </w:r>
    </w:p>
    <w:p>
      <w:pPr>
        <w:pStyle w:val="ListParagraph"/>
        <w:numPr>
          <w:ilvl w:val="0"/>
          <w:numId w:val="2"/>
        </w:numPr>
        <w:bidi/>
        <w:spacing w:after="100" w:line="300"/>
        <w:jc w:val="right"/>
      </w:pPr>
      <w:r>
        <w:rPr>
          <w:rFonts w:ascii="Arial" w:cs="Arial" w:eastAsia="Arial" w:hAnsi="Arial"/>
          <w:sz w:val="24"/>
          <w:szCs w:val="24"/>
          <w:rtl/>
        </w:rPr>
        <w:t xml:space="preserve">تاريخ بداية الرهن.</w:t>
      </w:r>
    </w:p>
    <w:p>
      <w:pPr>
        <w:pStyle w:val="ListParagraph"/>
        <w:numPr>
          <w:ilvl w:val="0"/>
          <w:numId w:val="2"/>
        </w:numPr>
        <w:bidi/>
        <w:spacing w:after="100" w:line="300"/>
        <w:jc w:val="right"/>
      </w:pPr>
      <w:r>
        <w:rPr>
          <w:rFonts w:ascii="Arial" w:cs="Arial" w:eastAsia="Arial" w:hAnsi="Arial"/>
          <w:sz w:val="24"/>
          <w:szCs w:val="24"/>
          <w:rtl/>
        </w:rPr>
        <w:t xml:space="preserve">الشروط الخاصة بالرهن.</w:t>
      </w:r>
    </w:p>
    <w:p>
      <w:pPr>
        <w:pStyle w:val="Heading2"/>
        <w:bidi/>
        <w:spacing w:after="160" w:before="280"/>
        <w:jc w:val="right"/>
      </w:pPr>
      <w:r>
        <w:rPr>
          <w:rFonts w:ascii="Arial" w:cs="Arial" w:eastAsia="Arial" w:hAnsi="Arial"/>
          <w:b/>
          <w:bCs/>
          <w:color w:val="2E75B6"/>
          <w:sz w:val="30"/>
          <w:szCs w:val="30"/>
          <w:rtl/>
        </w:rPr>
        <w:t xml:space="preserve">جهات تصديق التوقيعات المعتمدة</w:t>
      </w:r>
    </w:p>
    <w:p>
      <w:pPr>
        <w:pStyle w:val="ListParagraph"/>
        <w:numPr>
          <w:ilvl w:val="0"/>
          <w:numId w:val="2"/>
        </w:numPr>
        <w:bidi/>
        <w:spacing w:after="100" w:line="300"/>
        <w:jc w:val="right"/>
      </w:pPr>
      <w:r>
        <w:rPr>
          <w:rFonts w:ascii="Arial" w:cs="Arial" w:eastAsia="Arial" w:hAnsi="Arial"/>
          <w:sz w:val="24"/>
          <w:szCs w:val="24"/>
          <w:rtl/>
        </w:rPr>
        <w:t xml:space="preserve">هيئة السوق المالية (للشركات المدرجة).</w:t>
      </w:r>
    </w:p>
    <w:p>
      <w:pPr>
        <w:pStyle w:val="ListParagraph"/>
        <w:numPr>
          <w:ilvl w:val="0"/>
          <w:numId w:val="2"/>
        </w:numPr>
        <w:bidi/>
        <w:spacing w:after="100" w:line="300"/>
        <w:jc w:val="right"/>
      </w:pPr>
      <w:r>
        <w:rPr>
          <w:rFonts w:ascii="Arial" w:cs="Arial" w:eastAsia="Arial" w:hAnsi="Arial"/>
          <w:sz w:val="24"/>
          <w:szCs w:val="24"/>
          <w:rtl/>
        </w:rPr>
        <w:t xml:space="preserve">مكاتب كتاب العدل.</w:t>
      </w:r>
    </w:p>
    <w:p>
      <w:pPr>
        <w:pStyle w:val="ListParagraph"/>
        <w:numPr>
          <w:ilvl w:val="0"/>
          <w:numId w:val="2"/>
        </w:numPr>
        <w:bidi/>
        <w:spacing w:after="100" w:line="300"/>
        <w:jc w:val="right"/>
      </w:pPr>
      <w:r>
        <w:rPr>
          <w:rFonts w:ascii="Arial" w:cs="Arial" w:eastAsia="Arial" w:hAnsi="Arial"/>
          <w:sz w:val="24"/>
          <w:szCs w:val="24"/>
          <w:rtl/>
        </w:rPr>
        <w:t xml:space="preserve">الأشخاص المرخص لهم بأعمال التوثيق.</w:t>
      </w:r>
    </w:p>
    <w:p>
      <w:pPr>
        <w:pStyle w:val="ListParagraph"/>
        <w:numPr>
          <w:ilvl w:val="0"/>
          <w:numId w:val="2"/>
        </w:numPr>
        <w:bidi/>
        <w:spacing w:after="100" w:line="300"/>
        <w:jc w:val="right"/>
      </w:pPr>
      <w:r>
        <w:rPr>
          <w:rFonts w:ascii="Arial" w:cs="Arial" w:eastAsia="Arial" w:hAnsi="Arial"/>
          <w:sz w:val="24"/>
          <w:szCs w:val="24"/>
          <w:rtl/>
        </w:rPr>
        <w:t xml:space="preserve">ممثليات المملكة في الخارج (للمقيمين خارج المملكة).</w:t>
      </w:r>
    </w:p>
    <w:p>
      <w:pPr>
        <w:pStyle w:val="Heading2"/>
        <w:bidi/>
        <w:spacing w:after="160" w:before="280"/>
        <w:jc w:val="right"/>
      </w:pPr>
      <w:r>
        <w:rPr>
          <w:rFonts w:ascii="Arial" w:cs="Arial" w:eastAsia="Arial" w:hAnsi="Arial"/>
          <w:b/>
          <w:bCs/>
          <w:color w:val="2E75B6"/>
          <w:sz w:val="30"/>
          <w:szCs w:val="30"/>
          <w:rtl/>
        </w:rPr>
        <w:t xml:space="preserve">إجراءات تنفيذ الرهن</w:t>
      </w:r>
    </w:p>
    <w:p>
      <w:pPr>
        <w:pStyle w:val="ListParagraph"/>
        <w:numPr>
          <w:ilvl w:val="0"/>
          <w:numId w:val="3"/>
        </w:numPr>
        <w:bidi/>
        <w:spacing w:after="100" w:line="300"/>
        <w:jc w:val="right"/>
      </w:pPr>
      <w:r>
        <w:rPr>
          <w:rFonts w:ascii="Arial" w:cs="Arial" w:eastAsia="Arial" w:hAnsi="Arial"/>
          <w:sz w:val="24"/>
          <w:szCs w:val="24"/>
          <w:rtl/>
        </w:rPr>
        <w:t xml:space="preserve">استلام طلب الرهن المستوفي للشروط.</w:t>
      </w:r>
    </w:p>
    <w:p>
      <w:pPr>
        <w:pStyle w:val="ListParagraph"/>
        <w:numPr>
          <w:ilvl w:val="0"/>
          <w:numId w:val="3"/>
        </w:numPr>
        <w:bidi/>
        <w:spacing w:after="100" w:line="300"/>
        <w:jc w:val="right"/>
      </w:pPr>
      <w:r>
        <w:rPr>
          <w:rFonts w:ascii="Arial" w:cs="Arial" w:eastAsia="Arial" w:hAnsi="Arial"/>
          <w:sz w:val="24"/>
          <w:szCs w:val="24"/>
          <w:rtl/>
        </w:rPr>
        <w:t xml:space="preserve">التحقق من اكتمال البيانات وصحة الوثائق.</w:t>
      </w:r>
    </w:p>
    <w:p>
      <w:pPr>
        <w:pStyle w:val="ListParagraph"/>
        <w:numPr>
          <w:ilvl w:val="0"/>
          <w:numId w:val="3"/>
        </w:numPr>
        <w:bidi/>
        <w:spacing w:after="100" w:line="300"/>
        <w:jc w:val="right"/>
      </w:pPr>
      <w:r>
        <w:rPr>
          <w:rFonts w:ascii="Arial" w:cs="Arial" w:eastAsia="Arial" w:hAnsi="Arial"/>
          <w:sz w:val="24"/>
          <w:szCs w:val="24"/>
          <w:rtl/>
        </w:rPr>
        <w:t xml:space="preserve">التحقق من تصديق التوقيعات.</w:t>
      </w:r>
    </w:p>
    <w:p>
      <w:pPr>
        <w:pStyle w:val="ListParagraph"/>
        <w:numPr>
          <w:ilvl w:val="0"/>
          <w:numId w:val="3"/>
        </w:numPr>
        <w:bidi/>
        <w:spacing w:after="100" w:line="300"/>
        <w:jc w:val="right"/>
      </w:pPr>
      <w:r>
        <w:rPr>
          <w:rFonts w:ascii="Arial" w:cs="Arial" w:eastAsia="Arial" w:hAnsi="Arial"/>
          <w:sz w:val="24"/>
          <w:szCs w:val="24"/>
          <w:rtl/>
        </w:rPr>
        <w:t xml:space="preserve">التحقق من عدم وجود قيود تمنع الرهن (كرهن سابق أو حجز).</w:t>
      </w:r>
    </w:p>
    <w:p>
      <w:pPr>
        <w:pStyle w:val="ListParagraph"/>
        <w:numPr>
          <w:ilvl w:val="0"/>
          <w:numId w:val="3"/>
        </w:numPr>
        <w:bidi/>
        <w:spacing w:after="100" w:line="300"/>
        <w:jc w:val="right"/>
      </w:pPr>
      <w:r>
        <w:rPr>
          <w:rFonts w:ascii="Arial" w:cs="Arial" w:eastAsia="Arial" w:hAnsi="Arial"/>
          <w:sz w:val="24"/>
          <w:szCs w:val="24"/>
          <w:rtl/>
        </w:rPr>
        <w:t xml:space="preserve">التأشير في السجل ببيانات الرهن.</w:t>
      </w:r>
    </w:p>
    <w:p>
      <w:pPr>
        <w:pStyle w:val="ListParagraph"/>
        <w:numPr>
          <w:ilvl w:val="0"/>
          <w:numId w:val="3"/>
        </w:numPr>
        <w:bidi/>
        <w:spacing w:after="100" w:line="300"/>
        <w:jc w:val="right"/>
      </w:pPr>
      <w:r>
        <w:rPr>
          <w:rFonts w:ascii="Arial" w:cs="Arial" w:eastAsia="Arial" w:hAnsi="Arial"/>
          <w:sz w:val="24"/>
          <w:szCs w:val="24"/>
          <w:rtl/>
        </w:rPr>
        <w:t xml:space="preserve">إصدار إشعار بإتمام الرهن للأطراف.</w:t>
      </w:r>
    </w:p>
    <w:p>
      <w:pPr>
        <w:pStyle w:val="ListParagraph"/>
        <w:numPr>
          <w:ilvl w:val="0"/>
          <w:numId w:val="3"/>
        </w:numPr>
        <w:bidi/>
        <w:spacing w:after="100" w:line="300"/>
        <w:jc w:val="right"/>
      </w:pPr>
      <w:r>
        <w:rPr>
          <w:rFonts w:ascii="Arial" w:cs="Arial" w:eastAsia="Arial" w:hAnsi="Arial"/>
          <w:sz w:val="24"/>
          <w:szCs w:val="24"/>
          <w:rtl/>
        </w:rPr>
        <w:t xml:space="preserve">توثيق العملية في السجل التشغيلي.</w:t>
      </w:r>
    </w:p>
    <w:p>
      <w:pPr>
        <w:pStyle w:val="Heading2"/>
        <w:bidi/>
        <w:spacing w:after="160" w:before="280"/>
        <w:jc w:val="right"/>
      </w:pPr>
      <w:r>
        <w:rPr>
          <w:rFonts w:ascii="Arial" w:cs="Arial" w:eastAsia="Arial" w:hAnsi="Arial"/>
          <w:b/>
          <w:bCs/>
          <w:color w:val="2E75B6"/>
          <w:sz w:val="30"/>
          <w:szCs w:val="30"/>
          <w:rtl/>
        </w:rPr>
        <w:t xml:space="preserve">إجراءات فك الرهن</w:t>
      </w:r>
    </w:p>
    <w:p>
      <w:pPr>
        <w:pStyle w:val="ListParagraph"/>
        <w:numPr>
          <w:ilvl w:val="0"/>
          <w:numId w:val="3"/>
        </w:numPr>
        <w:bidi/>
        <w:spacing w:after="100" w:line="300"/>
        <w:jc w:val="right"/>
      </w:pPr>
      <w:r>
        <w:rPr>
          <w:rFonts w:ascii="Arial" w:cs="Arial" w:eastAsia="Arial" w:hAnsi="Arial"/>
          <w:sz w:val="24"/>
          <w:szCs w:val="24"/>
          <w:rtl/>
        </w:rPr>
        <w:t xml:space="preserve">تقديم نموذج فك الرهن من المرتهن إلى الشركة.</w:t>
      </w:r>
    </w:p>
    <w:p>
      <w:pPr>
        <w:pStyle w:val="ListParagraph"/>
        <w:numPr>
          <w:ilvl w:val="0"/>
          <w:numId w:val="3"/>
        </w:numPr>
        <w:bidi/>
        <w:spacing w:after="100" w:line="300"/>
        <w:jc w:val="right"/>
      </w:pPr>
      <w:r>
        <w:rPr>
          <w:rFonts w:ascii="Arial" w:cs="Arial" w:eastAsia="Arial" w:hAnsi="Arial"/>
          <w:sz w:val="24"/>
          <w:szCs w:val="24"/>
          <w:rtl/>
        </w:rPr>
        <w:t xml:space="preserve">توثيق توقيع المرتهن لدى الجهات المعتمدة.</w:t>
      </w:r>
    </w:p>
    <w:p>
      <w:pPr>
        <w:pStyle w:val="ListParagraph"/>
        <w:numPr>
          <w:ilvl w:val="0"/>
          <w:numId w:val="3"/>
        </w:numPr>
        <w:bidi/>
        <w:spacing w:after="100" w:line="300"/>
        <w:jc w:val="right"/>
      </w:pPr>
      <w:r>
        <w:rPr>
          <w:rFonts w:ascii="Arial" w:cs="Arial" w:eastAsia="Arial" w:hAnsi="Arial"/>
          <w:sz w:val="24"/>
          <w:szCs w:val="24"/>
          <w:rtl/>
        </w:rPr>
        <w:t xml:space="preserve">التحقق من صحة الطلب والمستندات.</w:t>
      </w:r>
    </w:p>
    <w:p>
      <w:pPr>
        <w:pStyle w:val="ListParagraph"/>
        <w:numPr>
          <w:ilvl w:val="0"/>
          <w:numId w:val="3"/>
        </w:numPr>
        <w:bidi/>
        <w:spacing w:after="100" w:line="300"/>
        <w:jc w:val="right"/>
      </w:pPr>
      <w:r>
        <w:rPr>
          <w:rFonts w:ascii="Arial" w:cs="Arial" w:eastAsia="Arial" w:hAnsi="Arial"/>
          <w:sz w:val="24"/>
          <w:szCs w:val="24"/>
          <w:rtl/>
        </w:rPr>
        <w:t xml:space="preserve">شطب قيد الرهن من السجل.</w:t>
      </w:r>
    </w:p>
    <w:p>
      <w:pPr>
        <w:pStyle w:val="ListParagraph"/>
        <w:numPr>
          <w:ilvl w:val="0"/>
          <w:numId w:val="3"/>
        </w:numPr>
        <w:bidi/>
        <w:spacing w:after="100" w:line="300"/>
        <w:jc w:val="right"/>
      </w:pPr>
      <w:r>
        <w:rPr>
          <w:rFonts w:ascii="Arial" w:cs="Arial" w:eastAsia="Arial" w:hAnsi="Arial"/>
          <w:sz w:val="24"/>
          <w:szCs w:val="24"/>
          <w:rtl/>
        </w:rPr>
        <w:t xml:space="preserve">إصدار شهادة فك الرهن.</w:t>
      </w:r>
    </w:p>
    <w:p>
      <w:pPr>
        <w:pStyle w:val="ListParagraph"/>
        <w:numPr>
          <w:ilvl w:val="0"/>
          <w:numId w:val="3"/>
        </w:numPr>
        <w:bidi/>
        <w:spacing w:after="100" w:line="300"/>
        <w:jc w:val="right"/>
      </w:pPr>
      <w:r>
        <w:rPr>
          <w:rFonts w:ascii="Arial" w:cs="Arial" w:eastAsia="Arial" w:hAnsi="Arial"/>
          <w:sz w:val="24"/>
          <w:szCs w:val="24"/>
          <w:rtl/>
        </w:rPr>
        <w:t xml:space="preserve">إخطار المساهم بفك الرهن.</w:t>
      </w:r>
    </w:p>
    <w:p>
      <w:pPr>
        <w:pStyle w:val="ListParagraph"/>
        <w:numPr>
          <w:ilvl w:val="0"/>
          <w:numId w:val="3"/>
        </w:numPr>
        <w:bidi/>
        <w:spacing w:after="100" w:line="300"/>
        <w:jc w:val="right"/>
      </w:pPr>
      <w:r>
        <w:rPr>
          <w:rFonts w:ascii="Arial" w:cs="Arial" w:eastAsia="Arial" w:hAnsi="Arial"/>
          <w:sz w:val="24"/>
          <w:szCs w:val="24"/>
          <w:rtl/>
        </w:rPr>
        <w:t xml:space="preserve">استعادة كامل حقوق التصرف للمساهم.</w:t>
      </w:r>
    </w:p>
    <w:p>
      <w:pPr>
        <w:pStyle w:val="Heading2"/>
        <w:bidi/>
        <w:spacing w:after="160" w:before="280"/>
        <w:jc w:val="right"/>
      </w:pPr>
      <w:r>
        <w:rPr>
          <w:rFonts w:ascii="Arial" w:cs="Arial" w:eastAsia="Arial" w:hAnsi="Arial"/>
          <w:b/>
          <w:bCs/>
          <w:color w:val="2E75B6"/>
          <w:sz w:val="30"/>
          <w:szCs w:val="30"/>
          <w:rtl/>
        </w:rPr>
        <w:t xml:space="preserve">التنفيذ على الأسهم المرهونة</w:t>
      </w:r>
    </w:p>
    <w:p>
      <w:pPr>
        <w:bidi/>
        <w:spacing w:after="140" w:line="320"/>
        <w:jc w:val="both"/>
      </w:pPr>
      <w:r>
        <w:rPr>
          <w:rFonts w:ascii="Arial" w:cs="Arial" w:eastAsia="Arial" w:hAnsi="Arial"/>
          <w:sz w:val="24"/>
          <w:szCs w:val="24"/>
          <w:rtl/>
        </w:rPr>
        <w:t xml:space="preserve">في حالة إخلال المساهم بسداد الدين، يحق للمرتهن استيفاء حقه من قيمة الأسهم وفق إجراءات قضائية:</w:t>
      </w:r>
    </w:p>
    <w:p>
      <w:pPr>
        <w:pStyle w:val="ListParagraph"/>
        <w:numPr>
          <w:ilvl w:val="0"/>
          <w:numId w:val="2"/>
        </w:numPr>
        <w:bidi/>
        <w:spacing w:after="100" w:line="300"/>
        <w:jc w:val="right"/>
      </w:pPr>
      <w:r>
        <w:rPr>
          <w:rFonts w:ascii="Arial" w:cs="Arial" w:eastAsia="Arial" w:hAnsi="Arial"/>
          <w:sz w:val="24"/>
          <w:szCs w:val="24"/>
          <w:rtl/>
        </w:rPr>
        <w:t xml:space="preserve">صدور حكم قضائي بالتنفيذ.</w:t>
      </w:r>
    </w:p>
    <w:p>
      <w:pPr>
        <w:pStyle w:val="ListParagraph"/>
        <w:numPr>
          <w:ilvl w:val="0"/>
          <w:numId w:val="2"/>
        </w:numPr>
        <w:bidi/>
        <w:spacing w:after="100" w:line="300"/>
        <w:jc w:val="right"/>
      </w:pPr>
      <w:r>
        <w:rPr>
          <w:rFonts w:ascii="Arial" w:cs="Arial" w:eastAsia="Arial" w:hAnsi="Arial"/>
          <w:sz w:val="24"/>
          <w:szCs w:val="24"/>
          <w:rtl/>
        </w:rPr>
        <w:t xml:space="preserve">إعلان بيع الأسهم في المزاد العلني.</w:t>
      </w:r>
    </w:p>
    <w:p>
      <w:pPr>
        <w:pStyle w:val="ListParagraph"/>
        <w:numPr>
          <w:ilvl w:val="0"/>
          <w:numId w:val="2"/>
        </w:numPr>
        <w:bidi/>
        <w:spacing w:after="100" w:line="300"/>
        <w:jc w:val="right"/>
      </w:pPr>
      <w:r>
        <w:rPr>
          <w:rFonts w:ascii="Arial" w:cs="Arial" w:eastAsia="Arial" w:hAnsi="Arial"/>
          <w:sz w:val="24"/>
          <w:szCs w:val="24"/>
          <w:rtl/>
        </w:rPr>
        <w:t xml:space="preserve">إجراء المزاد وترسيته.</w:t>
      </w:r>
    </w:p>
    <w:p>
      <w:pPr>
        <w:pStyle w:val="ListParagraph"/>
        <w:numPr>
          <w:ilvl w:val="0"/>
          <w:numId w:val="2"/>
        </w:numPr>
        <w:bidi/>
        <w:spacing w:after="100" w:line="300"/>
        <w:jc w:val="right"/>
      </w:pPr>
      <w:r>
        <w:rPr>
          <w:rFonts w:ascii="Arial" w:cs="Arial" w:eastAsia="Arial" w:hAnsi="Arial"/>
          <w:sz w:val="24"/>
          <w:szCs w:val="24"/>
          <w:rtl/>
        </w:rPr>
        <w:t xml:space="preserve">استيفاء المرتهن لدينه من حصيلة البيع.</w:t>
      </w:r>
    </w:p>
    <w:p>
      <w:pPr>
        <w:pStyle w:val="ListParagraph"/>
        <w:numPr>
          <w:ilvl w:val="0"/>
          <w:numId w:val="2"/>
        </w:numPr>
        <w:bidi/>
        <w:spacing w:after="100" w:line="300"/>
        <w:jc w:val="right"/>
      </w:pPr>
      <w:r>
        <w:rPr>
          <w:rFonts w:ascii="Arial" w:cs="Arial" w:eastAsia="Arial" w:hAnsi="Arial"/>
          <w:sz w:val="24"/>
          <w:szCs w:val="24"/>
          <w:rtl/>
        </w:rPr>
        <w:t xml:space="preserve">رد الفائض للمساهم الراهن (إن وُجد).</w:t>
      </w:r>
    </w:p>
    <w:p>
      <w:pPr>
        <w:pStyle w:val="ListParagraph"/>
        <w:numPr>
          <w:ilvl w:val="0"/>
          <w:numId w:val="2"/>
        </w:numPr>
        <w:bidi/>
        <w:spacing w:after="100" w:line="300"/>
        <w:jc w:val="right"/>
      </w:pPr>
      <w:r>
        <w:rPr>
          <w:rFonts w:ascii="Arial" w:cs="Arial" w:eastAsia="Arial" w:hAnsi="Arial"/>
          <w:sz w:val="24"/>
          <w:szCs w:val="24"/>
          <w:rtl/>
        </w:rPr>
        <w:t xml:space="preserve">نقل ملكية الأسهم إلى المشتري.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الحجز - الإجراءات والآثار</w:t>
      </w:r>
    </w:p>
    <w:p>
      <w:pPr>
        <w:bidi/>
        <w:spacing w:after="140" w:line="320"/>
        <w:jc w:val="both"/>
      </w:pPr>
      <w:r>
        <w:rPr>
          <w:rFonts w:ascii="Arial" w:cs="Arial" w:eastAsia="Arial" w:hAnsi="Arial"/>
          <w:sz w:val="24"/>
          <w:szCs w:val="24"/>
          <w:rtl/>
        </w:rPr>
        <w:t xml:space="preserve">الحجز هو إجراء قانوني يُتخذ بناءً على قرار قضائي أو من جهة مختصة (كالضرائب أو الجمارك أو إدارة التنفيذ)، يستهدف منع التصرف في الأسهم لحين البت في الدعوى أو استيفاء حق المحجوز لمصلحته.</w:t>
      </w:r>
    </w:p>
    <w:p>
      <w:pPr>
        <w:pStyle w:val="Heading2"/>
        <w:bidi/>
        <w:spacing w:after="160" w:before="280"/>
        <w:jc w:val="right"/>
      </w:pPr>
      <w:r>
        <w:rPr>
          <w:rFonts w:ascii="Arial" w:cs="Arial" w:eastAsia="Arial" w:hAnsi="Arial"/>
          <w:b/>
          <w:bCs/>
          <w:color w:val="2E75B6"/>
          <w:sz w:val="30"/>
          <w:szCs w:val="30"/>
          <w:rtl/>
        </w:rPr>
        <w:t xml:space="preserve">أنواع الحجز</w:t>
      </w:r>
    </w:p>
    <w:p>
      <w:pPr>
        <w:pStyle w:val="Heading3"/>
        <w:bidi/>
        <w:spacing w:after="120" w:before="200"/>
        <w:jc w:val="right"/>
      </w:pPr>
      <w:r>
        <w:rPr>
          <w:rFonts w:ascii="Arial" w:cs="Arial" w:eastAsia="Arial" w:hAnsi="Arial"/>
          <w:b/>
          <w:bCs/>
          <w:color w:val="1F4E79"/>
          <w:sz w:val="26"/>
          <w:szCs w:val="26"/>
          <w:rtl/>
        </w:rPr>
        <w:t xml:space="preserve">1. الحجز التحفظي</w:t>
      </w:r>
    </w:p>
    <w:p>
      <w:pPr>
        <w:bidi/>
        <w:spacing w:after="140" w:line="320"/>
        <w:jc w:val="both"/>
      </w:pPr>
      <w:r>
        <w:rPr>
          <w:rFonts w:ascii="Arial" w:cs="Arial" w:eastAsia="Arial" w:hAnsi="Arial"/>
          <w:sz w:val="24"/>
          <w:szCs w:val="24"/>
          <w:rtl/>
        </w:rPr>
        <w:t xml:space="preserve">يهدف إلى حماية حقوق الدائن من تصرفات المدين قبل صدور حكم نهائي. يُمنع فيه نقل ملكية الأسهم لكن قد لا تُحجز الأرباح.</w:t>
      </w:r>
    </w:p>
    <w:p>
      <w:pPr>
        <w:pStyle w:val="Heading3"/>
        <w:bidi/>
        <w:spacing w:after="120" w:before="200"/>
        <w:jc w:val="right"/>
      </w:pPr>
      <w:r>
        <w:rPr>
          <w:rFonts w:ascii="Arial" w:cs="Arial" w:eastAsia="Arial" w:hAnsi="Arial"/>
          <w:b/>
          <w:bCs/>
          <w:color w:val="1F4E79"/>
          <w:sz w:val="26"/>
          <w:szCs w:val="26"/>
          <w:rtl/>
        </w:rPr>
        <w:t xml:space="preserve">2. الحجز التنفيذي</w:t>
      </w:r>
    </w:p>
    <w:p>
      <w:pPr>
        <w:bidi/>
        <w:spacing w:after="140" w:line="320"/>
        <w:jc w:val="both"/>
      </w:pPr>
      <w:r>
        <w:rPr>
          <w:rFonts w:ascii="Arial" w:cs="Arial" w:eastAsia="Arial" w:hAnsi="Arial"/>
          <w:sz w:val="24"/>
          <w:szCs w:val="24"/>
          <w:rtl/>
        </w:rPr>
        <w:t xml:space="preserve">يتم بعد صدور حكم قضائي نهائي، ويهدف إلى استيفاء حق المحجوز لمصلحته بالبيع في المزاد العلني.</w:t>
      </w:r>
    </w:p>
    <w:p>
      <w:pPr>
        <w:pStyle w:val="Heading3"/>
        <w:bidi/>
        <w:spacing w:after="120" w:before="200"/>
        <w:jc w:val="right"/>
      </w:pPr>
      <w:r>
        <w:rPr>
          <w:rFonts w:ascii="Arial" w:cs="Arial" w:eastAsia="Arial" w:hAnsi="Arial"/>
          <w:b/>
          <w:bCs/>
          <w:color w:val="1F4E79"/>
          <w:sz w:val="26"/>
          <w:szCs w:val="26"/>
          <w:rtl/>
        </w:rPr>
        <w:t xml:space="preserve">3. الحجز الإداري</w:t>
      </w:r>
    </w:p>
    <w:p>
      <w:pPr>
        <w:bidi/>
        <w:spacing w:after="140" w:line="320"/>
        <w:jc w:val="both"/>
      </w:pPr>
      <w:r>
        <w:rPr>
          <w:rFonts w:ascii="Arial" w:cs="Arial" w:eastAsia="Arial" w:hAnsi="Arial"/>
          <w:sz w:val="24"/>
          <w:szCs w:val="24"/>
          <w:rtl/>
        </w:rPr>
        <w:t xml:space="preserve">يصدر عن الجهات الإدارية كهيئة الزكاة والضريبة والجمارك للحصول على مستحقاتها.</w:t>
      </w:r>
    </w:p>
    <w:p>
      <w:pPr>
        <w:pStyle w:val="Heading2"/>
        <w:bidi/>
        <w:spacing w:after="160" w:before="280"/>
        <w:jc w:val="right"/>
      </w:pPr>
      <w:r>
        <w:rPr>
          <w:rFonts w:ascii="Arial" w:cs="Arial" w:eastAsia="Arial" w:hAnsi="Arial"/>
          <w:b/>
          <w:bCs/>
          <w:color w:val="2E75B6"/>
          <w:sz w:val="30"/>
          <w:szCs w:val="30"/>
          <w:rtl/>
        </w:rPr>
        <w:t xml:space="preserve">الجهات المختصة بإصدار قرارات الحجز</w:t>
      </w:r>
    </w:p>
    <w:p>
      <w:pPr>
        <w:pStyle w:val="ListParagraph"/>
        <w:numPr>
          <w:ilvl w:val="0"/>
          <w:numId w:val="2"/>
        </w:numPr>
        <w:bidi/>
        <w:spacing w:after="100" w:line="300"/>
        <w:jc w:val="right"/>
      </w:pPr>
      <w:r>
        <w:rPr>
          <w:rFonts w:ascii="Arial" w:cs="Arial" w:eastAsia="Arial" w:hAnsi="Arial"/>
          <w:sz w:val="24"/>
          <w:szCs w:val="24"/>
          <w:rtl/>
        </w:rPr>
        <w:t xml:space="preserve">المحاكم بمختلف درجاتها.</w:t>
      </w:r>
    </w:p>
    <w:p>
      <w:pPr>
        <w:pStyle w:val="ListParagraph"/>
        <w:numPr>
          <w:ilvl w:val="0"/>
          <w:numId w:val="2"/>
        </w:numPr>
        <w:bidi/>
        <w:spacing w:after="100" w:line="300"/>
        <w:jc w:val="right"/>
      </w:pPr>
      <w:r>
        <w:rPr>
          <w:rFonts w:ascii="Arial" w:cs="Arial" w:eastAsia="Arial" w:hAnsi="Arial"/>
          <w:sz w:val="24"/>
          <w:szCs w:val="24"/>
          <w:rtl/>
        </w:rPr>
        <w:t xml:space="preserve">محاكم التنفيذ.</w:t>
      </w:r>
    </w:p>
    <w:p>
      <w:pPr>
        <w:pStyle w:val="ListParagraph"/>
        <w:numPr>
          <w:ilvl w:val="0"/>
          <w:numId w:val="2"/>
        </w:numPr>
        <w:bidi/>
        <w:spacing w:after="100" w:line="300"/>
        <w:jc w:val="right"/>
      </w:pPr>
      <w:r>
        <w:rPr>
          <w:rFonts w:ascii="Arial" w:cs="Arial" w:eastAsia="Arial" w:hAnsi="Arial"/>
          <w:sz w:val="24"/>
          <w:szCs w:val="24"/>
          <w:rtl/>
        </w:rPr>
        <w:t xml:space="preserve">هيئة الزكاة والضريبة والجمارك.</w:t>
      </w:r>
    </w:p>
    <w:p>
      <w:pPr>
        <w:pStyle w:val="ListParagraph"/>
        <w:numPr>
          <w:ilvl w:val="0"/>
          <w:numId w:val="2"/>
        </w:numPr>
        <w:bidi/>
        <w:spacing w:after="100" w:line="300"/>
        <w:jc w:val="right"/>
      </w:pPr>
      <w:r>
        <w:rPr>
          <w:rFonts w:ascii="Arial" w:cs="Arial" w:eastAsia="Arial" w:hAnsi="Arial"/>
          <w:sz w:val="24"/>
          <w:szCs w:val="24"/>
          <w:rtl/>
        </w:rPr>
        <w:t xml:space="preserve">الجهات الإدارية المخوّلة بذلك.</w:t>
      </w:r>
    </w:p>
    <w:p>
      <w:pPr>
        <w:pStyle w:val="Heading2"/>
        <w:bidi/>
        <w:spacing w:after="160" w:before="280"/>
        <w:jc w:val="right"/>
      </w:pPr>
      <w:r>
        <w:rPr>
          <w:rFonts w:ascii="Arial" w:cs="Arial" w:eastAsia="Arial" w:hAnsi="Arial"/>
          <w:b/>
          <w:bCs/>
          <w:color w:val="2E75B6"/>
          <w:sz w:val="30"/>
          <w:szCs w:val="30"/>
          <w:rtl/>
        </w:rPr>
        <w:t xml:space="preserve">إجراءات تسجيل الحجز</w:t>
      </w:r>
    </w:p>
    <w:p>
      <w:pPr>
        <w:pStyle w:val="ListParagraph"/>
        <w:numPr>
          <w:ilvl w:val="0"/>
          <w:numId w:val="3"/>
        </w:numPr>
        <w:bidi/>
        <w:spacing w:after="100" w:line="300"/>
        <w:jc w:val="right"/>
      </w:pPr>
      <w:r>
        <w:rPr>
          <w:rFonts w:ascii="Arial" w:cs="Arial" w:eastAsia="Arial" w:hAnsi="Arial"/>
          <w:sz w:val="24"/>
          <w:szCs w:val="24"/>
          <w:rtl/>
        </w:rPr>
        <w:t xml:space="preserve">استلام قرار الحجز الرسمي من الجهة المختصة.</w:t>
      </w:r>
    </w:p>
    <w:p>
      <w:pPr>
        <w:pStyle w:val="ListParagraph"/>
        <w:numPr>
          <w:ilvl w:val="0"/>
          <w:numId w:val="3"/>
        </w:numPr>
        <w:bidi/>
        <w:spacing w:after="100" w:line="300"/>
        <w:jc w:val="right"/>
      </w:pPr>
      <w:r>
        <w:rPr>
          <w:rFonts w:ascii="Arial" w:cs="Arial" w:eastAsia="Arial" w:hAnsi="Arial"/>
          <w:sz w:val="24"/>
          <w:szCs w:val="24"/>
          <w:rtl/>
        </w:rPr>
        <w:t xml:space="preserve">التحقق من صحة القرار وسلامة الإجراءات.</w:t>
      </w:r>
    </w:p>
    <w:p>
      <w:pPr>
        <w:pStyle w:val="ListParagraph"/>
        <w:numPr>
          <w:ilvl w:val="0"/>
          <w:numId w:val="3"/>
        </w:numPr>
        <w:bidi/>
        <w:spacing w:after="100" w:line="300"/>
        <w:jc w:val="right"/>
      </w:pPr>
      <w:r>
        <w:rPr>
          <w:rFonts w:ascii="Arial" w:cs="Arial" w:eastAsia="Arial" w:hAnsi="Arial"/>
          <w:sz w:val="24"/>
          <w:szCs w:val="24"/>
          <w:rtl/>
        </w:rPr>
        <w:t xml:space="preserve">تعليق فوري لأي عمليات على الأسهم.</w:t>
      </w:r>
    </w:p>
    <w:p>
      <w:pPr>
        <w:pStyle w:val="ListParagraph"/>
        <w:numPr>
          <w:ilvl w:val="0"/>
          <w:numId w:val="3"/>
        </w:numPr>
        <w:bidi/>
        <w:spacing w:after="100" w:line="300"/>
        <w:jc w:val="right"/>
      </w:pPr>
      <w:r>
        <w:rPr>
          <w:rFonts w:ascii="Arial" w:cs="Arial" w:eastAsia="Arial" w:hAnsi="Arial"/>
          <w:sz w:val="24"/>
          <w:szCs w:val="24"/>
          <w:rtl/>
        </w:rPr>
        <w:t xml:space="preserve">القيد في السجل ببيانات الحجز التفصيلية.</w:t>
      </w:r>
    </w:p>
    <w:p>
      <w:pPr>
        <w:pStyle w:val="ListParagraph"/>
        <w:numPr>
          <w:ilvl w:val="0"/>
          <w:numId w:val="3"/>
        </w:numPr>
        <w:bidi/>
        <w:spacing w:after="100" w:line="300"/>
        <w:jc w:val="right"/>
      </w:pPr>
      <w:r>
        <w:rPr>
          <w:rFonts w:ascii="Arial" w:cs="Arial" w:eastAsia="Arial" w:hAnsi="Arial"/>
          <w:sz w:val="24"/>
          <w:szCs w:val="24"/>
          <w:rtl/>
        </w:rPr>
        <w:t xml:space="preserve">إخطار المساهم بالحجز.</w:t>
      </w:r>
    </w:p>
    <w:p>
      <w:pPr>
        <w:pStyle w:val="ListParagraph"/>
        <w:numPr>
          <w:ilvl w:val="0"/>
          <w:numId w:val="3"/>
        </w:numPr>
        <w:bidi/>
        <w:spacing w:after="100" w:line="300"/>
        <w:jc w:val="right"/>
      </w:pPr>
      <w:r>
        <w:rPr>
          <w:rFonts w:ascii="Arial" w:cs="Arial" w:eastAsia="Arial" w:hAnsi="Arial"/>
          <w:sz w:val="24"/>
          <w:szCs w:val="24"/>
          <w:rtl/>
        </w:rPr>
        <w:t xml:space="preserve">التواصل مع الجهة الحاجزة لتوضيح الإجراءات.</w:t>
      </w:r>
    </w:p>
    <w:p>
      <w:pPr>
        <w:pStyle w:val="ListParagraph"/>
        <w:numPr>
          <w:ilvl w:val="0"/>
          <w:numId w:val="3"/>
        </w:numPr>
        <w:bidi/>
        <w:spacing w:after="100" w:line="300"/>
        <w:jc w:val="right"/>
      </w:pPr>
      <w:r>
        <w:rPr>
          <w:rFonts w:ascii="Arial" w:cs="Arial" w:eastAsia="Arial" w:hAnsi="Arial"/>
          <w:sz w:val="24"/>
          <w:szCs w:val="24"/>
          <w:rtl/>
        </w:rPr>
        <w:t xml:space="preserve">توثيق العملية في السجل التشغيلي.</w:t>
      </w:r>
    </w:p>
    <w:p>
      <w:pPr>
        <w:pStyle w:val="Heading2"/>
        <w:bidi/>
        <w:spacing w:after="160" w:before="280"/>
        <w:jc w:val="right"/>
      </w:pPr>
      <w:r>
        <w:rPr>
          <w:rFonts w:ascii="Arial" w:cs="Arial" w:eastAsia="Arial" w:hAnsi="Arial"/>
          <w:b/>
          <w:bCs/>
          <w:color w:val="2E75B6"/>
          <w:sz w:val="30"/>
          <w:szCs w:val="30"/>
          <w:rtl/>
        </w:rPr>
        <w:t xml:space="preserve">الآثار القانونية للحجز</w:t>
      </w:r>
    </w:p>
    <w:p>
      <w:pPr>
        <w:pStyle w:val="ListParagraph"/>
        <w:numPr>
          <w:ilvl w:val="0"/>
          <w:numId w:val="2"/>
        </w:numPr>
        <w:bidi/>
        <w:spacing w:after="100" w:line="300"/>
        <w:jc w:val="right"/>
      </w:pPr>
      <w:r>
        <w:rPr>
          <w:rFonts w:ascii="Arial" w:cs="Arial" w:eastAsia="Arial" w:hAnsi="Arial"/>
          <w:sz w:val="24"/>
          <w:szCs w:val="24"/>
          <w:rtl/>
        </w:rPr>
        <w:t xml:space="preserve">منع نقل ملكية الأسهم بأي شكل.</w:t>
      </w:r>
    </w:p>
    <w:p>
      <w:pPr>
        <w:pStyle w:val="ListParagraph"/>
        <w:numPr>
          <w:ilvl w:val="0"/>
          <w:numId w:val="2"/>
        </w:numPr>
        <w:bidi/>
        <w:spacing w:after="100" w:line="300"/>
        <w:jc w:val="right"/>
      </w:pPr>
      <w:r>
        <w:rPr>
          <w:rFonts w:ascii="Arial" w:cs="Arial" w:eastAsia="Arial" w:hAnsi="Arial"/>
          <w:sz w:val="24"/>
          <w:szCs w:val="24"/>
          <w:rtl/>
        </w:rPr>
        <w:t xml:space="preserve">الحفاظ على الأرباح المستحقة في حساب أو تجميدها.</w:t>
      </w:r>
    </w:p>
    <w:p>
      <w:pPr>
        <w:pStyle w:val="ListParagraph"/>
        <w:numPr>
          <w:ilvl w:val="0"/>
          <w:numId w:val="2"/>
        </w:numPr>
        <w:bidi/>
        <w:spacing w:after="100" w:line="300"/>
        <w:jc w:val="right"/>
      </w:pPr>
      <w:r>
        <w:rPr>
          <w:rFonts w:ascii="Arial" w:cs="Arial" w:eastAsia="Arial" w:hAnsi="Arial"/>
          <w:sz w:val="24"/>
          <w:szCs w:val="24"/>
          <w:rtl/>
        </w:rPr>
        <w:t xml:space="preserve">استمرار حقوق التصويت للمساهم (في الغالب).</w:t>
      </w:r>
    </w:p>
    <w:p>
      <w:pPr>
        <w:pStyle w:val="ListParagraph"/>
        <w:numPr>
          <w:ilvl w:val="0"/>
          <w:numId w:val="2"/>
        </w:numPr>
        <w:bidi/>
        <w:spacing w:after="100" w:line="300"/>
        <w:jc w:val="right"/>
      </w:pPr>
      <w:r>
        <w:rPr>
          <w:rFonts w:ascii="Arial" w:cs="Arial" w:eastAsia="Arial" w:hAnsi="Arial"/>
          <w:sz w:val="24"/>
          <w:szCs w:val="24"/>
          <w:rtl/>
        </w:rPr>
        <w:t xml:space="preserve">التعامل مع المالك المسجل كمسؤول قانوني عن الأسهم.</w:t>
      </w:r>
    </w:p>
    <w:p>
      <w:pPr>
        <w:pStyle w:val="Heading2"/>
        <w:bidi/>
        <w:spacing w:after="160" w:before="280"/>
        <w:jc w:val="right"/>
      </w:pPr>
      <w:r>
        <w:rPr>
          <w:rFonts w:ascii="Arial" w:cs="Arial" w:eastAsia="Arial" w:hAnsi="Arial"/>
          <w:b/>
          <w:bCs/>
          <w:color w:val="2E75B6"/>
          <w:sz w:val="30"/>
          <w:szCs w:val="30"/>
          <w:rtl/>
        </w:rPr>
        <w:t xml:space="preserve">إجراءات رفع الحجز</w:t>
      </w:r>
    </w:p>
    <w:p>
      <w:pPr>
        <w:pStyle w:val="ListParagraph"/>
        <w:numPr>
          <w:ilvl w:val="0"/>
          <w:numId w:val="3"/>
        </w:numPr>
        <w:bidi/>
        <w:spacing w:after="100" w:line="300"/>
        <w:jc w:val="right"/>
      </w:pPr>
      <w:r>
        <w:rPr>
          <w:rFonts w:ascii="Arial" w:cs="Arial" w:eastAsia="Arial" w:hAnsi="Arial"/>
          <w:sz w:val="24"/>
          <w:szCs w:val="24"/>
          <w:rtl/>
        </w:rPr>
        <w:t xml:space="preserve">استلام قرار رسمي برفع الحجز من الجهة التي أصدرته.</w:t>
      </w:r>
    </w:p>
    <w:p>
      <w:pPr>
        <w:pStyle w:val="ListParagraph"/>
        <w:numPr>
          <w:ilvl w:val="0"/>
          <w:numId w:val="3"/>
        </w:numPr>
        <w:bidi/>
        <w:spacing w:after="100" w:line="300"/>
        <w:jc w:val="right"/>
      </w:pPr>
      <w:r>
        <w:rPr>
          <w:rFonts w:ascii="Arial" w:cs="Arial" w:eastAsia="Arial" w:hAnsi="Arial"/>
          <w:sz w:val="24"/>
          <w:szCs w:val="24"/>
          <w:rtl/>
        </w:rPr>
        <w:t xml:space="preserve">التحقق من صحة القرار.</w:t>
      </w:r>
    </w:p>
    <w:p>
      <w:pPr>
        <w:pStyle w:val="ListParagraph"/>
        <w:numPr>
          <w:ilvl w:val="0"/>
          <w:numId w:val="3"/>
        </w:numPr>
        <w:bidi/>
        <w:spacing w:after="100" w:line="300"/>
        <w:jc w:val="right"/>
      </w:pPr>
      <w:r>
        <w:rPr>
          <w:rFonts w:ascii="Arial" w:cs="Arial" w:eastAsia="Arial" w:hAnsi="Arial"/>
          <w:sz w:val="24"/>
          <w:szCs w:val="24"/>
          <w:rtl/>
        </w:rPr>
        <w:t xml:space="preserve">شطب قيد الحجز من السجل.</w:t>
      </w:r>
    </w:p>
    <w:p>
      <w:pPr>
        <w:pStyle w:val="ListParagraph"/>
        <w:numPr>
          <w:ilvl w:val="0"/>
          <w:numId w:val="3"/>
        </w:numPr>
        <w:bidi/>
        <w:spacing w:after="100" w:line="300"/>
        <w:jc w:val="right"/>
      </w:pPr>
      <w:r>
        <w:rPr>
          <w:rFonts w:ascii="Arial" w:cs="Arial" w:eastAsia="Arial" w:hAnsi="Arial"/>
          <w:sz w:val="24"/>
          <w:szCs w:val="24"/>
          <w:rtl/>
        </w:rPr>
        <w:t xml:space="preserve">إخطار المساهم برفع الحجز.</w:t>
      </w:r>
    </w:p>
    <w:p>
      <w:pPr>
        <w:pStyle w:val="ListParagraph"/>
        <w:numPr>
          <w:ilvl w:val="0"/>
          <w:numId w:val="3"/>
        </w:numPr>
        <w:bidi/>
        <w:spacing w:after="100" w:line="300"/>
        <w:jc w:val="right"/>
      </w:pPr>
      <w:r>
        <w:rPr>
          <w:rFonts w:ascii="Arial" w:cs="Arial" w:eastAsia="Arial" w:hAnsi="Arial"/>
          <w:sz w:val="24"/>
          <w:szCs w:val="24"/>
          <w:rtl/>
        </w:rPr>
        <w:t xml:space="preserve">استعادة كامل حقوق التصرف للمساهم.</w:t>
      </w:r>
    </w:p>
    <w:p>
      <w:pPr>
        <w:pStyle w:val="ListParagraph"/>
        <w:numPr>
          <w:ilvl w:val="0"/>
          <w:numId w:val="3"/>
        </w:numPr>
        <w:bidi/>
        <w:spacing w:after="100" w:line="300"/>
        <w:jc w:val="right"/>
      </w:pPr>
      <w:r>
        <w:rPr>
          <w:rFonts w:ascii="Arial" w:cs="Arial" w:eastAsia="Arial" w:hAnsi="Arial"/>
          <w:sz w:val="24"/>
          <w:szCs w:val="24"/>
          <w:rtl/>
        </w:rPr>
        <w:t xml:space="preserve">الإفراج عن الأرباح المحجوزة (إن وُجدت).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مقارنة شاملة بين أنواع تغييرات الملكية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026"/>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نوع التغيير</w:t>
            </w:r>
          </w:p>
        </w:tc>
        <w:tc>
          <w:tcPr>
            <w:tcW w:type="dxa" w:w="2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المبادر</w:t>
            </w:r>
          </w:p>
        </w:tc>
        <w:tc>
          <w:tcPr>
            <w:tcW w:type="dxa" w:w="24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الوثائق الأساسية</w:t>
            </w:r>
          </w:p>
        </w:tc>
        <w:tc>
          <w:tcPr>
            <w:tcW w:type="dxa" w:w="20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المدة المتوقعة</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البيع (مدرجة)</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المالك</w:t>
            </w:r>
          </w:p>
        </w:tc>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حساب وسيط، محفظة</w:t>
            </w:r>
          </w:p>
        </w:tc>
        <w:tc>
          <w:tcPr>
            <w:tcW w:type="dxa" w:w="20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ثوانٍ + T+2</w:t>
            </w:r>
          </w:p>
        </w:tc>
      </w:tr>
      <w:tr>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البيع (غير مدرجة)</w:t>
            </w:r>
          </w:p>
        </w:tc>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المالك والمشتري</w:t>
            </w:r>
          </w:p>
        </w:tc>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نموذج نقل موثق</w:t>
            </w:r>
          </w:p>
        </w:tc>
        <w:tc>
          <w:tcPr>
            <w:tcW w:type="dxa" w:w="20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3-10 أيام</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الهبة</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الواهب</w:t>
            </w:r>
          </w:p>
        </w:tc>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عقد هبة موثق</w:t>
            </w:r>
          </w:p>
        </w:tc>
        <w:tc>
          <w:tcPr>
            <w:tcW w:type="dxa" w:w="20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3-7 أيام</w:t>
            </w:r>
          </w:p>
        </w:tc>
      </w:tr>
      <w:tr>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الإرث</w:t>
            </w:r>
          </w:p>
        </w:tc>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الورثة</w:t>
            </w:r>
          </w:p>
        </w:tc>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صك حصر إرث وقسمة</w:t>
            </w:r>
          </w:p>
        </w:tc>
        <w:tc>
          <w:tcPr>
            <w:tcW w:type="dxa" w:w="20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10-30 يوماً</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الرهن</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المرتهن والمساهم</w:t>
            </w:r>
          </w:p>
        </w:tc>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اتفاق رهن موثق</w:t>
            </w:r>
          </w:p>
        </w:tc>
        <w:tc>
          <w:tcPr>
            <w:tcW w:type="dxa" w:w="20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3-5 أيام</w:t>
            </w:r>
          </w:p>
        </w:tc>
      </w:tr>
      <w:tr>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فك الرهن</w:t>
            </w:r>
          </w:p>
        </w:tc>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المرتهن</w:t>
            </w:r>
          </w:p>
        </w:tc>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نموذج فك موثق</w:t>
            </w:r>
          </w:p>
        </w:tc>
        <w:tc>
          <w:tcPr>
            <w:tcW w:type="dxa" w:w="20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1-3 أيام</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الحجز</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الجهة المختصة</w:t>
            </w:r>
          </w:p>
        </w:tc>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قرار رسمي بالحجز</w:t>
            </w:r>
          </w:p>
        </w:tc>
        <w:tc>
          <w:tcPr>
            <w:tcW w:type="dxa" w:w="20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فوري</w:t>
            </w:r>
          </w:p>
        </w:tc>
      </w:tr>
      <w:tr>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رفع الحجز</w:t>
            </w:r>
          </w:p>
        </w:tc>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الجهة المختصة</w:t>
            </w:r>
          </w:p>
        </w:tc>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قرار رفع رسمي</w:t>
            </w:r>
          </w:p>
        </w:tc>
        <w:tc>
          <w:tcPr>
            <w:tcW w:type="dxa" w:w="20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فوري</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التنفيذ القضائي</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إدارة التنفيذ</w:t>
            </w:r>
          </w:p>
        </w:tc>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حكم وإجراءات مزاد</w:t>
            </w:r>
          </w:p>
        </w:tc>
        <w:tc>
          <w:tcPr>
            <w:tcW w:type="dxa" w:w="20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30-90 يوماً</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المخاطر الشائعة وكيفية التعامل معها</w:t>
      </w:r>
    </w:p>
    <w:p>
      <w:pPr>
        <w:pStyle w:val="Heading2"/>
        <w:bidi/>
        <w:spacing w:after="160" w:before="280"/>
        <w:jc w:val="right"/>
      </w:pPr>
      <w:r>
        <w:rPr>
          <w:rFonts w:ascii="Arial" w:cs="Arial" w:eastAsia="Arial" w:hAnsi="Arial"/>
          <w:b/>
          <w:bCs/>
          <w:color w:val="2E75B6"/>
          <w:sz w:val="30"/>
          <w:szCs w:val="30"/>
          <w:rtl/>
        </w:rPr>
        <w:t xml:space="preserve">1. التزوير ومحاولات الاحتيال</w:t>
      </w:r>
    </w:p>
    <w:p>
      <w:pPr>
        <w:bidi/>
        <w:spacing w:after="140" w:line="320"/>
        <w:jc w:val="both"/>
      </w:pPr>
      <w:r>
        <w:rPr>
          <w:rFonts w:ascii="Arial" w:cs="Arial" w:eastAsia="Arial" w:hAnsi="Arial"/>
          <w:sz w:val="24"/>
          <w:szCs w:val="24"/>
          <w:rtl/>
        </w:rPr>
        <w:t xml:space="preserve">المخاطر: تقديم وثائق مزورة لنقل ملكية الأسهم بدون موافقة المالك الحقيقي.</w:t>
      </w:r>
    </w:p>
    <w:p>
      <w:pPr>
        <w:bidi/>
        <w:spacing w:after="140" w:line="320"/>
        <w:jc w:val="both"/>
      </w:pPr>
      <w:r>
        <w:rPr>
          <w:rFonts w:ascii="Arial" w:cs="Arial" w:eastAsia="Arial" w:hAnsi="Arial"/>
          <w:sz w:val="24"/>
          <w:szCs w:val="24"/>
          <w:rtl/>
        </w:rPr>
        <w:t xml:space="preserve">الحلول:</w:t>
      </w:r>
    </w:p>
    <w:p>
      <w:pPr>
        <w:pStyle w:val="ListParagraph"/>
        <w:numPr>
          <w:ilvl w:val="0"/>
          <w:numId w:val="2"/>
        </w:numPr>
        <w:bidi/>
        <w:spacing w:after="100" w:line="300"/>
        <w:jc w:val="right"/>
      </w:pPr>
      <w:r>
        <w:rPr>
          <w:rFonts w:ascii="Arial" w:cs="Arial" w:eastAsia="Arial" w:hAnsi="Arial"/>
          <w:sz w:val="24"/>
          <w:szCs w:val="24"/>
          <w:rtl/>
        </w:rPr>
        <w:t xml:space="preserve">التحقق المتعدد من الوثائق.</w:t>
      </w:r>
    </w:p>
    <w:p>
      <w:pPr>
        <w:pStyle w:val="ListParagraph"/>
        <w:numPr>
          <w:ilvl w:val="0"/>
          <w:numId w:val="2"/>
        </w:numPr>
        <w:bidi/>
        <w:spacing w:after="100" w:line="300"/>
        <w:jc w:val="right"/>
      </w:pPr>
      <w:r>
        <w:rPr>
          <w:rFonts w:ascii="Arial" w:cs="Arial" w:eastAsia="Arial" w:hAnsi="Arial"/>
          <w:sz w:val="24"/>
          <w:szCs w:val="24"/>
          <w:rtl/>
        </w:rPr>
        <w:t xml:space="preserve">التواصل المباشر مع المالك للتحقق من رغبته.</w:t>
      </w:r>
    </w:p>
    <w:p>
      <w:pPr>
        <w:pStyle w:val="ListParagraph"/>
        <w:numPr>
          <w:ilvl w:val="0"/>
          <w:numId w:val="2"/>
        </w:numPr>
        <w:bidi/>
        <w:spacing w:after="100" w:line="300"/>
        <w:jc w:val="right"/>
      </w:pPr>
      <w:r>
        <w:rPr>
          <w:rFonts w:ascii="Arial" w:cs="Arial" w:eastAsia="Arial" w:hAnsi="Arial"/>
          <w:sz w:val="24"/>
          <w:szCs w:val="24"/>
          <w:rtl/>
        </w:rPr>
        <w:t xml:space="preserve">تصديق التوقيعات لدى جهات رسمية فقط.</w:t>
      </w:r>
    </w:p>
    <w:p>
      <w:pPr>
        <w:pStyle w:val="ListParagraph"/>
        <w:numPr>
          <w:ilvl w:val="0"/>
          <w:numId w:val="2"/>
        </w:numPr>
        <w:bidi/>
        <w:spacing w:after="100" w:line="300"/>
        <w:jc w:val="right"/>
      </w:pPr>
      <w:r>
        <w:rPr>
          <w:rFonts w:ascii="Arial" w:cs="Arial" w:eastAsia="Arial" w:hAnsi="Arial"/>
          <w:sz w:val="24"/>
          <w:szCs w:val="24"/>
          <w:rtl/>
        </w:rPr>
        <w:t xml:space="preserve">استخدام التقنيات الحديثة في التحقق (البصمات، التحقق الإلكتروني).</w:t>
      </w:r>
    </w:p>
    <w:p>
      <w:pPr>
        <w:pStyle w:val="Heading2"/>
        <w:bidi/>
        <w:spacing w:after="160" w:before="280"/>
        <w:jc w:val="right"/>
      </w:pPr>
      <w:r>
        <w:rPr>
          <w:rFonts w:ascii="Arial" w:cs="Arial" w:eastAsia="Arial" w:hAnsi="Arial"/>
          <w:b/>
          <w:bCs/>
          <w:color w:val="2E75B6"/>
          <w:sz w:val="30"/>
          <w:szCs w:val="30"/>
          <w:rtl/>
        </w:rPr>
        <w:t xml:space="preserve">2. التعارض بين الورثة</w:t>
      </w:r>
    </w:p>
    <w:p>
      <w:pPr>
        <w:bidi/>
        <w:spacing w:after="140" w:line="320"/>
        <w:jc w:val="both"/>
      </w:pPr>
      <w:r>
        <w:rPr>
          <w:rFonts w:ascii="Arial" w:cs="Arial" w:eastAsia="Arial" w:hAnsi="Arial"/>
          <w:sz w:val="24"/>
          <w:szCs w:val="24"/>
          <w:rtl/>
        </w:rPr>
        <w:t xml:space="preserve">المخاطر: نزاعات بين الورثة على قسمة الأسهم تعطل الإجراءات وقد تُعرّض الشركة لمشاكل قانونية.</w:t>
      </w:r>
    </w:p>
    <w:p>
      <w:pPr>
        <w:bidi/>
        <w:spacing w:after="140" w:line="320"/>
        <w:jc w:val="both"/>
      </w:pPr>
      <w:r>
        <w:rPr>
          <w:rFonts w:ascii="Arial" w:cs="Arial" w:eastAsia="Arial" w:hAnsi="Arial"/>
          <w:sz w:val="24"/>
          <w:szCs w:val="24"/>
          <w:rtl/>
        </w:rPr>
        <w:t xml:space="preserve">الحلول:</w:t>
      </w:r>
    </w:p>
    <w:p>
      <w:pPr>
        <w:pStyle w:val="ListParagraph"/>
        <w:numPr>
          <w:ilvl w:val="0"/>
          <w:numId w:val="2"/>
        </w:numPr>
        <w:bidi/>
        <w:spacing w:after="100" w:line="300"/>
        <w:jc w:val="right"/>
      </w:pPr>
      <w:r>
        <w:rPr>
          <w:rFonts w:ascii="Arial" w:cs="Arial" w:eastAsia="Arial" w:hAnsi="Arial"/>
          <w:sz w:val="24"/>
          <w:szCs w:val="24"/>
          <w:rtl/>
        </w:rPr>
        <w:t xml:space="preserve">التمسك الصارم بصك حصر الإرث والقسمة الرسمية.</w:t>
      </w:r>
    </w:p>
    <w:p>
      <w:pPr>
        <w:pStyle w:val="ListParagraph"/>
        <w:numPr>
          <w:ilvl w:val="0"/>
          <w:numId w:val="2"/>
        </w:numPr>
        <w:bidi/>
        <w:spacing w:after="100" w:line="300"/>
        <w:jc w:val="right"/>
      </w:pPr>
      <w:r>
        <w:rPr>
          <w:rFonts w:ascii="Arial" w:cs="Arial" w:eastAsia="Arial" w:hAnsi="Arial"/>
          <w:sz w:val="24"/>
          <w:szCs w:val="24"/>
          <w:rtl/>
        </w:rPr>
        <w:t xml:space="preserve">عدم التدخل في خلافات الورثة.</w:t>
      </w:r>
    </w:p>
    <w:p>
      <w:pPr>
        <w:pStyle w:val="ListParagraph"/>
        <w:numPr>
          <w:ilvl w:val="0"/>
          <w:numId w:val="2"/>
        </w:numPr>
        <w:bidi/>
        <w:spacing w:after="100" w:line="300"/>
        <w:jc w:val="right"/>
      </w:pPr>
      <w:r>
        <w:rPr>
          <w:rFonts w:ascii="Arial" w:cs="Arial" w:eastAsia="Arial" w:hAnsi="Arial"/>
          <w:sz w:val="24"/>
          <w:szCs w:val="24"/>
          <w:rtl/>
        </w:rPr>
        <w:t xml:space="preserve">توجيه الأطراف للقضاء عند النزاع.</w:t>
      </w:r>
    </w:p>
    <w:p>
      <w:pPr>
        <w:pStyle w:val="ListParagraph"/>
        <w:numPr>
          <w:ilvl w:val="0"/>
          <w:numId w:val="2"/>
        </w:numPr>
        <w:bidi/>
        <w:spacing w:after="100" w:line="300"/>
        <w:jc w:val="right"/>
      </w:pPr>
      <w:r>
        <w:rPr>
          <w:rFonts w:ascii="Arial" w:cs="Arial" w:eastAsia="Arial" w:hAnsi="Arial"/>
          <w:sz w:val="24"/>
          <w:szCs w:val="24"/>
          <w:rtl/>
        </w:rPr>
        <w:t xml:space="preserve">التواصل مع وكيل رسمي معتمد من الورثة.</w:t>
      </w:r>
    </w:p>
    <w:p>
      <w:pPr>
        <w:pStyle w:val="Heading2"/>
        <w:bidi/>
        <w:spacing w:after="160" w:before="280"/>
        <w:jc w:val="right"/>
      </w:pPr>
      <w:r>
        <w:rPr>
          <w:rFonts w:ascii="Arial" w:cs="Arial" w:eastAsia="Arial" w:hAnsi="Arial"/>
          <w:b/>
          <w:bCs/>
          <w:color w:val="2E75B6"/>
          <w:sz w:val="30"/>
          <w:szCs w:val="30"/>
          <w:rtl/>
        </w:rPr>
        <w:t xml:space="preserve">3. إشكاليات تعدد القيود</w:t>
      </w:r>
    </w:p>
    <w:p>
      <w:pPr>
        <w:bidi/>
        <w:spacing w:after="140" w:line="320"/>
        <w:jc w:val="both"/>
      </w:pPr>
      <w:r>
        <w:rPr>
          <w:rFonts w:ascii="Arial" w:cs="Arial" w:eastAsia="Arial" w:hAnsi="Arial"/>
          <w:sz w:val="24"/>
          <w:szCs w:val="24"/>
          <w:rtl/>
        </w:rPr>
        <w:t xml:space="preserve">المخاطر: قد يكون على الأسهم رهن وحجز في وقت واحد، مما يخلق تعقيدات في التعامل.</w:t>
      </w:r>
    </w:p>
    <w:p>
      <w:pPr>
        <w:bidi/>
        <w:spacing w:after="140" w:line="320"/>
        <w:jc w:val="both"/>
      </w:pPr>
      <w:r>
        <w:rPr>
          <w:rFonts w:ascii="Arial" w:cs="Arial" w:eastAsia="Arial" w:hAnsi="Arial"/>
          <w:sz w:val="24"/>
          <w:szCs w:val="24"/>
          <w:rtl/>
        </w:rPr>
        <w:t xml:space="preserve">الحلول:</w:t>
      </w:r>
    </w:p>
    <w:p>
      <w:pPr>
        <w:pStyle w:val="ListParagraph"/>
        <w:numPr>
          <w:ilvl w:val="0"/>
          <w:numId w:val="2"/>
        </w:numPr>
        <w:bidi/>
        <w:spacing w:after="100" w:line="300"/>
        <w:jc w:val="right"/>
      </w:pPr>
      <w:r>
        <w:rPr>
          <w:rFonts w:ascii="Arial" w:cs="Arial" w:eastAsia="Arial" w:hAnsi="Arial"/>
          <w:sz w:val="24"/>
          <w:szCs w:val="24"/>
          <w:rtl/>
        </w:rPr>
        <w:t xml:space="preserve">التحقق الشامل من جميع القيود قبل أي إجراء.</w:t>
      </w:r>
    </w:p>
    <w:p>
      <w:pPr>
        <w:pStyle w:val="ListParagraph"/>
        <w:numPr>
          <w:ilvl w:val="0"/>
          <w:numId w:val="2"/>
        </w:numPr>
        <w:bidi/>
        <w:spacing w:after="100" w:line="300"/>
        <w:jc w:val="right"/>
      </w:pPr>
      <w:r>
        <w:rPr>
          <w:rFonts w:ascii="Arial" w:cs="Arial" w:eastAsia="Arial" w:hAnsi="Arial"/>
          <w:sz w:val="24"/>
          <w:szCs w:val="24"/>
          <w:rtl/>
        </w:rPr>
        <w:t xml:space="preserve">التواصل مع جميع الأطراف ذات الصلة.</w:t>
      </w:r>
    </w:p>
    <w:p>
      <w:pPr>
        <w:pStyle w:val="ListParagraph"/>
        <w:numPr>
          <w:ilvl w:val="0"/>
          <w:numId w:val="2"/>
        </w:numPr>
        <w:bidi/>
        <w:spacing w:after="100" w:line="300"/>
        <w:jc w:val="right"/>
      </w:pPr>
      <w:r>
        <w:rPr>
          <w:rFonts w:ascii="Arial" w:cs="Arial" w:eastAsia="Arial" w:hAnsi="Arial"/>
          <w:sz w:val="24"/>
          <w:szCs w:val="24"/>
          <w:rtl/>
        </w:rPr>
        <w:t xml:space="preserve">الالتزام بترتيب الأولويات القانونية.</w:t>
      </w:r>
    </w:p>
    <w:p>
      <w:pPr>
        <w:pStyle w:val="ListParagraph"/>
        <w:numPr>
          <w:ilvl w:val="0"/>
          <w:numId w:val="2"/>
        </w:numPr>
        <w:bidi/>
        <w:spacing w:after="100" w:line="300"/>
        <w:jc w:val="right"/>
      </w:pPr>
      <w:r>
        <w:rPr>
          <w:rFonts w:ascii="Arial" w:cs="Arial" w:eastAsia="Arial" w:hAnsi="Arial"/>
          <w:sz w:val="24"/>
          <w:szCs w:val="24"/>
          <w:rtl/>
        </w:rPr>
        <w:t xml:space="preserve">الحصول على استشارة قانونية في الحالات المعقدة.</w:t>
      </w:r>
    </w:p>
    <w:p>
      <w:pPr>
        <w:pStyle w:val="Heading2"/>
        <w:bidi/>
        <w:spacing w:after="160" w:before="280"/>
        <w:jc w:val="right"/>
      </w:pPr>
      <w:r>
        <w:rPr>
          <w:rFonts w:ascii="Arial" w:cs="Arial" w:eastAsia="Arial" w:hAnsi="Arial"/>
          <w:b/>
          <w:bCs/>
          <w:color w:val="2E75B6"/>
          <w:sz w:val="30"/>
          <w:szCs w:val="30"/>
          <w:rtl/>
        </w:rPr>
        <w:t xml:space="preserve">4. إشكاليات نقل الملكية عبر الحدود</w:t>
      </w:r>
    </w:p>
    <w:p>
      <w:pPr>
        <w:bidi/>
        <w:spacing w:after="140" w:line="320"/>
        <w:jc w:val="both"/>
      </w:pPr>
      <w:r>
        <w:rPr>
          <w:rFonts w:ascii="Arial" w:cs="Arial" w:eastAsia="Arial" w:hAnsi="Arial"/>
          <w:sz w:val="24"/>
          <w:szCs w:val="24"/>
          <w:rtl/>
        </w:rPr>
        <w:t xml:space="preserve">المخاطر: قد تكون الأطراف من جنسيات مختلفة، مما يستوجب تصديقات إضافية وتعقيدات إجرائية.</w:t>
      </w:r>
    </w:p>
    <w:p>
      <w:pPr>
        <w:bidi/>
        <w:spacing w:after="140" w:line="320"/>
        <w:jc w:val="both"/>
      </w:pPr>
      <w:r>
        <w:rPr>
          <w:rFonts w:ascii="Arial" w:cs="Arial" w:eastAsia="Arial" w:hAnsi="Arial"/>
          <w:sz w:val="24"/>
          <w:szCs w:val="24"/>
          <w:rtl/>
        </w:rPr>
        <w:t xml:space="preserve">الحلول:</w:t>
      </w:r>
    </w:p>
    <w:p>
      <w:pPr>
        <w:pStyle w:val="ListParagraph"/>
        <w:numPr>
          <w:ilvl w:val="0"/>
          <w:numId w:val="2"/>
        </w:numPr>
        <w:bidi/>
        <w:spacing w:after="100" w:line="300"/>
        <w:jc w:val="right"/>
      </w:pPr>
      <w:r>
        <w:rPr>
          <w:rFonts w:ascii="Arial" w:cs="Arial" w:eastAsia="Arial" w:hAnsi="Arial"/>
          <w:sz w:val="24"/>
          <w:szCs w:val="24"/>
          <w:rtl/>
        </w:rPr>
        <w:t xml:space="preserve">التحقق من الاتفاقيات الدولية المعفية من التصديق.</w:t>
      </w:r>
    </w:p>
    <w:p>
      <w:pPr>
        <w:pStyle w:val="ListParagraph"/>
        <w:numPr>
          <w:ilvl w:val="0"/>
          <w:numId w:val="2"/>
        </w:numPr>
        <w:bidi/>
        <w:spacing w:after="100" w:line="300"/>
        <w:jc w:val="right"/>
      </w:pPr>
      <w:r>
        <w:rPr>
          <w:rFonts w:ascii="Arial" w:cs="Arial" w:eastAsia="Arial" w:hAnsi="Arial"/>
          <w:sz w:val="24"/>
          <w:szCs w:val="24"/>
          <w:rtl/>
        </w:rPr>
        <w:t xml:space="preserve">التعامل مع السفارات والقنصليات.</w:t>
      </w:r>
    </w:p>
    <w:p>
      <w:pPr>
        <w:pStyle w:val="ListParagraph"/>
        <w:numPr>
          <w:ilvl w:val="0"/>
          <w:numId w:val="2"/>
        </w:numPr>
        <w:bidi/>
        <w:spacing w:after="100" w:line="300"/>
        <w:jc w:val="right"/>
      </w:pPr>
      <w:r>
        <w:rPr>
          <w:rFonts w:ascii="Arial" w:cs="Arial" w:eastAsia="Arial" w:hAnsi="Arial"/>
          <w:sz w:val="24"/>
          <w:szCs w:val="24"/>
          <w:rtl/>
        </w:rPr>
        <w:t xml:space="preserve">استخدام البريد المسجل والقنوات الإلكترونية الآمنة.</w:t>
      </w:r>
    </w:p>
    <w:p>
      <w:pPr>
        <w:pStyle w:val="ListParagraph"/>
        <w:numPr>
          <w:ilvl w:val="0"/>
          <w:numId w:val="2"/>
        </w:numPr>
        <w:bidi/>
        <w:spacing w:after="100" w:line="300"/>
        <w:jc w:val="right"/>
      </w:pPr>
      <w:r>
        <w:rPr>
          <w:rFonts w:ascii="Arial" w:cs="Arial" w:eastAsia="Arial" w:hAnsi="Arial"/>
          <w:sz w:val="24"/>
          <w:szCs w:val="24"/>
          <w:rtl/>
        </w:rPr>
        <w:t xml:space="preserve">الحصول على وثائق مترجمة معتمدة عند الحاجة.</w:t>
      </w:r>
    </w:p>
    <w:p>
      <w:pPr>
        <w:pStyle w:val="Heading2"/>
        <w:bidi/>
        <w:spacing w:after="160" w:before="280"/>
        <w:jc w:val="right"/>
      </w:pPr>
      <w:r>
        <w:rPr>
          <w:rFonts w:ascii="Arial" w:cs="Arial" w:eastAsia="Arial" w:hAnsi="Arial"/>
          <w:b/>
          <w:bCs/>
          <w:color w:val="2E75B6"/>
          <w:sz w:val="30"/>
          <w:szCs w:val="30"/>
          <w:rtl/>
        </w:rPr>
        <w:t xml:space="preserve">5. التقادم وانتهاء الصلاحيات</w:t>
      </w:r>
    </w:p>
    <w:p>
      <w:pPr>
        <w:bidi/>
        <w:spacing w:after="140" w:line="320"/>
        <w:jc w:val="both"/>
      </w:pPr>
      <w:r>
        <w:rPr>
          <w:rFonts w:ascii="Arial" w:cs="Arial" w:eastAsia="Arial" w:hAnsi="Arial"/>
          <w:sz w:val="24"/>
          <w:szCs w:val="24"/>
          <w:rtl/>
        </w:rPr>
        <w:t xml:space="preserve">المخاطر: قد تكون بعض الوثائق منتهية الصلاحية، مما يبطل العملية.</w:t>
      </w:r>
    </w:p>
    <w:p>
      <w:pPr>
        <w:bidi/>
        <w:spacing w:after="140" w:line="320"/>
        <w:jc w:val="both"/>
      </w:pPr>
      <w:r>
        <w:rPr>
          <w:rFonts w:ascii="Arial" w:cs="Arial" w:eastAsia="Arial" w:hAnsi="Arial"/>
          <w:sz w:val="24"/>
          <w:szCs w:val="24"/>
          <w:rtl/>
        </w:rPr>
        <w:t xml:space="preserve">الحلول:</w:t>
      </w:r>
    </w:p>
    <w:p>
      <w:pPr>
        <w:pStyle w:val="ListParagraph"/>
        <w:numPr>
          <w:ilvl w:val="0"/>
          <w:numId w:val="2"/>
        </w:numPr>
        <w:bidi/>
        <w:spacing w:after="100" w:line="300"/>
        <w:jc w:val="right"/>
      </w:pPr>
      <w:r>
        <w:rPr>
          <w:rFonts w:ascii="Arial" w:cs="Arial" w:eastAsia="Arial" w:hAnsi="Arial"/>
          <w:sz w:val="24"/>
          <w:szCs w:val="24"/>
          <w:rtl/>
        </w:rPr>
        <w:t xml:space="preserve">التحقق من تواريخ صلاحية جميع الوثائق.</w:t>
      </w:r>
    </w:p>
    <w:p>
      <w:pPr>
        <w:pStyle w:val="ListParagraph"/>
        <w:numPr>
          <w:ilvl w:val="0"/>
          <w:numId w:val="2"/>
        </w:numPr>
        <w:bidi/>
        <w:spacing w:after="100" w:line="300"/>
        <w:jc w:val="right"/>
      </w:pPr>
      <w:r>
        <w:rPr>
          <w:rFonts w:ascii="Arial" w:cs="Arial" w:eastAsia="Arial" w:hAnsi="Arial"/>
          <w:sz w:val="24"/>
          <w:szCs w:val="24"/>
          <w:rtl/>
        </w:rPr>
        <w:t xml:space="preserve">طلب وثائق محدّثة في الحالات المتأخرة.</w:t>
      </w:r>
    </w:p>
    <w:p>
      <w:pPr>
        <w:pStyle w:val="ListParagraph"/>
        <w:numPr>
          <w:ilvl w:val="0"/>
          <w:numId w:val="2"/>
        </w:numPr>
        <w:bidi/>
        <w:spacing w:after="100" w:line="300"/>
        <w:jc w:val="right"/>
      </w:pPr>
      <w:r>
        <w:rPr>
          <w:rFonts w:ascii="Arial" w:cs="Arial" w:eastAsia="Arial" w:hAnsi="Arial"/>
          <w:sz w:val="24"/>
          <w:szCs w:val="24"/>
          <w:rtl/>
        </w:rPr>
        <w:t xml:space="preserve">التأكد من فترات سريان التوكيلات.</w:t>
      </w:r>
    </w:p>
    <w:p>
      <w:pPr>
        <w:pStyle w:val="ListParagraph"/>
        <w:numPr>
          <w:ilvl w:val="0"/>
          <w:numId w:val="2"/>
        </w:numPr>
        <w:bidi/>
        <w:spacing w:after="100" w:line="300"/>
        <w:jc w:val="right"/>
      </w:pPr>
      <w:r>
        <w:rPr>
          <w:rFonts w:ascii="Arial" w:cs="Arial" w:eastAsia="Arial" w:hAnsi="Arial"/>
          <w:sz w:val="24"/>
          <w:szCs w:val="24"/>
          <w:rtl/>
        </w:rPr>
        <w:t xml:space="preserve">التذكير بانتهاء الصلاحيات المرتقبة.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أفضل الممارسات في التعامل مع تغييرات الملكية</w:t>
      </w:r>
    </w:p>
    <w:p>
      <w:pPr>
        <w:pStyle w:val="ListParagraph"/>
        <w:numPr>
          <w:ilvl w:val="0"/>
          <w:numId w:val="3"/>
        </w:numPr>
        <w:bidi/>
        <w:spacing w:after="100" w:line="300"/>
        <w:jc w:val="right"/>
      </w:pPr>
      <w:r>
        <w:rPr>
          <w:rFonts w:ascii="Arial" w:cs="Arial" w:eastAsia="Arial" w:hAnsi="Arial"/>
          <w:sz w:val="24"/>
          <w:szCs w:val="24"/>
          <w:rtl/>
        </w:rPr>
        <w:t xml:space="preserve">التوحيد: استخدام نماذج وإجراءات موحدة لكل نوع من تغييرات الملكية.</w:t>
      </w:r>
    </w:p>
    <w:p>
      <w:pPr>
        <w:pStyle w:val="ListParagraph"/>
        <w:numPr>
          <w:ilvl w:val="0"/>
          <w:numId w:val="3"/>
        </w:numPr>
        <w:bidi/>
        <w:spacing w:after="100" w:line="300"/>
        <w:jc w:val="right"/>
      </w:pPr>
      <w:r>
        <w:rPr>
          <w:rFonts w:ascii="Arial" w:cs="Arial" w:eastAsia="Arial" w:hAnsi="Arial"/>
          <w:sz w:val="24"/>
          <w:szCs w:val="24"/>
          <w:rtl/>
        </w:rPr>
        <w:t xml:space="preserve">التوثيق: توثيق كل خطوة من خطوات الإجراء مع المستندات الداعمة.</w:t>
      </w:r>
    </w:p>
    <w:p>
      <w:pPr>
        <w:pStyle w:val="ListParagraph"/>
        <w:numPr>
          <w:ilvl w:val="0"/>
          <w:numId w:val="3"/>
        </w:numPr>
        <w:bidi/>
        <w:spacing w:after="100" w:line="300"/>
        <w:jc w:val="right"/>
      </w:pPr>
      <w:r>
        <w:rPr>
          <w:rFonts w:ascii="Arial" w:cs="Arial" w:eastAsia="Arial" w:hAnsi="Arial"/>
          <w:sz w:val="24"/>
          <w:szCs w:val="24"/>
          <w:rtl/>
        </w:rPr>
        <w:t xml:space="preserve">التحقق المتعدد: تطبيق آليات تحقق متعددة من الوثائق والأطراف.</w:t>
      </w:r>
    </w:p>
    <w:p>
      <w:pPr>
        <w:pStyle w:val="ListParagraph"/>
        <w:numPr>
          <w:ilvl w:val="0"/>
          <w:numId w:val="3"/>
        </w:numPr>
        <w:bidi/>
        <w:spacing w:after="100" w:line="300"/>
        <w:jc w:val="right"/>
      </w:pPr>
      <w:r>
        <w:rPr>
          <w:rFonts w:ascii="Arial" w:cs="Arial" w:eastAsia="Arial" w:hAnsi="Arial"/>
          <w:sz w:val="24"/>
          <w:szCs w:val="24"/>
          <w:rtl/>
        </w:rPr>
        <w:t xml:space="preserve">الفصل بين الواجبات: عدم تركيز جميع المهام في يد شخص واحد.</w:t>
      </w:r>
    </w:p>
    <w:p>
      <w:pPr>
        <w:pStyle w:val="ListParagraph"/>
        <w:numPr>
          <w:ilvl w:val="0"/>
          <w:numId w:val="3"/>
        </w:numPr>
        <w:bidi/>
        <w:spacing w:after="100" w:line="300"/>
        <w:jc w:val="right"/>
      </w:pPr>
      <w:r>
        <w:rPr>
          <w:rFonts w:ascii="Arial" w:cs="Arial" w:eastAsia="Arial" w:hAnsi="Arial"/>
          <w:sz w:val="24"/>
          <w:szCs w:val="24"/>
          <w:rtl/>
        </w:rPr>
        <w:t xml:space="preserve">الاحتفاظ بالأصول: حفظ الوثائق الأصلية في مكان آمن مع نسخ احتياطية.</w:t>
      </w:r>
    </w:p>
    <w:p>
      <w:pPr>
        <w:pStyle w:val="ListParagraph"/>
        <w:numPr>
          <w:ilvl w:val="0"/>
          <w:numId w:val="3"/>
        </w:numPr>
        <w:bidi/>
        <w:spacing w:after="100" w:line="300"/>
        <w:jc w:val="right"/>
      </w:pPr>
      <w:r>
        <w:rPr>
          <w:rFonts w:ascii="Arial" w:cs="Arial" w:eastAsia="Arial" w:hAnsi="Arial"/>
          <w:sz w:val="24"/>
          <w:szCs w:val="24"/>
          <w:rtl/>
        </w:rPr>
        <w:t xml:space="preserve">الإخطار الاستباقي: إخطار جميع الأطراف بمراحل تنفيذ العملية.</w:t>
      </w:r>
    </w:p>
    <w:p>
      <w:pPr>
        <w:pStyle w:val="ListParagraph"/>
        <w:numPr>
          <w:ilvl w:val="0"/>
          <w:numId w:val="3"/>
        </w:numPr>
        <w:bidi/>
        <w:spacing w:after="100" w:line="300"/>
        <w:jc w:val="right"/>
      </w:pPr>
      <w:r>
        <w:rPr>
          <w:rFonts w:ascii="Arial" w:cs="Arial" w:eastAsia="Arial" w:hAnsi="Arial"/>
          <w:sz w:val="24"/>
          <w:szCs w:val="24"/>
          <w:rtl/>
        </w:rPr>
        <w:t xml:space="preserve">التدريب المستمر: تدريب الموظفين على الأنواع المختلفة من العمليات.</w:t>
      </w:r>
    </w:p>
    <w:p>
      <w:pPr>
        <w:pStyle w:val="ListParagraph"/>
        <w:numPr>
          <w:ilvl w:val="0"/>
          <w:numId w:val="3"/>
        </w:numPr>
        <w:bidi/>
        <w:spacing w:after="100" w:line="300"/>
        <w:jc w:val="right"/>
      </w:pPr>
      <w:r>
        <w:rPr>
          <w:rFonts w:ascii="Arial" w:cs="Arial" w:eastAsia="Arial" w:hAnsi="Arial"/>
          <w:sz w:val="24"/>
          <w:szCs w:val="24"/>
          <w:rtl/>
        </w:rPr>
        <w:t xml:space="preserve">المراجعة الدورية: مراجعة الإجراءات وتطويرها بناءً على الدروس المستفادة.</w:t>
      </w:r>
    </w:p>
    <w:p>
      <w:pPr>
        <w:pStyle w:val="ListParagraph"/>
        <w:numPr>
          <w:ilvl w:val="0"/>
          <w:numId w:val="3"/>
        </w:numPr>
        <w:bidi/>
        <w:spacing w:after="100" w:line="300"/>
        <w:jc w:val="right"/>
      </w:pPr>
      <w:r>
        <w:rPr>
          <w:rFonts w:ascii="Arial" w:cs="Arial" w:eastAsia="Arial" w:hAnsi="Arial"/>
          <w:sz w:val="24"/>
          <w:szCs w:val="24"/>
          <w:rtl/>
        </w:rPr>
        <w:t xml:space="preserve">الاستشارة القانونية: الاستعانة بمستشارين قانونيين في الحالات المعقدة.</w:t>
      </w:r>
    </w:p>
    <w:p>
      <w:pPr>
        <w:pStyle w:val="ListParagraph"/>
        <w:numPr>
          <w:ilvl w:val="0"/>
          <w:numId w:val="3"/>
        </w:numPr>
        <w:bidi/>
        <w:spacing w:after="100" w:line="300"/>
        <w:jc w:val="right"/>
      </w:pPr>
      <w:r>
        <w:rPr>
          <w:rFonts w:ascii="Arial" w:cs="Arial" w:eastAsia="Arial" w:hAnsi="Arial"/>
          <w:sz w:val="24"/>
          <w:szCs w:val="24"/>
          <w:rtl/>
        </w:rPr>
        <w:t xml:space="preserve">الشفافية: توضيح الإجراءات والمتطلبات للمساهمين بشكل مسبق.</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عاشراً: قوائم مراجعة لكل نوع من العمليات</w:t>
      </w:r>
    </w:p>
    <w:p>
      <w:pPr>
        <w:pStyle w:val="Heading3"/>
        <w:bidi/>
        <w:spacing w:after="120" w:before="200"/>
        <w:jc w:val="right"/>
      </w:pPr>
      <w:r>
        <w:rPr>
          <w:rFonts w:ascii="Arial" w:cs="Arial" w:eastAsia="Arial" w:hAnsi="Arial"/>
          <w:b/>
          <w:bCs/>
          <w:color w:val="1F4E79"/>
          <w:sz w:val="26"/>
          <w:szCs w:val="26"/>
          <w:rtl/>
        </w:rPr>
        <w:t xml:space="preserve">قائمة مراجعة البيع (للشركات غير المدرجة)</w:t>
      </w:r>
    </w:p>
    <w:p>
      <w:pPr>
        <w:pStyle w:val="ListParagraph"/>
        <w:numPr>
          <w:ilvl w:val="0"/>
          <w:numId w:val="2"/>
        </w:numPr>
        <w:bidi/>
        <w:spacing w:after="100" w:line="300"/>
        <w:jc w:val="right"/>
      </w:pPr>
      <w:r>
        <w:rPr>
          <w:rFonts w:ascii="Arial" w:cs="Arial" w:eastAsia="Arial" w:hAnsi="Arial"/>
          <w:sz w:val="24"/>
          <w:szCs w:val="24"/>
          <w:rtl/>
        </w:rPr>
        <w:t xml:space="preserve">نموذج نقل ملكية مكتمل وموقّع.</w:t>
      </w:r>
    </w:p>
    <w:p>
      <w:pPr>
        <w:pStyle w:val="ListParagraph"/>
        <w:numPr>
          <w:ilvl w:val="0"/>
          <w:numId w:val="2"/>
        </w:numPr>
        <w:bidi/>
        <w:spacing w:after="100" w:line="300"/>
        <w:jc w:val="right"/>
      </w:pPr>
      <w:r>
        <w:rPr>
          <w:rFonts w:ascii="Arial" w:cs="Arial" w:eastAsia="Arial" w:hAnsi="Arial"/>
          <w:sz w:val="24"/>
          <w:szCs w:val="24"/>
          <w:rtl/>
        </w:rPr>
        <w:t xml:space="preserve">هويات سارية للبائع والمشتري.</w:t>
      </w:r>
    </w:p>
    <w:p>
      <w:pPr>
        <w:pStyle w:val="ListParagraph"/>
        <w:numPr>
          <w:ilvl w:val="0"/>
          <w:numId w:val="2"/>
        </w:numPr>
        <w:bidi/>
        <w:spacing w:after="100" w:line="300"/>
        <w:jc w:val="right"/>
      </w:pPr>
      <w:r>
        <w:rPr>
          <w:rFonts w:ascii="Arial" w:cs="Arial" w:eastAsia="Arial" w:hAnsi="Arial"/>
          <w:sz w:val="24"/>
          <w:szCs w:val="24"/>
          <w:rtl/>
        </w:rPr>
        <w:t xml:space="preserve">توثيق التوقيعات لدى جهة معتمدة.</w:t>
      </w:r>
    </w:p>
    <w:p>
      <w:pPr>
        <w:pStyle w:val="ListParagraph"/>
        <w:numPr>
          <w:ilvl w:val="0"/>
          <w:numId w:val="2"/>
        </w:numPr>
        <w:bidi/>
        <w:spacing w:after="100" w:line="300"/>
        <w:jc w:val="right"/>
      </w:pPr>
      <w:r>
        <w:rPr>
          <w:rFonts w:ascii="Arial" w:cs="Arial" w:eastAsia="Arial" w:hAnsi="Arial"/>
          <w:sz w:val="24"/>
          <w:szCs w:val="24"/>
          <w:rtl/>
        </w:rPr>
        <w:t xml:space="preserve">شهادة عدم وجود رهن أو حجز.</w:t>
      </w:r>
    </w:p>
    <w:p>
      <w:pPr>
        <w:pStyle w:val="ListParagraph"/>
        <w:numPr>
          <w:ilvl w:val="0"/>
          <w:numId w:val="2"/>
        </w:numPr>
        <w:bidi/>
        <w:spacing w:after="100" w:line="300"/>
        <w:jc w:val="right"/>
      </w:pPr>
      <w:r>
        <w:rPr>
          <w:rFonts w:ascii="Arial" w:cs="Arial" w:eastAsia="Arial" w:hAnsi="Arial"/>
          <w:sz w:val="24"/>
          <w:szCs w:val="24"/>
          <w:rtl/>
        </w:rPr>
        <w:t xml:space="preserve">التحقق من النظام الأساس للشركة.</w:t>
      </w:r>
    </w:p>
    <w:p>
      <w:pPr>
        <w:pStyle w:val="ListParagraph"/>
        <w:numPr>
          <w:ilvl w:val="0"/>
          <w:numId w:val="2"/>
        </w:numPr>
        <w:bidi/>
        <w:spacing w:after="100" w:line="300"/>
        <w:jc w:val="right"/>
      </w:pPr>
      <w:r>
        <w:rPr>
          <w:rFonts w:ascii="Arial" w:cs="Arial" w:eastAsia="Arial" w:hAnsi="Arial"/>
          <w:sz w:val="24"/>
          <w:szCs w:val="24"/>
          <w:rtl/>
        </w:rPr>
        <w:t xml:space="preserve">موافقات الأطراف الأخرى إن وُجدت.</w:t>
      </w:r>
    </w:p>
    <w:p>
      <w:pPr>
        <w:pStyle w:val="ListParagraph"/>
        <w:numPr>
          <w:ilvl w:val="0"/>
          <w:numId w:val="2"/>
        </w:numPr>
        <w:bidi/>
        <w:spacing w:after="100" w:line="300"/>
        <w:jc w:val="right"/>
      </w:pPr>
      <w:r>
        <w:rPr>
          <w:rFonts w:ascii="Arial" w:cs="Arial" w:eastAsia="Arial" w:hAnsi="Arial"/>
          <w:sz w:val="24"/>
          <w:szCs w:val="24"/>
          <w:rtl/>
        </w:rPr>
        <w:t xml:space="preserve">سداد أي رسوم مستحقة.</w:t>
      </w:r>
    </w:p>
    <w:p>
      <w:pPr>
        <w:pStyle w:val="Heading3"/>
        <w:bidi/>
        <w:spacing w:after="120" w:before="200"/>
        <w:jc w:val="right"/>
      </w:pPr>
      <w:r>
        <w:rPr>
          <w:rFonts w:ascii="Arial" w:cs="Arial" w:eastAsia="Arial" w:hAnsi="Arial"/>
          <w:b/>
          <w:bCs/>
          <w:color w:val="1F4E79"/>
          <w:sz w:val="26"/>
          <w:szCs w:val="26"/>
          <w:rtl/>
        </w:rPr>
        <w:t xml:space="preserve">قائمة مراجعة الإرث</w:t>
      </w:r>
    </w:p>
    <w:p>
      <w:pPr>
        <w:pStyle w:val="ListParagraph"/>
        <w:numPr>
          <w:ilvl w:val="0"/>
          <w:numId w:val="2"/>
        </w:numPr>
        <w:bidi/>
        <w:spacing w:after="100" w:line="300"/>
        <w:jc w:val="right"/>
      </w:pPr>
      <w:r>
        <w:rPr>
          <w:rFonts w:ascii="Arial" w:cs="Arial" w:eastAsia="Arial" w:hAnsi="Arial"/>
          <w:sz w:val="24"/>
          <w:szCs w:val="24"/>
          <w:rtl/>
        </w:rPr>
        <w:t xml:space="preserve">شهادة الوفاة الأصلية.</w:t>
      </w:r>
    </w:p>
    <w:p>
      <w:pPr>
        <w:pStyle w:val="ListParagraph"/>
        <w:numPr>
          <w:ilvl w:val="0"/>
          <w:numId w:val="2"/>
        </w:numPr>
        <w:bidi/>
        <w:spacing w:after="100" w:line="300"/>
        <w:jc w:val="right"/>
      </w:pPr>
      <w:r>
        <w:rPr>
          <w:rFonts w:ascii="Arial" w:cs="Arial" w:eastAsia="Arial" w:hAnsi="Arial"/>
          <w:sz w:val="24"/>
          <w:szCs w:val="24"/>
          <w:rtl/>
        </w:rPr>
        <w:t xml:space="preserve">صك حصر الإرث المعتمد.</w:t>
      </w:r>
    </w:p>
    <w:p>
      <w:pPr>
        <w:pStyle w:val="ListParagraph"/>
        <w:numPr>
          <w:ilvl w:val="0"/>
          <w:numId w:val="2"/>
        </w:numPr>
        <w:bidi/>
        <w:spacing w:after="100" w:line="300"/>
        <w:jc w:val="right"/>
      </w:pPr>
      <w:r>
        <w:rPr>
          <w:rFonts w:ascii="Arial" w:cs="Arial" w:eastAsia="Arial" w:hAnsi="Arial"/>
          <w:sz w:val="24"/>
          <w:szCs w:val="24"/>
          <w:rtl/>
        </w:rPr>
        <w:t xml:space="preserve">صك قسمة الورثة أو اتفاق قسمة.</w:t>
      </w:r>
    </w:p>
    <w:p>
      <w:pPr>
        <w:pStyle w:val="ListParagraph"/>
        <w:numPr>
          <w:ilvl w:val="0"/>
          <w:numId w:val="2"/>
        </w:numPr>
        <w:bidi/>
        <w:spacing w:after="100" w:line="300"/>
        <w:jc w:val="right"/>
      </w:pPr>
      <w:r>
        <w:rPr>
          <w:rFonts w:ascii="Arial" w:cs="Arial" w:eastAsia="Arial" w:hAnsi="Arial"/>
          <w:sz w:val="24"/>
          <w:szCs w:val="24"/>
          <w:rtl/>
        </w:rPr>
        <w:t xml:space="preserve">هويات سارية لجميع الورثة.</w:t>
      </w:r>
    </w:p>
    <w:p>
      <w:pPr>
        <w:pStyle w:val="ListParagraph"/>
        <w:numPr>
          <w:ilvl w:val="0"/>
          <w:numId w:val="2"/>
        </w:numPr>
        <w:bidi/>
        <w:spacing w:after="100" w:line="300"/>
        <w:jc w:val="right"/>
      </w:pPr>
      <w:r>
        <w:rPr>
          <w:rFonts w:ascii="Arial" w:cs="Arial" w:eastAsia="Arial" w:hAnsi="Arial"/>
          <w:sz w:val="24"/>
          <w:szCs w:val="24"/>
          <w:rtl/>
        </w:rPr>
        <w:t xml:space="preserve">توكيلات نظامية (إن وُجدت).</w:t>
      </w:r>
    </w:p>
    <w:p>
      <w:pPr>
        <w:pStyle w:val="ListParagraph"/>
        <w:numPr>
          <w:ilvl w:val="0"/>
          <w:numId w:val="2"/>
        </w:numPr>
        <w:bidi/>
        <w:spacing w:after="100" w:line="300"/>
        <w:jc w:val="right"/>
      </w:pPr>
      <w:r>
        <w:rPr>
          <w:rFonts w:ascii="Arial" w:cs="Arial" w:eastAsia="Arial" w:hAnsi="Arial"/>
          <w:sz w:val="24"/>
          <w:szCs w:val="24"/>
          <w:rtl/>
        </w:rPr>
        <w:t xml:space="preserve">بيانات الحسابات المصرفية للورثة.</w:t>
      </w:r>
    </w:p>
    <w:p>
      <w:pPr>
        <w:pStyle w:val="ListParagraph"/>
        <w:numPr>
          <w:ilvl w:val="0"/>
          <w:numId w:val="2"/>
        </w:numPr>
        <w:bidi/>
        <w:spacing w:after="100" w:line="300"/>
        <w:jc w:val="right"/>
      </w:pPr>
      <w:r>
        <w:rPr>
          <w:rFonts w:ascii="Arial" w:cs="Arial" w:eastAsia="Arial" w:hAnsi="Arial"/>
          <w:sz w:val="24"/>
          <w:szCs w:val="24"/>
          <w:rtl/>
        </w:rPr>
        <w:t xml:space="preserve">التحقق من سن القاصرين وإجراءات إدارة ممتلكاتهم.</w:t>
      </w:r>
    </w:p>
    <w:p>
      <w:pPr>
        <w:pStyle w:val="Heading3"/>
        <w:bidi/>
        <w:spacing w:after="120" w:before="200"/>
        <w:jc w:val="right"/>
      </w:pPr>
      <w:r>
        <w:rPr>
          <w:rFonts w:ascii="Arial" w:cs="Arial" w:eastAsia="Arial" w:hAnsi="Arial"/>
          <w:b/>
          <w:bCs/>
          <w:color w:val="1F4E79"/>
          <w:sz w:val="26"/>
          <w:szCs w:val="26"/>
          <w:rtl/>
        </w:rPr>
        <w:t xml:space="preserve">قائمة مراجعة الرهن</w:t>
      </w:r>
    </w:p>
    <w:p>
      <w:pPr>
        <w:pStyle w:val="ListParagraph"/>
        <w:numPr>
          <w:ilvl w:val="0"/>
          <w:numId w:val="2"/>
        </w:numPr>
        <w:bidi/>
        <w:spacing w:after="100" w:line="300"/>
        <w:jc w:val="right"/>
      </w:pPr>
      <w:r>
        <w:rPr>
          <w:rFonts w:ascii="Arial" w:cs="Arial" w:eastAsia="Arial" w:hAnsi="Arial"/>
          <w:sz w:val="24"/>
          <w:szCs w:val="24"/>
          <w:rtl/>
        </w:rPr>
        <w:t xml:space="preserve">اتفاق الرهن المكتوب.</w:t>
      </w:r>
    </w:p>
    <w:p>
      <w:pPr>
        <w:pStyle w:val="ListParagraph"/>
        <w:numPr>
          <w:ilvl w:val="0"/>
          <w:numId w:val="2"/>
        </w:numPr>
        <w:bidi/>
        <w:spacing w:after="100" w:line="300"/>
        <w:jc w:val="right"/>
      </w:pPr>
      <w:r>
        <w:rPr>
          <w:rFonts w:ascii="Arial" w:cs="Arial" w:eastAsia="Arial" w:hAnsi="Arial"/>
          <w:sz w:val="24"/>
          <w:szCs w:val="24"/>
          <w:rtl/>
        </w:rPr>
        <w:t xml:space="preserve">طلب رهن مشترك من الطرفين.</w:t>
      </w:r>
    </w:p>
    <w:p>
      <w:pPr>
        <w:pStyle w:val="ListParagraph"/>
        <w:numPr>
          <w:ilvl w:val="0"/>
          <w:numId w:val="2"/>
        </w:numPr>
        <w:bidi/>
        <w:spacing w:after="100" w:line="300"/>
        <w:jc w:val="right"/>
      </w:pPr>
      <w:r>
        <w:rPr>
          <w:rFonts w:ascii="Arial" w:cs="Arial" w:eastAsia="Arial" w:hAnsi="Arial"/>
          <w:sz w:val="24"/>
          <w:szCs w:val="24"/>
          <w:rtl/>
        </w:rPr>
        <w:t xml:space="preserve">توثيق التوقيعات.</w:t>
      </w:r>
    </w:p>
    <w:p>
      <w:pPr>
        <w:pStyle w:val="ListParagraph"/>
        <w:numPr>
          <w:ilvl w:val="0"/>
          <w:numId w:val="2"/>
        </w:numPr>
        <w:bidi/>
        <w:spacing w:after="100" w:line="300"/>
        <w:jc w:val="right"/>
      </w:pPr>
      <w:r>
        <w:rPr>
          <w:rFonts w:ascii="Arial" w:cs="Arial" w:eastAsia="Arial" w:hAnsi="Arial"/>
          <w:sz w:val="24"/>
          <w:szCs w:val="24"/>
          <w:rtl/>
        </w:rPr>
        <w:t xml:space="preserve">بيانات تفصيلية للأسهم المرهونة.</w:t>
      </w:r>
    </w:p>
    <w:p>
      <w:pPr>
        <w:pStyle w:val="ListParagraph"/>
        <w:numPr>
          <w:ilvl w:val="0"/>
          <w:numId w:val="2"/>
        </w:numPr>
        <w:bidi/>
        <w:spacing w:after="100" w:line="300"/>
        <w:jc w:val="right"/>
      </w:pPr>
      <w:r>
        <w:rPr>
          <w:rFonts w:ascii="Arial" w:cs="Arial" w:eastAsia="Arial" w:hAnsi="Arial"/>
          <w:sz w:val="24"/>
          <w:szCs w:val="24"/>
          <w:rtl/>
        </w:rPr>
        <w:t xml:space="preserve">بيانات الدين المضمون.</w:t>
      </w:r>
    </w:p>
    <w:p>
      <w:pPr>
        <w:pStyle w:val="ListParagraph"/>
        <w:numPr>
          <w:ilvl w:val="0"/>
          <w:numId w:val="2"/>
        </w:numPr>
        <w:bidi/>
        <w:spacing w:after="100" w:line="300"/>
        <w:jc w:val="right"/>
      </w:pPr>
      <w:r>
        <w:rPr>
          <w:rFonts w:ascii="Arial" w:cs="Arial" w:eastAsia="Arial" w:hAnsi="Arial"/>
          <w:sz w:val="24"/>
          <w:szCs w:val="24"/>
          <w:rtl/>
        </w:rPr>
        <w:t xml:space="preserve">التحقق من عدم وجود رهون سابقة.</w:t>
      </w:r>
    </w:p>
    <w:p>
      <w:pPr>
        <w:pStyle w:val="ListParagraph"/>
        <w:numPr>
          <w:ilvl w:val="0"/>
          <w:numId w:val="2"/>
        </w:numPr>
        <w:bidi/>
        <w:spacing w:after="100" w:line="300"/>
        <w:jc w:val="right"/>
      </w:pPr>
      <w:r>
        <w:rPr>
          <w:rFonts w:ascii="Arial" w:cs="Arial" w:eastAsia="Arial" w:hAnsi="Arial"/>
          <w:sz w:val="24"/>
          <w:szCs w:val="24"/>
          <w:rtl/>
        </w:rPr>
        <w:t xml:space="preserve">التحقق من خلو الأسهم من الحجز.</w:t>
      </w:r>
    </w:p>
    <w:p>
      <w:pPr>
        <w:pStyle w:val="Heading3"/>
        <w:bidi/>
        <w:spacing w:after="120" w:before="200"/>
        <w:jc w:val="right"/>
      </w:pPr>
      <w:r>
        <w:rPr>
          <w:rFonts w:ascii="Arial" w:cs="Arial" w:eastAsia="Arial" w:hAnsi="Arial"/>
          <w:b/>
          <w:bCs/>
          <w:color w:val="1F4E79"/>
          <w:sz w:val="26"/>
          <w:szCs w:val="26"/>
          <w:rtl/>
        </w:rPr>
        <w:t xml:space="preserve">قائمة مراجعة الحجز</w:t>
      </w:r>
    </w:p>
    <w:p>
      <w:pPr>
        <w:pStyle w:val="ListParagraph"/>
        <w:numPr>
          <w:ilvl w:val="0"/>
          <w:numId w:val="2"/>
        </w:numPr>
        <w:bidi/>
        <w:spacing w:after="100" w:line="300"/>
        <w:jc w:val="right"/>
      </w:pPr>
      <w:r>
        <w:rPr>
          <w:rFonts w:ascii="Arial" w:cs="Arial" w:eastAsia="Arial" w:hAnsi="Arial"/>
          <w:sz w:val="24"/>
          <w:szCs w:val="24"/>
          <w:rtl/>
        </w:rPr>
        <w:t xml:space="preserve">قرار الحجز الرسمي.</w:t>
      </w:r>
    </w:p>
    <w:p>
      <w:pPr>
        <w:pStyle w:val="ListParagraph"/>
        <w:numPr>
          <w:ilvl w:val="0"/>
          <w:numId w:val="2"/>
        </w:numPr>
        <w:bidi/>
        <w:spacing w:after="100" w:line="300"/>
        <w:jc w:val="right"/>
      </w:pPr>
      <w:r>
        <w:rPr>
          <w:rFonts w:ascii="Arial" w:cs="Arial" w:eastAsia="Arial" w:hAnsi="Arial"/>
          <w:sz w:val="24"/>
          <w:szCs w:val="24"/>
          <w:rtl/>
        </w:rPr>
        <w:t xml:space="preserve">التحقق من جهة الإصدار وصلاحيتها.</w:t>
      </w:r>
    </w:p>
    <w:p>
      <w:pPr>
        <w:pStyle w:val="ListParagraph"/>
        <w:numPr>
          <w:ilvl w:val="0"/>
          <w:numId w:val="2"/>
        </w:numPr>
        <w:bidi/>
        <w:spacing w:after="100" w:line="300"/>
        <w:jc w:val="right"/>
      </w:pPr>
      <w:r>
        <w:rPr>
          <w:rFonts w:ascii="Arial" w:cs="Arial" w:eastAsia="Arial" w:hAnsi="Arial"/>
          <w:sz w:val="24"/>
          <w:szCs w:val="24"/>
          <w:rtl/>
        </w:rPr>
        <w:t xml:space="preserve">التحقق من سلامة الإجراءات.</w:t>
      </w:r>
    </w:p>
    <w:p>
      <w:pPr>
        <w:pStyle w:val="ListParagraph"/>
        <w:numPr>
          <w:ilvl w:val="0"/>
          <w:numId w:val="2"/>
        </w:numPr>
        <w:bidi/>
        <w:spacing w:after="100" w:line="300"/>
        <w:jc w:val="right"/>
      </w:pPr>
      <w:r>
        <w:rPr>
          <w:rFonts w:ascii="Arial" w:cs="Arial" w:eastAsia="Arial" w:hAnsi="Arial"/>
          <w:sz w:val="24"/>
          <w:szCs w:val="24"/>
          <w:rtl/>
        </w:rPr>
        <w:t xml:space="preserve">بيانات تفصيلية للأسهم المحجوزة.</w:t>
      </w:r>
    </w:p>
    <w:p>
      <w:pPr>
        <w:pStyle w:val="ListParagraph"/>
        <w:numPr>
          <w:ilvl w:val="0"/>
          <w:numId w:val="2"/>
        </w:numPr>
        <w:bidi/>
        <w:spacing w:after="100" w:line="300"/>
        <w:jc w:val="right"/>
      </w:pPr>
      <w:r>
        <w:rPr>
          <w:rFonts w:ascii="Arial" w:cs="Arial" w:eastAsia="Arial" w:hAnsi="Arial"/>
          <w:sz w:val="24"/>
          <w:szCs w:val="24"/>
          <w:rtl/>
        </w:rPr>
        <w:t xml:space="preserve">بيانات المحجوز لمصلحته.</w:t>
      </w:r>
    </w:p>
    <w:p>
      <w:pPr>
        <w:pStyle w:val="ListParagraph"/>
        <w:numPr>
          <w:ilvl w:val="0"/>
          <w:numId w:val="2"/>
        </w:numPr>
        <w:bidi/>
        <w:spacing w:after="100" w:line="300"/>
        <w:jc w:val="right"/>
      </w:pPr>
      <w:r>
        <w:rPr>
          <w:rFonts w:ascii="Arial" w:cs="Arial" w:eastAsia="Arial" w:hAnsi="Arial"/>
          <w:sz w:val="24"/>
          <w:szCs w:val="24"/>
          <w:rtl/>
        </w:rPr>
        <w:t xml:space="preserve">إخطار المساهم بالحجز.</w:t>
      </w:r>
    </w:p>
    <w:p>
      <w:pPr>
        <w:pStyle w:val="ListParagraph"/>
        <w:numPr>
          <w:ilvl w:val="0"/>
          <w:numId w:val="2"/>
        </w:numPr>
        <w:bidi/>
        <w:spacing w:after="100" w:line="300"/>
        <w:jc w:val="right"/>
      </w:pPr>
      <w:r>
        <w:rPr>
          <w:rFonts w:ascii="Arial" w:cs="Arial" w:eastAsia="Arial" w:hAnsi="Arial"/>
          <w:sz w:val="24"/>
          <w:szCs w:val="24"/>
          <w:rtl/>
        </w:rPr>
        <w:t xml:space="preserve">تحديد الجهة المختصة برفع الحجز.</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تغييرات الملكية هي العمليات الأكثر حساسية في إدارة سجل المساهمين، وتتطلب فهماً عميقاً للأنواع المختلفة وإجراءاتها التفصيلية. والشركات الناجحة هي التي تطور إجراءات معيارية واضحة لكل نوع من العمليات، مع توفير الكوادر المؤهلة والأنظمة التقنية اللازمة.</w:t>
      </w:r>
    </w:p>
    <w:p>
      <w:pPr>
        <w:bidi/>
        <w:spacing w:after="140" w:line="320"/>
        <w:jc w:val="both"/>
      </w:pPr>
      <w:r>
        <w:rPr>
          <w:rFonts w:ascii="Arial" w:cs="Arial" w:eastAsia="Arial" w:hAnsi="Arial"/>
          <w:sz w:val="24"/>
          <w:szCs w:val="24"/>
          <w:rtl/>
        </w:rPr>
        <w:t xml:space="preserve">التزام الدقة في الوثائق، والتحقق المتعدد من المستندات، والشفافية في الإجراءات، يحمي الشركة من المخاطر القانونية ويُعزز ثقة المساهمين. والاستثمار في الأنظمة والتدريب على هذه العمليات يدفع جودة الخدمة المقدمة للمساهمين إلى مستويات متقدمة.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تغييرات الملكية تنقسم إلى: إرادية، بحكم القانون، وقسرية. 2) في الشركات المدرجة، تتم معظم العمليات تلقائياً عبر منظومة إيداع. 3) في الشركات غير المدرجة، تتطلب العمليات وثائق دقيقة وتوثيقاً للتوقيعات. 4) الإرث يستوجب صك حصر إرث رسمياً ولا يجوز قسمة الأسهم بدونه. 5) الرهن والحجز يقيدان التصرف لكن لا ينقلان الملكية. 6) التحقق المتعدد والفصل بين الواجبات هما خط الدفاع ضد الاحتيال.</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 الفصول الخاصة بنقل ملكية الأسهم.</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 أحكام الرهن وفكه.</w:t>
      </w:r>
    </w:p>
    <w:p>
      <w:pPr>
        <w:pStyle w:val="ListParagraph"/>
        <w:numPr>
          <w:ilvl w:val="0"/>
          <w:numId w:val="2"/>
        </w:numPr>
        <w:bidi/>
        <w:spacing w:after="100" w:line="300"/>
        <w:jc w:val="right"/>
      </w:pPr>
      <w:r>
        <w:rPr>
          <w:rFonts w:ascii="Arial" w:cs="Arial" w:eastAsia="Arial" w:hAnsi="Arial"/>
          <w:sz w:val="24"/>
          <w:szCs w:val="24"/>
          <w:rtl/>
        </w:rPr>
        <w:t xml:space="preserve">نظام التنفيذ في المملكة العربية السعودية.</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2"/>
        </w:numPr>
        <w:bidi/>
        <w:spacing w:after="100" w:line="300"/>
        <w:jc w:val="right"/>
      </w:pPr>
      <w:r>
        <w:rPr>
          <w:rFonts w:ascii="Arial" w:cs="Arial" w:eastAsia="Arial" w:hAnsi="Arial"/>
          <w:sz w:val="24"/>
          <w:szCs w:val="24"/>
          <w:rtl/>
        </w:rPr>
        <w:t xml:space="preserve">قواعد الإيداع والتسجيل لدى مركز إيداع الأوراق المالية.</w:t>
      </w:r>
    </w:p>
    <w:p>
      <w:pPr>
        <w:pStyle w:val="ListParagraph"/>
        <w:numPr>
          <w:ilvl w:val="0"/>
          <w:numId w:val="2"/>
        </w:numPr>
        <w:bidi/>
        <w:spacing w:after="100" w:line="300"/>
        <w:jc w:val="right"/>
      </w:pPr>
      <w:r>
        <w:rPr>
          <w:rFonts w:ascii="Arial" w:cs="Arial" w:eastAsia="Arial" w:hAnsi="Arial"/>
          <w:sz w:val="24"/>
          <w:szCs w:val="24"/>
          <w:rtl/>
        </w:rPr>
        <w:t xml:space="preserve">نظام المرافعات الشرعية في المملكة العربية السعودية.</w:t>
      </w:r>
    </w:p>
    <w:p>
      <w:pPr>
        <w:pStyle w:val="ListParagraph"/>
        <w:numPr>
          <w:ilvl w:val="0"/>
          <w:numId w:val="2"/>
        </w:numPr>
        <w:bidi/>
        <w:spacing w:after="100" w:line="300"/>
        <w:jc w:val="right"/>
      </w:pPr>
      <w:r>
        <w:rPr>
          <w:rFonts w:ascii="Arial" w:cs="Arial" w:eastAsia="Arial" w:hAnsi="Arial"/>
          <w:sz w:val="24"/>
          <w:szCs w:val="24"/>
          <w:rtl/>
        </w:rPr>
        <w:t xml:space="preserve">الأحكام الشرعية المتعلقة بالإرث والهبة.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التعامل مع تغييرات الملكية | حوكمة الشركات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التعامل مع تغييرات الملكية</dc:title>
  <dc:creator>Corporate Governance Knowledge Base</dc:creator>
  <cp:lastModifiedBy>Un-named</cp:lastModifiedBy>
  <cp:revision>1</cp:revision>
  <dcterms:created xsi:type="dcterms:W3CDTF">2026-05-16T00:01:31.035Z</dcterms:created>
  <dcterms:modified xsi:type="dcterms:W3CDTF">2026-05-16T00:01:31.035Z</dcterms:modified>
</cp:coreProperties>
</file>

<file path=docProps/custom.xml><?xml version="1.0" encoding="utf-8"?>
<Properties xmlns="http://schemas.openxmlformats.org/officeDocument/2006/custom-properties" xmlns:vt="http://schemas.openxmlformats.org/officeDocument/2006/docPropsVTypes"/>
</file>