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توزيعات الأرباح وعلاقتها بسجل المساهمين</w:t>
      </w:r>
    </w:p>
    <w:p>
      <w:pPr>
        <w:bidi/>
        <w:spacing w:after="400"/>
        <w:jc w:val="center"/>
      </w:pPr>
      <w:r>
        <w:rPr>
          <w:rFonts w:ascii="Arial" w:cs="Arial" w:eastAsia="Arial" w:hAnsi="Arial"/>
          <w:i/>
          <w:iCs/>
          <w:color w:val="2E75B6"/>
          <w:sz w:val="26"/>
          <w:szCs w:val="26"/>
          <w:rtl/>
        </w:rPr>
        <w:t xml:space="preserve">حساب الاستحقاقات، تواريخ الأحقية، وآليات الصرف</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توزيعات الأرباح هي الثمرة المالية الأهم التي يجنيها المساهم من استثماره في الشركة، وهي تعكس بصورة مباشرة نجاح الشركة وقدرتها على تحقيق الأرباح وتوزيعها. ومن منظور إدارة سجل المساهمين، تُعدّ عملية التوزيع من أكثر العمليات حساسيةً ودقةً، لأنها ترتكز كلياً على السجل لتحديد المستحقين وحساب أنصبتهم.</w:t>
      </w:r>
    </w:p>
    <w:p>
      <w:pPr>
        <w:bidi/>
        <w:spacing w:after="140" w:line="320"/>
        <w:jc w:val="both"/>
      </w:pPr>
      <w:r>
        <w:rPr>
          <w:rFonts w:ascii="Arial" w:cs="Arial" w:eastAsia="Arial" w:hAnsi="Arial"/>
          <w:sz w:val="24"/>
          <w:szCs w:val="24"/>
          <w:rtl/>
        </w:rPr>
        <w:t xml:space="preserve">أي خطأ في السجل ينعكس مباشرة على عملية التوزيع، وقد يؤدي إلى صرف مبالغ لغير مستحقيها، أو حرمان مستحقين من حقوقهم، مما يستتبع نزاعات قانونية وإضراراً بسمعة الشركة. وتتعقد هذه العملية في الشركات الكبرى التي يصل عدد مساهميها إلى عشرات الآلاف، مع تنوع أنواع الأسهم وفئاتها.</w:t>
      </w:r>
    </w:p>
    <w:p>
      <w:pPr>
        <w:bidi/>
        <w:spacing w:after="140" w:line="320"/>
        <w:jc w:val="both"/>
      </w:pPr>
      <w:r>
        <w:rPr>
          <w:rFonts w:ascii="Arial" w:cs="Arial" w:eastAsia="Arial" w:hAnsi="Arial"/>
          <w:sz w:val="24"/>
          <w:szCs w:val="24"/>
          <w:rtl/>
        </w:rPr>
        <w:t xml:space="preserve">في هذا المقال، نستعرض الإطار النظامي لتوزيعات الأرباح في المملكة العربية السعودية، أنواع التوزيعات، التواريخ الحاكمة، آليات الحساب والصرف، ودور سجل المساهمين في كل مرحلة من هذه المراحل.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الإطار النظامي لتوزيعات الأرباح</w:t>
      </w:r>
    </w:p>
    <w:p>
      <w:pPr>
        <w:bidi/>
        <w:spacing w:after="140" w:line="320"/>
        <w:jc w:val="both"/>
      </w:pPr>
      <w:r>
        <w:rPr>
          <w:rFonts w:ascii="Arial" w:cs="Arial" w:eastAsia="Arial" w:hAnsi="Arial"/>
          <w:sz w:val="24"/>
          <w:szCs w:val="24"/>
          <w:rtl/>
        </w:rPr>
        <w:t xml:space="preserve">ينظّم نظام الشركات السعودي ولائحته التنفيذية توزيعات الأرباح بضوابط دقيقة تستهدف حماية مصالح المساهمين والدائنين والشركة معاً.</w:t>
      </w:r>
    </w:p>
    <w:p>
      <w:pPr>
        <w:pStyle w:val="Heading2"/>
        <w:bidi/>
        <w:spacing w:after="160" w:before="280"/>
        <w:jc w:val="right"/>
      </w:pPr>
      <w:r>
        <w:rPr>
          <w:rFonts w:ascii="Arial" w:cs="Arial" w:eastAsia="Arial" w:hAnsi="Arial"/>
          <w:b/>
          <w:bCs/>
          <w:color w:val="2E75B6"/>
          <w:sz w:val="30"/>
          <w:szCs w:val="30"/>
          <w:rtl/>
        </w:rPr>
        <w:t xml:space="preserve">المبادئ الأساسية</w:t>
      </w:r>
    </w:p>
    <w:p>
      <w:pPr>
        <w:pStyle w:val="Heading3"/>
        <w:bidi/>
        <w:spacing w:after="120" w:before="200"/>
        <w:jc w:val="right"/>
      </w:pPr>
      <w:r>
        <w:rPr>
          <w:rFonts w:ascii="Arial" w:cs="Arial" w:eastAsia="Arial" w:hAnsi="Arial"/>
          <w:b/>
          <w:bCs/>
          <w:color w:val="1F4E79"/>
          <w:sz w:val="26"/>
          <w:szCs w:val="26"/>
          <w:rtl/>
        </w:rPr>
        <w:t xml:space="preserve">1. مبدأ التوزيع من الأرباح الفعلية</w:t>
      </w:r>
    </w:p>
    <w:p>
      <w:pPr>
        <w:bidi/>
        <w:spacing w:after="140" w:line="320"/>
        <w:jc w:val="both"/>
      </w:pPr>
      <w:r>
        <w:rPr>
          <w:rFonts w:ascii="Arial" w:cs="Arial" w:eastAsia="Arial" w:hAnsi="Arial"/>
          <w:sz w:val="24"/>
          <w:szCs w:val="24"/>
          <w:rtl/>
        </w:rPr>
        <w:t xml:space="preserve">لا يجوز توزيع أرباح إلا من الأرباح الفعلية المحققة. ويحظر النظام توزيع أرباح غير محققة أو أرباح رأسمالية لم تُسجَّل في القوائم المالية المعتمدة. وأي توزيع خلافاً لذلك يخوّل دائني الشركة الحق في المطالبة باسترداده.</w:t>
      </w:r>
    </w:p>
    <w:p>
      <w:pPr>
        <w:pStyle w:val="Heading3"/>
        <w:bidi/>
        <w:spacing w:after="120" w:before="200"/>
        <w:jc w:val="right"/>
      </w:pPr>
      <w:r>
        <w:rPr>
          <w:rFonts w:ascii="Arial" w:cs="Arial" w:eastAsia="Arial" w:hAnsi="Arial"/>
          <w:b/>
          <w:bCs/>
          <w:color w:val="1F4E79"/>
          <w:sz w:val="26"/>
          <w:szCs w:val="26"/>
          <w:rtl/>
        </w:rPr>
        <w:t xml:space="preserve">2. مبدأ الاحتياطي القانوني</w:t>
      </w:r>
    </w:p>
    <w:p>
      <w:pPr>
        <w:bidi/>
        <w:spacing w:after="140" w:line="320"/>
        <w:jc w:val="both"/>
      </w:pPr>
      <w:r>
        <w:rPr>
          <w:rFonts w:ascii="Arial" w:cs="Arial" w:eastAsia="Arial" w:hAnsi="Arial"/>
          <w:sz w:val="24"/>
          <w:szCs w:val="24"/>
          <w:rtl/>
        </w:rPr>
        <w:t xml:space="preserve">يُلزم النظام الشركات باقتطاع 10% من صافي الأرباح كاحتياطي قانوني، حتى يصل هذا الاحتياطي إلى نصف رأس المال المدفوع. لا يمكن استخدام هذا الاحتياطي إلا لأغراض محددة كتغطية الخسائر.</w:t>
      </w:r>
    </w:p>
    <w:p>
      <w:pPr>
        <w:pStyle w:val="Heading3"/>
        <w:bidi/>
        <w:spacing w:after="120" w:before="200"/>
        <w:jc w:val="right"/>
      </w:pPr>
      <w:r>
        <w:rPr>
          <w:rFonts w:ascii="Arial" w:cs="Arial" w:eastAsia="Arial" w:hAnsi="Arial"/>
          <w:b/>
          <w:bCs/>
          <w:color w:val="1F4E79"/>
          <w:sz w:val="26"/>
          <w:szCs w:val="26"/>
          <w:rtl/>
        </w:rPr>
        <w:t xml:space="preserve">3. مبدأ عدم توزيع الأرباح في حالة الخسائر المتراكمة</w:t>
      </w:r>
    </w:p>
    <w:p>
      <w:pPr>
        <w:bidi/>
        <w:spacing w:after="140" w:line="320"/>
        <w:jc w:val="both"/>
      </w:pPr>
      <w:r>
        <w:rPr>
          <w:rFonts w:ascii="Arial" w:cs="Arial" w:eastAsia="Arial" w:hAnsi="Arial"/>
          <w:sz w:val="24"/>
          <w:szCs w:val="24"/>
          <w:rtl/>
        </w:rPr>
        <w:t xml:space="preserve">لا يجوز توزيع أرباح إذا كانت الشركة تعاني من خسائر متراكمة لم تتم تغطيتها بعد. ويجب أولاً امتصاص الخسائر السابقة قبل توزيع أي أرباح جديدة.</w:t>
      </w:r>
    </w:p>
    <w:p>
      <w:pPr>
        <w:pStyle w:val="Heading3"/>
        <w:bidi/>
        <w:spacing w:after="120" w:before="200"/>
        <w:jc w:val="right"/>
      </w:pPr>
      <w:r>
        <w:rPr>
          <w:rFonts w:ascii="Arial" w:cs="Arial" w:eastAsia="Arial" w:hAnsi="Arial"/>
          <w:b/>
          <w:bCs/>
          <w:color w:val="1F4E79"/>
          <w:sz w:val="26"/>
          <w:szCs w:val="26"/>
          <w:rtl/>
        </w:rPr>
        <w:t xml:space="preserve">4. مبدأ المساواة بين الفئات المتماثلة</w:t>
      </w:r>
    </w:p>
    <w:p>
      <w:pPr>
        <w:bidi/>
        <w:spacing w:after="140" w:line="320"/>
        <w:jc w:val="both"/>
      </w:pPr>
      <w:r>
        <w:rPr>
          <w:rFonts w:ascii="Arial" w:cs="Arial" w:eastAsia="Arial" w:hAnsi="Arial"/>
          <w:sz w:val="24"/>
          <w:szCs w:val="24"/>
          <w:rtl/>
        </w:rPr>
        <w:t xml:space="preserve">تستحق الأسهم من ذات النوع والفئة حقوقاً متساوية في الأرباح. أما الأسهم من فئات مختلفة، فتختلف حقوقها بحسب ما ينص عليه النظام الأساس.</w:t>
      </w:r>
    </w:p>
    <w:p>
      <w:pPr>
        <w:pStyle w:val="Heading3"/>
        <w:bidi/>
        <w:spacing w:after="120" w:before="200"/>
        <w:jc w:val="right"/>
      </w:pPr>
      <w:r>
        <w:rPr>
          <w:rFonts w:ascii="Arial" w:cs="Arial" w:eastAsia="Arial" w:hAnsi="Arial"/>
          <w:b/>
          <w:bCs/>
          <w:color w:val="1F4E79"/>
          <w:sz w:val="26"/>
          <w:szCs w:val="26"/>
          <w:rtl/>
        </w:rPr>
        <w:t xml:space="preserve">5. مبدأ الإفصاح الفوري</w:t>
      </w:r>
    </w:p>
    <w:p>
      <w:pPr>
        <w:bidi/>
        <w:spacing w:after="140" w:line="320"/>
        <w:jc w:val="both"/>
      </w:pPr>
      <w:r>
        <w:rPr>
          <w:rFonts w:ascii="Arial" w:cs="Arial" w:eastAsia="Arial" w:hAnsi="Arial"/>
          <w:sz w:val="24"/>
          <w:szCs w:val="24"/>
          <w:rtl/>
        </w:rPr>
        <w:t xml:space="preserve">يجب على الشركة الإفصاح فوراً ودون تأخير عن قرارات توزيع الأرباح، وذلك للهيئة (هيئة السوق المالية) وللجمهور.</w:t>
      </w:r>
    </w:p>
    <w:p>
      <w:pPr>
        <w:pStyle w:val="Heading2"/>
        <w:bidi/>
        <w:spacing w:after="160" w:before="280"/>
        <w:jc w:val="right"/>
      </w:pPr>
      <w:r>
        <w:rPr>
          <w:rFonts w:ascii="Arial" w:cs="Arial" w:eastAsia="Arial" w:hAnsi="Arial"/>
          <w:b/>
          <w:bCs/>
          <w:color w:val="2E75B6"/>
          <w:sz w:val="30"/>
          <w:szCs w:val="30"/>
          <w:rtl/>
        </w:rPr>
        <w:t xml:space="preserve">الأرباح القابلة للتوزيع</w:t>
      </w:r>
    </w:p>
    <w:p>
      <w:pPr>
        <w:bidi/>
        <w:spacing w:after="140" w:line="320"/>
        <w:jc w:val="both"/>
      </w:pPr>
      <w:r>
        <w:rPr>
          <w:rFonts w:ascii="Arial" w:cs="Arial" w:eastAsia="Arial" w:hAnsi="Arial"/>
          <w:sz w:val="24"/>
          <w:szCs w:val="24"/>
          <w:rtl/>
        </w:rPr>
        <w:t xml:space="preserve">وفقاً للائحة التنفيذية لنظام الشركات، تتكون الأرباح القابلة للتوزيع من:</w:t>
      </w:r>
    </w:p>
    <w:p>
      <w:pPr>
        <w:pStyle w:val="ListParagraph"/>
        <w:numPr>
          <w:ilvl w:val="0"/>
          <w:numId w:val="2"/>
        </w:numPr>
        <w:bidi/>
        <w:spacing w:after="100" w:line="300"/>
        <w:jc w:val="right"/>
      </w:pPr>
      <w:r>
        <w:rPr>
          <w:rFonts w:ascii="Arial" w:cs="Arial" w:eastAsia="Arial" w:hAnsi="Arial"/>
          <w:sz w:val="24"/>
          <w:szCs w:val="24"/>
          <w:rtl/>
        </w:rPr>
        <w:t xml:space="preserve">رصيد الأرباح المبقاة الظاهر في قائمة المركز المالي للفترة السابقة لقرار التوزيع.</w:t>
      </w:r>
    </w:p>
    <w:p>
      <w:pPr>
        <w:pStyle w:val="ListParagraph"/>
        <w:numPr>
          <w:ilvl w:val="0"/>
          <w:numId w:val="2"/>
        </w:numPr>
        <w:bidi/>
        <w:spacing w:after="100" w:line="300"/>
        <w:jc w:val="right"/>
      </w:pPr>
      <w:r>
        <w:rPr>
          <w:rFonts w:ascii="Arial" w:cs="Arial" w:eastAsia="Arial" w:hAnsi="Arial"/>
          <w:sz w:val="24"/>
          <w:szCs w:val="24"/>
          <w:rtl/>
        </w:rPr>
        <w:t xml:space="preserve">رصيد أي احتياطيات قابلة للتوزيع.</w:t>
      </w:r>
    </w:p>
    <w:p>
      <w:pPr>
        <w:pStyle w:val="ListParagraph"/>
        <w:numPr>
          <w:ilvl w:val="0"/>
          <w:numId w:val="2"/>
        </w:numPr>
        <w:bidi/>
        <w:spacing w:after="100" w:line="300"/>
        <w:jc w:val="right"/>
      </w:pPr>
      <w:r>
        <w:rPr>
          <w:rFonts w:ascii="Arial" w:cs="Arial" w:eastAsia="Arial" w:hAnsi="Arial"/>
          <w:sz w:val="24"/>
          <w:szCs w:val="24"/>
          <w:rtl/>
        </w:rPr>
        <w:t xml:space="preserve">الأرباح المتحققة في الفترة الحالية (للتوزيعات المرحلية).</w:t>
      </w:r>
    </w:p>
    <w:p>
      <w:pPr>
        <w:pStyle w:val="ListParagraph"/>
        <w:numPr>
          <w:ilvl w:val="0"/>
          <w:numId w:val="2"/>
        </w:numPr>
        <w:bidi/>
        <w:spacing w:after="100" w:line="300"/>
        <w:jc w:val="right"/>
      </w:pPr>
      <w:r>
        <w:rPr>
          <w:rFonts w:ascii="Arial" w:cs="Arial" w:eastAsia="Arial" w:hAnsi="Arial"/>
          <w:sz w:val="24"/>
          <w:szCs w:val="24"/>
          <w:rtl/>
        </w:rPr>
        <w:t xml:space="preserve">الاحتياطيات التي قرر إلغاء الغرض الذي كُوّنت من أجله.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الاحتياطيات القابلة للتوزيع هي تلك المكوّنة من الأرباح ولم تخصص لأغراض معينة، أو التي قرر إلغاء الغرض الذي كوّنت من أجله. أما الاحتياطي القانوني فهو من الاحتياطيات غير القابلة للتوزيع، ويُستخدم فقط لأغراض محددة في النظام.</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أنواع توزيعات الأرباح</w:t>
      </w:r>
    </w:p>
    <w:p>
      <w:pPr>
        <w:bidi/>
        <w:spacing w:after="140" w:line="320"/>
        <w:jc w:val="both"/>
      </w:pPr>
      <w:r>
        <w:rPr>
          <w:rFonts w:ascii="Arial" w:cs="Arial" w:eastAsia="Arial" w:hAnsi="Arial"/>
          <w:sz w:val="24"/>
          <w:szCs w:val="24"/>
          <w:rtl/>
        </w:rPr>
        <w:t xml:space="preserve">تتنوع توزيعات الأرباح بحسب التوقيت والشكل، ولكل نوع خصائصه وضوابطه:</w:t>
      </w:r>
    </w:p>
    <w:p>
      <w:pPr>
        <w:pStyle w:val="Heading2"/>
        <w:bidi/>
        <w:spacing w:after="160" w:before="280"/>
        <w:jc w:val="right"/>
      </w:pPr>
      <w:r>
        <w:rPr>
          <w:rFonts w:ascii="Arial" w:cs="Arial" w:eastAsia="Arial" w:hAnsi="Arial"/>
          <w:b/>
          <w:bCs/>
          <w:color w:val="2E75B6"/>
          <w:sz w:val="30"/>
          <w:szCs w:val="30"/>
          <w:rtl/>
        </w:rPr>
        <w:t xml:space="preserve">1. التوزيع السنوي</w:t>
      </w:r>
    </w:p>
    <w:p>
      <w:pPr>
        <w:bidi/>
        <w:spacing w:after="140" w:line="320"/>
        <w:jc w:val="both"/>
      </w:pPr>
      <w:r>
        <w:rPr>
          <w:rFonts w:ascii="Arial" w:cs="Arial" w:eastAsia="Arial" w:hAnsi="Arial"/>
          <w:sz w:val="24"/>
          <w:szCs w:val="24"/>
          <w:rtl/>
        </w:rPr>
        <w:t xml:space="preserve">هو التوزيع الأكثر شيوعاً، ويتم بعد انتهاء السنة المالية وموافقة الجمعية العامة العادية على القوائم المالية. ويستند إلى الأرباح المحققة خلال السنة المالية الكاملة.</w:t>
      </w:r>
    </w:p>
    <w:p>
      <w:pPr>
        <w:pStyle w:val="Heading3"/>
        <w:bidi/>
        <w:spacing w:after="120" w:before="200"/>
        <w:jc w:val="right"/>
      </w:pPr>
      <w:r>
        <w:rPr>
          <w:rFonts w:ascii="Arial" w:cs="Arial" w:eastAsia="Arial" w:hAnsi="Arial"/>
          <w:b/>
          <w:bCs/>
          <w:color w:val="1F4E79"/>
          <w:sz w:val="26"/>
          <w:szCs w:val="26"/>
          <w:rtl/>
        </w:rPr>
        <w:t xml:space="preserve">الخصائص</w:t>
      </w:r>
    </w:p>
    <w:p>
      <w:pPr>
        <w:pStyle w:val="ListParagraph"/>
        <w:numPr>
          <w:ilvl w:val="0"/>
          <w:numId w:val="2"/>
        </w:numPr>
        <w:bidi/>
        <w:spacing w:after="100" w:line="300"/>
        <w:jc w:val="right"/>
      </w:pPr>
      <w:r>
        <w:rPr>
          <w:rFonts w:ascii="Arial" w:cs="Arial" w:eastAsia="Arial" w:hAnsi="Arial"/>
          <w:sz w:val="24"/>
          <w:szCs w:val="24"/>
          <w:rtl/>
        </w:rPr>
        <w:t xml:space="preserve">يستند إلى قوائم مالية مدققة سنوية.</w:t>
      </w:r>
    </w:p>
    <w:p>
      <w:pPr>
        <w:pStyle w:val="ListParagraph"/>
        <w:numPr>
          <w:ilvl w:val="0"/>
          <w:numId w:val="2"/>
        </w:numPr>
        <w:bidi/>
        <w:spacing w:after="100" w:line="300"/>
        <w:jc w:val="right"/>
      </w:pPr>
      <w:r>
        <w:rPr>
          <w:rFonts w:ascii="Arial" w:cs="Arial" w:eastAsia="Arial" w:hAnsi="Arial"/>
          <w:sz w:val="24"/>
          <w:szCs w:val="24"/>
          <w:rtl/>
        </w:rPr>
        <w:t xml:space="preserve">يقرّ من الجمعية العامة العادية.</w:t>
      </w:r>
    </w:p>
    <w:p>
      <w:pPr>
        <w:pStyle w:val="ListParagraph"/>
        <w:numPr>
          <w:ilvl w:val="0"/>
          <w:numId w:val="2"/>
        </w:numPr>
        <w:bidi/>
        <w:spacing w:after="100" w:line="300"/>
        <w:jc w:val="right"/>
      </w:pPr>
      <w:r>
        <w:rPr>
          <w:rFonts w:ascii="Arial" w:cs="Arial" w:eastAsia="Arial" w:hAnsi="Arial"/>
          <w:sz w:val="24"/>
          <w:szCs w:val="24"/>
          <w:rtl/>
        </w:rPr>
        <w:t xml:space="preserve">يتم خلال الستة أشهر التالية لانتهاء السنة المالية.</w:t>
      </w:r>
    </w:p>
    <w:p>
      <w:pPr>
        <w:pStyle w:val="ListParagraph"/>
        <w:numPr>
          <w:ilvl w:val="0"/>
          <w:numId w:val="2"/>
        </w:numPr>
        <w:bidi/>
        <w:spacing w:after="100" w:line="300"/>
        <w:jc w:val="right"/>
      </w:pPr>
      <w:r>
        <w:rPr>
          <w:rFonts w:ascii="Arial" w:cs="Arial" w:eastAsia="Arial" w:hAnsi="Arial"/>
          <w:sz w:val="24"/>
          <w:szCs w:val="24"/>
          <w:rtl/>
        </w:rPr>
        <w:t xml:space="preserve">يعكس أداء الشركة الكامل للسنة.</w:t>
      </w:r>
    </w:p>
    <w:p>
      <w:pPr>
        <w:pStyle w:val="Heading2"/>
        <w:bidi/>
        <w:spacing w:after="160" w:before="280"/>
        <w:jc w:val="right"/>
      </w:pPr>
      <w:r>
        <w:rPr>
          <w:rFonts w:ascii="Arial" w:cs="Arial" w:eastAsia="Arial" w:hAnsi="Arial"/>
          <w:b/>
          <w:bCs/>
          <w:color w:val="2E75B6"/>
          <w:sz w:val="30"/>
          <w:szCs w:val="30"/>
          <w:rtl/>
        </w:rPr>
        <w:t xml:space="preserve">2. التوزيعات المرحلية</w:t>
      </w:r>
    </w:p>
    <w:p>
      <w:pPr>
        <w:bidi/>
        <w:spacing w:after="140" w:line="320"/>
        <w:jc w:val="both"/>
      </w:pPr>
      <w:r>
        <w:rPr>
          <w:rFonts w:ascii="Arial" w:cs="Arial" w:eastAsia="Arial" w:hAnsi="Arial"/>
          <w:sz w:val="24"/>
          <w:szCs w:val="24"/>
          <w:rtl/>
        </w:rPr>
        <w:t xml:space="preserve">هي توزيعات تتم خلال السنة المالية قبل اعتماد القوائم السنوية، وقد تكون نصف سنوية أو ربع سنوية. أجاز النظام السعودي هذا النوع من التوزيعات بشروط محددة لتعزيز سيولة المساهمين.</w:t>
      </w:r>
    </w:p>
    <w:p>
      <w:pPr>
        <w:pStyle w:val="Heading3"/>
        <w:bidi/>
        <w:spacing w:after="120" w:before="200"/>
        <w:jc w:val="right"/>
      </w:pPr>
      <w:r>
        <w:rPr>
          <w:rFonts w:ascii="Arial" w:cs="Arial" w:eastAsia="Arial" w:hAnsi="Arial"/>
          <w:b/>
          <w:bCs/>
          <w:color w:val="1F4E79"/>
          <w:sz w:val="26"/>
          <w:szCs w:val="26"/>
          <w:rtl/>
        </w:rPr>
        <w:t xml:space="preserve">شروط التوزيعات المرحلية</w:t>
      </w:r>
    </w:p>
    <w:p>
      <w:pPr>
        <w:pStyle w:val="ListParagraph"/>
        <w:numPr>
          <w:ilvl w:val="0"/>
          <w:numId w:val="3"/>
        </w:numPr>
        <w:bidi/>
        <w:spacing w:after="100" w:line="300"/>
        <w:jc w:val="right"/>
      </w:pPr>
      <w:r>
        <w:rPr>
          <w:rFonts w:ascii="Arial" w:cs="Arial" w:eastAsia="Arial" w:hAnsi="Arial"/>
          <w:sz w:val="24"/>
          <w:szCs w:val="24"/>
          <w:rtl/>
        </w:rPr>
        <w:t xml:space="preserve">النص على جواز ذلك في النظام الأساس للشركة.</w:t>
      </w:r>
    </w:p>
    <w:p>
      <w:pPr>
        <w:pStyle w:val="ListParagraph"/>
        <w:numPr>
          <w:ilvl w:val="0"/>
          <w:numId w:val="3"/>
        </w:numPr>
        <w:bidi/>
        <w:spacing w:after="100" w:line="300"/>
        <w:jc w:val="right"/>
      </w:pPr>
      <w:r>
        <w:rPr>
          <w:rFonts w:ascii="Arial" w:cs="Arial" w:eastAsia="Arial" w:hAnsi="Arial"/>
          <w:sz w:val="24"/>
          <w:szCs w:val="24"/>
          <w:rtl/>
        </w:rPr>
        <w:t xml:space="preserve">الحصول على تفويض من الجمعية العامة لمجلس الإدارة (في بعض الحالات).</w:t>
      </w:r>
    </w:p>
    <w:p>
      <w:pPr>
        <w:pStyle w:val="ListParagraph"/>
        <w:numPr>
          <w:ilvl w:val="0"/>
          <w:numId w:val="3"/>
        </w:numPr>
        <w:bidi/>
        <w:spacing w:after="100" w:line="300"/>
        <w:jc w:val="right"/>
      </w:pPr>
      <w:r>
        <w:rPr>
          <w:rFonts w:ascii="Arial" w:cs="Arial" w:eastAsia="Arial" w:hAnsi="Arial"/>
          <w:sz w:val="24"/>
          <w:szCs w:val="24"/>
          <w:rtl/>
        </w:rPr>
        <w:t xml:space="preserve">توفر أرباح قابلة للتوزيع وفقاً لآخر قوائم مالية مراجعة.</w:t>
      </w:r>
    </w:p>
    <w:p>
      <w:pPr>
        <w:pStyle w:val="ListParagraph"/>
        <w:numPr>
          <w:ilvl w:val="0"/>
          <w:numId w:val="3"/>
        </w:numPr>
        <w:bidi/>
        <w:spacing w:after="100" w:line="300"/>
        <w:jc w:val="right"/>
      </w:pPr>
      <w:r>
        <w:rPr>
          <w:rFonts w:ascii="Arial" w:cs="Arial" w:eastAsia="Arial" w:hAnsi="Arial"/>
          <w:sz w:val="24"/>
          <w:szCs w:val="24"/>
          <w:rtl/>
        </w:rPr>
        <w:t xml:space="preserve">كفاية الأرباح المتوفرة لتغطية الأرباح المقترح توزيعها بعد خصم ما تم توزيعه ورسملته.</w:t>
      </w:r>
    </w:p>
    <w:p>
      <w:pPr>
        <w:pStyle w:val="ListParagraph"/>
        <w:numPr>
          <w:ilvl w:val="0"/>
          <w:numId w:val="3"/>
        </w:numPr>
        <w:bidi/>
        <w:spacing w:after="100" w:line="300"/>
        <w:jc w:val="right"/>
      </w:pPr>
      <w:r>
        <w:rPr>
          <w:rFonts w:ascii="Arial" w:cs="Arial" w:eastAsia="Arial" w:hAnsi="Arial"/>
          <w:sz w:val="24"/>
          <w:szCs w:val="24"/>
          <w:rtl/>
        </w:rPr>
        <w:t xml:space="preserve">الالتزام بتغطية الاحتياطي القانوني المطلوب.</w:t>
      </w:r>
    </w:p>
    <w:p>
      <w:pPr>
        <w:pStyle w:val="Heading3"/>
        <w:bidi/>
        <w:spacing w:after="120" w:before="200"/>
        <w:jc w:val="right"/>
      </w:pPr>
      <w:r>
        <w:rPr>
          <w:rFonts w:ascii="Arial" w:cs="Arial" w:eastAsia="Arial" w:hAnsi="Arial"/>
          <w:b/>
          <w:bCs/>
          <w:color w:val="1F4E79"/>
          <w:sz w:val="26"/>
          <w:szCs w:val="26"/>
          <w:rtl/>
        </w:rPr>
        <w:t xml:space="preserve">الإفصاح المرتبط</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للهيئة والجمهور عن قرار التوزيع المرحلي.</w:t>
      </w:r>
    </w:p>
    <w:p>
      <w:pPr>
        <w:pStyle w:val="ListParagraph"/>
        <w:numPr>
          <w:ilvl w:val="0"/>
          <w:numId w:val="2"/>
        </w:numPr>
        <w:bidi/>
        <w:spacing w:after="100" w:line="300"/>
        <w:jc w:val="right"/>
      </w:pPr>
      <w:r>
        <w:rPr>
          <w:rFonts w:ascii="Arial" w:cs="Arial" w:eastAsia="Arial" w:hAnsi="Arial"/>
          <w:sz w:val="24"/>
          <w:szCs w:val="24"/>
          <w:rtl/>
        </w:rPr>
        <w:t xml:space="preserve">تضمين تقرير مجلس الإدارة السنوي نسب الأرباح المرحلية الموزعة.</w:t>
      </w:r>
    </w:p>
    <w:p>
      <w:pPr>
        <w:pStyle w:val="ListParagraph"/>
        <w:numPr>
          <w:ilvl w:val="0"/>
          <w:numId w:val="2"/>
        </w:numPr>
        <w:bidi/>
        <w:spacing w:after="100" w:line="300"/>
        <w:jc w:val="right"/>
      </w:pPr>
      <w:r>
        <w:rPr>
          <w:rFonts w:ascii="Arial" w:cs="Arial" w:eastAsia="Arial" w:hAnsi="Arial"/>
          <w:sz w:val="24"/>
          <w:szCs w:val="24"/>
          <w:rtl/>
        </w:rPr>
        <w:t xml:space="preserve">توضيح أساس الحساب والمعايير المعتمدة.</w:t>
      </w:r>
    </w:p>
    <w:p>
      <w:pPr>
        <w:pStyle w:val="Heading2"/>
        <w:bidi/>
        <w:spacing w:after="160" w:before="280"/>
        <w:jc w:val="right"/>
      </w:pPr>
      <w:r>
        <w:rPr>
          <w:rFonts w:ascii="Arial" w:cs="Arial" w:eastAsia="Arial" w:hAnsi="Arial"/>
          <w:b/>
          <w:bCs/>
          <w:color w:val="2E75B6"/>
          <w:sz w:val="30"/>
          <w:szCs w:val="30"/>
          <w:rtl/>
        </w:rPr>
        <w:t xml:space="preserve">3. التوزيعات الاستثنائية (Special Dividend)</w:t>
      </w:r>
    </w:p>
    <w:p>
      <w:pPr>
        <w:bidi/>
        <w:spacing w:after="140" w:line="320"/>
        <w:jc w:val="both"/>
      </w:pPr>
      <w:r>
        <w:rPr>
          <w:rFonts w:ascii="Arial" w:cs="Arial" w:eastAsia="Arial" w:hAnsi="Arial"/>
          <w:sz w:val="24"/>
          <w:szCs w:val="24"/>
          <w:rtl/>
        </w:rPr>
        <w:t xml:space="preserve">هي توزيعات غير عادية تتم في ظروف خاصة، كحصول الشركة على أموال استثنائية من بيع أصول، أو من تحقيق مكاسب رأسمالية كبيرة.</w:t>
      </w:r>
    </w:p>
    <w:p>
      <w:pPr>
        <w:pStyle w:val="Heading3"/>
        <w:bidi/>
        <w:spacing w:after="120" w:before="200"/>
        <w:jc w:val="right"/>
      </w:pPr>
      <w:r>
        <w:rPr>
          <w:rFonts w:ascii="Arial" w:cs="Arial" w:eastAsia="Arial" w:hAnsi="Arial"/>
          <w:b/>
          <w:bCs/>
          <w:color w:val="1F4E79"/>
          <w:sz w:val="26"/>
          <w:szCs w:val="26"/>
          <w:rtl/>
        </w:rPr>
        <w:t xml:space="preserve">الخصائص</w:t>
      </w:r>
    </w:p>
    <w:p>
      <w:pPr>
        <w:pStyle w:val="ListParagraph"/>
        <w:numPr>
          <w:ilvl w:val="0"/>
          <w:numId w:val="2"/>
        </w:numPr>
        <w:bidi/>
        <w:spacing w:after="100" w:line="300"/>
        <w:jc w:val="right"/>
      </w:pPr>
      <w:r>
        <w:rPr>
          <w:rFonts w:ascii="Arial" w:cs="Arial" w:eastAsia="Arial" w:hAnsi="Arial"/>
          <w:sz w:val="24"/>
          <w:szCs w:val="24"/>
          <w:rtl/>
        </w:rPr>
        <w:t xml:space="preserve">غير دورية وغير متكررة.</w:t>
      </w:r>
    </w:p>
    <w:p>
      <w:pPr>
        <w:pStyle w:val="ListParagraph"/>
        <w:numPr>
          <w:ilvl w:val="0"/>
          <w:numId w:val="2"/>
        </w:numPr>
        <w:bidi/>
        <w:spacing w:after="100" w:line="300"/>
        <w:jc w:val="right"/>
      </w:pPr>
      <w:r>
        <w:rPr>
          <w:rFonts w:ascii="Arial" w:cs="Arial" w:eastAsia="Arial" w:hAnsi="Arial"/>
          <w:sz w:val="24"/>
          <w:szCs w:val="24"/>
          <w:rtl/>
        </w:rPr>
        <w:t xml:space="preserve">تتطلب موافقة الجمعية العامة في الغالب.</w:t>
      </w:r>
    </w:p>
    <w:p>
      <w:pPr>
        <w:pStyle w:val="ListParagraph"/>
        <w:numPr>
          <w:ilvl w:val="0"/>
          <w:numId w:val="2"/>
        </w:numPr>
        <w:bidi/>
        <w:spacing w:after="100" w:line="300"/>
        <w:jc w:val="right"/>
      </w:pPr>
      <w:r>
        <w:rPr>
          <w:rFonts w:ascii="Arial" w:cs="Arial" w:eastAsia="Arial" w:hAnsi="Arial"/>
          <w:sz w:val="24"/>
          <w:szCs w:val="24"/>
          <w:rtl/>
        </w:rPr>
        <w:t xml:space="preserve">يُفصح عن أسبابها بشكل تفصيلي.</w:t>
      </w:r>
    </w:p>
    <w:p>
      <w:pPr>
        <w:pStyle w:val="ListParagraph"/>
        <w:numPr>
          <w:ilvl w:val="0"/>
          <w:numId w:val="2"/>
        </w:numPr>
        <w:bidi/>
        <w:spacing w:after="100" w:line="300"/>
        <w:jc w:val="right"/>
      </w:pPr>
      <w:r>
        <w:rPr>
          <w:rFonts w:ascii="Arial" w:cs="Arial" w:eastAsia="Arial" w:hAnsi="Arial"/>
          <w:sz w:val="24"/>
          <w:szCs w:val="24"/>
          <w:rtl/>
        </w:rPr>
        <w:t xml:space="preserve">قد تكون أكبر بكثير من التوزيعات الاعتيادية.</w:t>
      </w:r>
    </w:p>
    <w:p>
      <w:pPr>
        <w:pStyle w:val="Heading2"/>
        <w:bidi/>
        <w:spacing w:after="160" w:before="280"/>
        <w:jc w:val="right"/>
      </w:pPr>
      <w:r>
        <w:rPr>
          <w:rFonts w:ascii="Arial" w:cs="Arial" w:eastAsia="Arial" w:hAnsi="Arial"/>
          <w:b/>
          <w:bCs/>
          <w:color w:val="2E75B6"/>
          <w:sz w:val="30"/>
          <w:szCs w:val="30"/>
          <w:rtl/>
        </w:rPr>
        <w:t xml:space="preserve">4. توزيعات الأسهم (Stock Dividend)</w:t>
      </w:r>
    </w:p>
    <w:p>
      <w:pPr>
        <w:bidi/>
        <w:spacing w:after="140" w:line="320"/>
        <w:jc w:val="both"/>
      </w:pPr>
      <w:r>
        <w:rPr>
          <w:rFonts w:ascii="Arial" w:cs="Arial" w:eastAsia="Arial" w:hAnsi="Arial"/>
          <w:sz w:val="24"/>
          <w:szCs w:val="24"/>
          <w:rtl/>
        </w:rPr>
        <w:t xml:space="preserve">بدلاً من توزيع نقد، تُصدر الشركة أسهماً جديدة للمساهمين بنسبة ما يملكون. وهي نوع خاص يستوجب موافقة الجمعية العامة غير العادية.</w:t>
      </w:r>
    </w:p>
    <w:p>
      <w:pPr>
        <w:pStyle w:val="Heading3"/>
        <w:bidi/>
        <w:spacing w:after="120" w:before="200"/>
        <w:jc w:val="right"/>
      </w:pPr>
      <w:r>
        <w:rPr>
          <w:rFonts w:ascii="Arial" w:cs="Arial" w:eastAsia="Arial" w:hAnsi="Arial"/>
          <w:b/>
          <w:bCs/>
          <w:color w:val="1F4E79"/>
          <w:sz w:val="26"/>
          <w:szCs w:val="26"/>
          <w:rtl/>
        </w:rPr>
        <w:t xml:space="preserve">الخصائص</w:t>
      </w:r>
    </w:p>
    <w:p>
      <w:pPr>
        <w:pStyle w:val="ListParagraph"/>
        <w:numPr>
          <w:ilvl w:val="0"/>
          <w:numId w:val="2"/>
        </w:numPr>
        <w:bidi/>
        <w:spacing w:after="100" w:line="300"/>
        <w:jc w:val="right"/>
      </w:pPr>
      <w:r>
        <w:rPr>
          <w:rFonts w:ascii="Arial" w:cs="Arial" w:eastAsia="Arial" w:hAnsi="Arial"/>
          <w:sz w:val="24"/>
          <w:szCs w:val="24"/>
          <w:rtl/>
        </w:rPr>
        <w:t xml:space="preserve">لا تخرج نقداً من الشركة.</w:t>
      </w:r>
    </w:p>
    <w:p>
      <w:pPr>
        <w:pStyle w:val="ListParagraph"/>
        <w:numPr>
          <w:ilvl w:val="0"/>
          <w:numId w:val="2"/>
        </w:numPr>
        <w:bidi/>
        <w:spacing w:after="100" w:line="300"/>
        <w:jc w:val="right"/>
      </w:pPr>
      <w:r>
        <w:rPr>
          <w:rFonts w:ascii="Arial" w:cs="Arial" w:eastAsia="Arial" w:hAnsi="Arial"/>
          <w:sz w:val="24"/>
          <w:szCs w:val="24"/>
          <w:rtl/>
        </w:rPr>
        <w:t xml:space="preserve">تزيد عدد الأسهم لدى المساهم دون تغيير نسبة ملكيته.</w:t>
      </w:r>
    </w:p>
    <w:p>
      <w:pPr>
        <w:pStyle w:val="ListParagraph"/>
        <w:numPr>
          <w:ilvl w:val="0"/>
          <w:numId w:val="2"/>
        </w:numPr>
        <w:bidi/>
        <w:spacing w:after="100" w:line="300"/>
        <w:jc w:val="right"/>
      </w:pPr>
      <w:r>
        <w:rPr>
          <w:rFonts w:ascii="Arial" w:cs="Arial" w:eastAsia="Arial" w:hAnsi="Arial"/>
          <w:sz w:val="24"/>
          <w:szCs w:val="24"/>
          <w:rtl/>
        </w:rPr>
        <w:t xml:space="preserve">تُمثّل تحويل احتياطيات أو أرباح مبقاة إلى رأس مال.</w:t>
      </w:r>
    </w:p>
    <w:p>
      <w:pPr>
        <w:pStyle w:val="ListParagraph"/>
        <w:numPr>
          <w:ilvl w:val="0"/>
          <w:numId w:val="2"/>
        </w:numPr>
        <w:bidi/>
        <w:spacing w:after="100" w:line="300"/>
        <w:jc w:val="right"/>
      </w:pPr>
      <w:r>
        <w:rPr>
          <w:rFonts w:ascii="Arial" w:cs="Arial" w:eastAsia="Arial" w:hAnsi="Arial"/>
          <w:sz w:val="24"/>
          <w:szCs w:val="24"/>
          <w:rtl/>
        </w:rPr>
        <w:t xml:space="preserve">تستوجب تعديل النظام الأساس بزيادة رأس المال.</w:t>
      </w:r>
    </w:p>
    <w:p>
      <w:pPr>
        <w:pStyle w:val="Heading2"/>
        <w:bidi/>
        <w:spacing w:after="160" w:before="280"/>
        <w:jc w:val="right"/>
      </w:pPr>
      <w:r>
        <w:rPr>
          <w:rFonts w:ascii="Arial" w:cs="Arial" w:eastAsia="Arial" w:hAnsi="Arial"/>
          <w:b/>
          <w:bCs/>
          <w:color w:val="2E75B6"/>
          <w:sz w:val="30"/>
          <w:szCs w:val="30"/>
          <w:rtl/>
        </w:rPr>
        <w:t xml:space="preserve">5. التوزيعات بالعملات الأجنبية</w:t>
      </w:r>
    </w:p>
    <w:p>
      <w:pPr>
        <w:bidi/>
        <w:spacing w:after="140" w:line="320"/>
        <w:jc w:val="both"/>
      </w:pPr>
      <w:r>
        <w:rPr>
          <w:rFonts w:ascii="Arial" w:cs="Arial" w:eastAsia="Arial" w:hAnsi="Arial"/>
          <w:sz w:val="24"/>
          <w:szCs w:val="24"/>
          <w:rtl/>
        </w:rPr>
        <w:t xml:space="preserve">في حالات خاصة، قد تُوزَّع الأرباح بعملة أجنبية، خاصةً للمساهمين المقيمين خارج المملكة. وتخضع لقواعد إضافية تتعلق بالتحويل العملاتي.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التواريخ الحاكمة في توزيعات الأرباح</w:t>
      </w:r>
    </w:p>
    <w:p>
      <w:pPr>
        <w:bidi/>
        <w:spacing w:after="140" w:line="320"/>
        <w:jc w:val="both"/>
      </w:pPr>
      <w:r>
        <w:rPr>
          <w:rFonts w:ascii="Arial" w:cs="Arial" w:eastAsia="Arial" w:hAnsi="Arial"/>
          <w:sz w:val="24"/>
          <w:szCs w:val="24"/>
          <w:rtl/>
        </w:rPr>
        <w:t xml:space="preserve">يمر التوزيع بسلسلة من التواريخ المهمة التي يجب فهمها بدقة، لأن كل تاريخ منها يترتب عليه آثار مختلفة:</w:t>
      </w:r>
    </w:p>
    <w:p>
      <w:pPr>
        <w:pStyle w:val="Heading2"/>
        <w:bidi/>
        <w:spacing w:after="160" w:before="280"/>
        <w:jc w:val="right"/>
      </w:pPr>
      <w:r>
        <w:rPr>
          <w:rFonts w:ascii="Arial" w:cs="Arial" w:eastAsia="Arial" w:hAnsi="Arial"/>
          <w:b/>
          <w:bCs/>
          <w:color w:val="2E75B6"/>
          <w:sz w:val="30"/>
          <w:szCs w:val="30"/>
          <w:rtl/>
        </w:rPr>
        <w:t xml:space="preserve">1. تاريخ الإعلان (Declaration Date)</w:t>
      </w:r>
    </w:p>
    <w:p>
      <w:pPr>
        <w:bidi/>
        <w:spacing w:after="140" w:line="320"/>
        <w:jc w:val="both"/>
      </w:pPr>
      <w:r>
        <w:rPr>
          <w:rFonts w:ascii="Arial" w:cs="Arial" w:eastAsia="Arial" w:hAnsi="Arial"/>
          <w:sz w:val="24"/>
          <w:szCs w:val="24"/>
          <w:rtl/>
        </w:rPr>
        <w:t xml:space="preserve">هو التاريخ الذي يُعلن فيه عن قرار توزيع الأرباح، سواء كان من مجلس الإدارة (للتوزيعات المرحلية) أو من الجمعية العامة (للتوزيعات السنوية). في هذا التاريخ:</w:t>
      </w:r>
    </w:p>
    <w:p>
      <w:pPr>
        <w:pStyle w:val="ListParagraph"/>
        <w:numPr>
          <w:ilvl w:val="0"/>
          <w:numId w:val="2"/>
        </w:numPr>
        <w:bidi/>
        <w:spacing w:after="100" w:line="300"/>
        <w:jc w:val="right"/>
      </w:pPr>
      <w:r>
        <w:rPr>
          <w:rFonts w:ascii="Arial" w:cs="Arial" w:eastAsia="Arial" w:hAnsi="Arial"/>
          <w:sz w:val="24"/>
          <w:szCs w:val="24"/>
          <w:rtl/>
        </w:rPr>
        <w:t xml:space="preserve">يتم الإفصاح للجهات التنظيمية وللجمهور.</w:t>
      </w:r>
    </w:p>
    <w:p>
      <w:pPr>
        <w:pStyle w:val="ListParagraph"/>
        <w:numPr>
          <w:ilvl w:val="0"/>
          <w:numId w:val="2"/>
        </w:numPr>
        <w:bidi/>
        <w:spacing w:after="100" w:line="300"/>
        <w:jc w:val="right"/>
      </w:pPr>
      <w:r>
        <w:rPr>
          <w:rFonts w:ascii="Arial" w:cs="Arial" w:eastAsia="Arial" w:hAnsi="Arial"/>
          <w:sz w:val="24"/>
          <w:szCs w:val="24"/>
          <w:rtl/>
        </w:rPr>
        <w:t xml:space="preserve">يُحدد مبلغ التوزيع لكل سهم.</w:t>
      </w:r>
    </w:p>
    <w:p>
      <w:pPr>
        <w:pStyle w:val="ListParagraph"/>
        <w:numPr>
          <w:ilvl w:val="0"/>
          <w:numId w:val="2"/>
        </w:numPr>
        <w:bidi/>
        <w:spacing w:after="100" w:line="300"/>
        <w:jc w:val="right"/>
      </w:pPr>
      <w:r>
        <w:rPr>
          <w:rFonts w:ascii="Arial" w:cs="Arial" w:eastAsia="Arial" w:hAnsi="Arial"/>
          <w:sz w:val="24"/>
          <w:szCs w:val="24"/>
          <w:rtl/>
        </w:rPr>
        <w:t xml:space="preserve">تُعلن التواريخ الأخرى ذات الصلة.</w:t>
      </w:r>
    </w:p>
    <w:p>
      <w:pPr>
        <w:pStyle w:val="ListParagraph"/>
        <w:numPr>
          <w:ilvl w:val="0"/>
          <w:numId w:val="2"/>
        </w:numPr>
        <w:bidi/>
        <w:spacing w:after="100" w:line="300"/>
        <w:jc w:val="right"/>
      </w:pPr>
      <w:r>
        <w:rPr>
          <w:rFonts w:ascii="Arial" w:cs="Arial" w:eastAsia="Arial" w:hAnsi="Arial"/>
          <w:sz w:val="24"/>
          <w:szCs w:val="24"/>
          <w:rtl/>
        </w:rPr>
        <w:t xml:space="preserve">قد ينعكس على سعر السهم في السوق.</w:t>
      </w:r>
    </w:p>
    <w:p>
      <w:pPr>
        <w:pStyle w:val="Heading2"/>
        <w:bidi/>
        <w:spacing w:after="160" w:before="280"/>
        <w:jc w:val="right"/>
      </w:pPr>
      <w:r>
        <w:rPr>
          <w:rFonts w:ascii="Arial" w:cs="Arial" w:eastAsia="Arial" w:hAnsi="Arial"/>
          <w:b/>
          <w:bCs/>
          <w:color w:val="2E75B6"/>
          <w:sz w:val="30"/>
          <w:szCs w:val="30"/>
          <w:rtl/>
        </w:rPr>
        <w:t xml:space="preserve">2. تاريخ الأحقية (Record Date)</w:t>
      </w:r>
    </w:p>
    <w:p>
      <w:pPr>
        <w:bidi/>
        <w:spacing w:after="140" w:line="320"/>
        <w:jc w:val="both"/>
      </w:pPr>
      <w:r>
        <w:rPr>
          <w:rFonts w:ascii="Arial" w:cs="Arial" w:eastAsia="Arial" w:hAnsi="Arial"/>
          <w:sz w:val="24"/>
          <w:szCs w:val="24"/>
          <w:rtl/>
        </w:rPr>
        <w:t xml:space="preserve">هو أهم التواريخ على الإطلاق من منظور سجل المساهمين، إذ يحدد من هم المساهمون المستحقون للأرباح. ويُعتبر مستحقاً كل من كان مقيداً في السجل في نهاية يوم الأحقية.</w:t>
      </w:r>
    </w:p>
    <w:p>
      <w:pPr>
        <w:pStyle w:val="Heading3"/>
        <w:bidi/>
        <w:spacing w:after="120" w:before="200"/>
        <w:jc w:val="right"/>
      </w:pPr>
      <w:r>
        <w:rPr>
          <w:rFonts w:ascii="Arial" w:cs="Arial" w:eastAsia="Arial" w:hAnsi="Arial"/>
          <w:b/>
          <w:bCs/>
          <w:color w:val="1F4E79"/>
          <w:sz w:val="26"/>
          <w:szCs w:val="26"/>
          <w:rtl/>
        </w:rPr>
        <w:t xml:space="preserve">أهمية تاريخ الأحقية</w:t>
      </w:r>
    </w:p>
    <w:p>
      <w:pPr>
        <w:pStyle w:val="ListParagraph"/>
        <w:numPr>
          <w:ilvl w:val="0"/>
          <w:numId w:val="2"/>
        </w:numPr>
        <w:bidi/>
        <w:spacing w:after="100" w:line="300"/>
        <w:jc w:val="right"/>
      </w:pPr>
      <w:r>
        <w:rPr>
          <w:rFonts w:ascii="Arial" w:cs="Arial" w:eastAsia="Arial" w:hAnsi="Arial"/>
          <w:sz w:val="24"/>
          <w:szCs w:val="24"/>
          <w:rtl/>
        </w:rPr>
        <w:t xml:space="preserve">يحدد قائمة المستحقين بدقة.</w:t>
      </w:r>
    </w:p>
    <w:p>
      <w:pPr>
        <w:pStyle w:val="ListParagraph"/>
        <w:numPr>
          <w:ilvl w:val="0"/>
          <w:numId w:val="2"/>
        </w:numPr>
        <w:bidi/>
        <w:spacing w:after="100" w:line="300"/>
        <w:jc w:val="right"/>
      </w:pPr>
      <w:r>
        <w:rPr>
          <w:rFonts w:ascii="Arial" w:cs="Arial" w:eastAsia="Arial" w:hAnsi="Arial"/>
          <w:sz w:val="24"/>
          <w:szCs w:val="24"/>
          <w:rtl/>
        </w:rPr>
        <w:t xml:space="preserve">يُحسب نصيب كل مساهم بناءً على رصيده في هذا التاريخ.</w:t>
      </w:r>
    </w:p>
    <w:p>
      <w:pPr>
        <w:pStyle w:val="ListParagraph"/>
        <w:numPr>
          <w:ilvl w:val="0"/>
          <w:numId w:val="2"/>
        </w:numPr>
        <w:bidi/>
        <w:spacing w:after="100" w:line="300"/>
        <w:jc w:val="right"/>
      </w:pPr>
      <w:r>
        <w:rPr>
          <w:rFonts w:ascii="Arial" w:cs="Arial" w:eastAsia="Arial" w:hAnsi="Arial"/>
          <w:sz w:val="24"/>
          <w:szCs w:val="24"/>
          <w:rtl/>
        </w:rPr>
        <w:t xml:space="preserve">بعد هذا التاريخ، أي بيع للأسهم لا يحرم البائع من حقه في التوزيع المعلن.</w:t>
      </w:r>
    </w:p>
    <w:p>
      <w:pPr>
        <w:pStyle w:val="ListParagraph"/>
        <w:numPr>
          <w:ilvl w:val="0"/>
          <w:numId w:val="2"/>
        </w:numPr>
        <w:bidi/>
        <w:spacing w:after="100" w:line="300"/>
        <w:jc w:val="right"/>
      </w:pPr>
      <w:r>
        <w:rPr>
          <w:rFonts w:ascii="Arial" w:cs="Arial" w:eastAsia="Arial" w:hAnsi="Arial"/>
          <w:sz w:val="24"/>
          <w:szCs w:val="24"/>
          <w:rtl/>
        </w:rPr>
        <w:t xml:space="preserve">هو التاريخ المرجعي لإصدار قائمة المستحقين النهائية.</w:t>
      </w:r>
    </w:p>
    <w:p>
      <w:pPr>
        <w:pStyle w:val="Heading2"/>
        <w:bidi/>
        <w:spacing w:after="160" w:before="280"/>
        <w:jc w:val="right"/>
      </w:pPr>
      <w:r>
        <w:rPr>
          <w:rFonts w:ascii="Arial" w:cs="Arial" w:eastAsia="Arial" w:hAnsi="Arial"/>
          <w:b/>
          <w:bCs/>
          <w:color w:val="2E75B6"/>
          <w:sz w:val="30"/>
          <w:szCs w:val="30"/>
          <w:rtl/>
        </w:rPr>
        <w:t xml:space="preserve">3. تاريخ التداول بدون استحقاق (Ex-Dividend Date)</w:t>
      </w:r>
    </w:p>
    <w:p>
      <w:pPr>
        <w:bidi/>
        <w:spacing w:after="140" w:line="320"/>
        <w:jc w:val="both"/>
      </w:pPr>
      <w:r>
        <w:rPr>
          <w:rFonts w:ascii="Arial" w:cs="Arial" w:eastAsia="Arial" w:hAnsi="Arial"/>
          <w:sz w:val="24"/>
          <w:szCs w:val="24"/>
          <w:rtl/>
        </w:rPr>
        <w:t xml:space="preserve">في الشركات المدرجة، هو التاريخ الذي يبدأ فيه تداول السهم "دون استحقاق" للتوزيع المعلن. أي أن من يشتري السهم في هذا التاريخ أو بعده لن يستحق التوزيع. عادةً يكون يوم عمل واحد قبل تاريخ الأحقية في الأسواق التي تتبع نظام T+2.</w:t>
      </w:r>
    </w:p>
    <w:p>
      <w:pPr>
        <w:pStyle w:val="Heading2"/>
        <w:bidi/>
        <w:spacing w:after="160" w:before="280"/>
        <w:jc w:val="right"/>
      </w:pPr>
      <w:r>
        <w:rPr>
          <w:rFonts w:ascii="Arial" w:cs="Arial" w:eastAsia="Arial" w:hAnsi="Arial"/>
          <w:b/>
          <w:bCs/>
          <w:color w:val="2E75B6"/>
          <w:sz w:val="30"/>
          <w:szCs w:val="30"/>
          <w:rtl/>
        </w:rPr>
        <w:t xml:space="preserve">4. تاريخ الاستحقاق (Due Date)</w:t>
      </w:r>
    </w:p>
    <w:p>
      <w:pPr>
        <w:bidi/>
        <w:spacing w:after="140" w:line="320"/>
        <w:jc w:val="both"/>
      </w:pPr>
      <w:r>
        <w:rPr>
          <w:rFonts w:ascii="Arial" w:cs="Arial" w:eastAsia="Arial" w:hAnsi="Arial"/>
          <w:sz w:val="24"/>
          <w:szCs w:val="24"/>
          <w:rtl/>
        </w:rPr>
        <w:t xml:space="preserve">هو التاريخ الذي تستحق فيه الأرباح فعلياً للدفع. وهو محدد في قرار الجمعية العامة أو قرار مجلس الإدارة (للتوزيعات المرحلية).</w:t>
      </w:r>
    </w:p>
    <w:p>
      <w:pPr>
        <w:pStyle w:val="Heading2"/>
        <w:bidi/>
        <w:spacing w:after="160" w:before="280"/>
        <w:jc w:val="right"/>
      </w:pPr>
      <w:r>
        <w:rPr>
          <w:rFonts w:ascii="Arial" w:cs="Arial" w:eastAsia="Arial" w:hAnsi="Arial"/>
          <w:b/>
          <w:bCs/>
          <w:color w:val="2E75B6"/>
          <w:sz w:val="30"/>
          <w:szCs w:val="30"/>
          <w:rtl/>
        </w:rPr>
        <w:t xml:space="preserve">5. تاريخ الصرف (Payment Date)</w:t>
      </w:r>
    </w:p>
    <w:p>
      <w:pPr>
        <w:bidi/>
        <w:spacing w:after="140" w:line="320"/>
        <w:jc w:val="both"/>
      </w:pPr>
      <w:r>
        <w:rPr>
          <w:rFonts w:ascii="Arial" w:cs="Arial" w:eastAsia="Arial" w:hAnsi="Arial"/>
          <w:sz w:val="24"/>
          <w:szCs w:val="24"/>
          <w:rtl/>
        </w:rPr>
        <w:t xml:space="preserve">هو التاريخ الذي تُصرف فيه الأرباح فعلياً للمستحقين. وفقاً للائحة التنفيذية لنظام الشركات السعودي، يجب على مجلس الإدارة تنفيذ قرار التوزيع خلال مدة لا تزيد على 15 يوماً من تاريخ الاستحقاق.</w:t>
      </w:r>
    </w:p>
    <w:p>
      <w:pPr>
        <w:pStyle w:val="Heading2"/>
        <w:bidi/>
        <w:spacing w:after="160" w:before="280"/>
        <w:jc w:val="right"/>
      </w:pPr>
      <w:r>
        <w:rPr>
          <w:rFonts w:ascii="Arial" w:cs="Arial" w:eastAsia="Arial" w:hAnsi="Arial"/>
          <w:b/>
          <w:bCs/>
          <w:color w:val="2E75B6"/>
          <w:sz w:val="30"/>
          <w:szCs w:val="30"/>
          <w:rtl/>
        </w:rPr>
        <w:t xml:space="preserve">الجدول الزمني النموذجي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التاريخ</w:t>
            </w:r>
          </w:p>
        </w:tc>
        <w:tc>
          <w:tcPr>
            <w:tcW w:type="dxa" w:w="2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الحدث</w:t>
            </w:r>
          </w:p>
        </w:tc>
        <w:tc>
          <w:tcPr>
            <w:tcW w:type="dxa" w:w="44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الإجراء</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اليوم 0</w:t>
            </w:r>
          </w:p>
        </w:tc>
        <w:tc>
          <w:tcPr>
            <w:tcW w:type="dxa" w:w="2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تاريخ الإعلان</w:t>
            </w:r>
          </w:p>
        </w:tc>
        <w:tc>
          <w:tcPr>
            <w:tcW w:type="dxa" w:w="44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الإفصاح وإعلان التوزيع</w:t>
            </w:r>
          </w:p>
        </w:tc>
      </w:tr>
      <w:tr>
        <w:tc>
          <w:tcPr>
            <w:tcW w:type="dxa" w:w="1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اليوم +7 إلى +14</w:t>
            </w:r>
          </w:p>
        </w:tc>
        <w:tc>
          <w:tcPr>
            <w:tcW w:type="dxa" w:w="2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تاريخ التداول بدون استحقاق</w:t>
            </w:r>
          </w:p>
        </w:tc>
        <w:tc>
          <w:tcPr>
            <w:tcW w:type="dxa" w:w="44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بدء التداول ex-dividend</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اليوم +8 إلى +15</w:t>
            </w:r>
          </w:p>
        </w:tc>
        <w:tc>
          <w:tcPr>
            <w:tcW w:type="dxa" w:w="2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تاريخ الأحقية</w:t>
            </w:r>
          </w:p>
        </w:tc>
        <w:tc>
          <w:tcPr>
            <w:tcW w:type="dxa" w:w="44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تحديد قائمة المستحقين</w:t>
            </w:r>
          </w:p>
        </w:tc>
      </w:tr>
      <w:tr>
        <w:tc>
          <w:tcPr>
            <w:tcW w:type="dxa" w:w="1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اليوم +20 إلى +30</w:t>
            </w:r>
          </w:p>
        </w:tc>
        <w:tc>
          <w:tcPr>
            <w:tcW w:type="dxa" w:w="2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تاريخ الاستحقاق</w:t>
            </w:r>
          </w:p>
        </w:tc>
        <w:tc>
          <w:tcPr>
            <w:tcW w:type="dxa" w:w="44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استحقاق المبالغ نظامياً</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اليوم +35 إلى +45</w:t>
            </w:r>
          </w:p>
        </w:tc>
        <w:tc>
          <w:tcPr>
            <w:tcW w:type="dxa" w:w="2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تاريخ الصرف</w:t>
            </w:r>
          </w:p>
        </w:tc>
        <w:tc>
          <w:tcPr>
            <w:tcW w:type="dxa" w:w="44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صرف المبالغ للمستحقين (خلال 15 يوماً من الاستحقاق)</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دور سجل المساهمين في عملية التوزيع</w:t>
      </w:r>
    </w:p>
    <w:p>
      <w:pPr>
        <w:bidi/>
        <w:spacing w:after="140" w:line="320"/>
        <w:jc w:val="both"/>
      </w:pPr>
      <w:r>
        <w:rPr>
          <w:rFonts w:ascii="Arial" w:cs="Arial" w:eastAsia="Arial" w:hAnsi="Arial"/>
          <w:sz w:val="24"/>
          <w:szCs w:val="24"/>
          <w:rtl/>
        </w:rPr>
        <w:t xml:space="preserve">سجل المساهمين هو العمود الفقري لعملية توزيع الأرباح، إذ يُستخدم في كل مرحلة من مراحلها:</w:t>
      </w:r>
    </w:p>
    <w:p>
      <w:pPr>
        <w:pStyle w:val="Heading2"/>
        <w:bidi/>
        <w:spacing w:after="160" w:before="280"/>
        <w:jc w:val="right"/>
      </w:pPr>
      <w:r>
        <w:rPr>
          <w:rFonts w:ascii="Arial" w:cs="Arial" w:eastAsia="Arial" w:hAnsi="Arial"/>
          <w:b/>
          <w:bCs/>
          <w:color w:val="2E75B6"/>
          <w:sz w:val="30"/>
          <w:szCs w:val="30"/>
          <w:rtl/>
        </w:rPr>
        <w:t xml:space="preserve">1. تحديد المستحقين</w:t>
      </w:r>
    </w:p>
    <w:p>
      <w:pPr>
        <w:bidi/>
        <w:spacing w:after="140" w:line="320"/>
        <w:jc w:val="both"/>
      </w:pPr>
      <w:r>
        <w:rPr>
          <w:rFonts w:ascii="Arial" w:cs="Arial" w:eastAsia="Arial" w:hAnsi="Arial"/>
          <w:sz w:val="24"/>
          <w:szCs w:val="24"/>
          <w:rtl/>
        </w:rPr>
        <w:t xml:space="preserve">في تاريخ الأحقية، يُجرى "تجميد" مؤقت للسجل لاستخراج قائمة المساهمين المستحقين. هذه القائمة تشمل:</w:t>
      </w:r>
    </w:p>
    <w:p>
      <w:pPr>
        <w:pStyle w:val="ListParagraph"/>
        <w:numPr>
          <w:ilvl w:val="0"/>
          <w:numId w:val="2"/>
        </w:numPr>
        <w:bidi/>
        <w:spacing w:after="100" w:line="300"/>
        <w:jc w:val="right"/>
      </w:pPr>
      <w:r>
        <w:rPr>
          <w:rFonts w:ascii="Arial" w:cs="Arial" w:eastAsia="Arial" w:hAnsi="Arial"/>
          <w:sz w:val="24"/>
          <w:szCs w:val="24"/>
          <w:rtl/>
        </w:rPr>
        <w:t xml:space="preserve">جميع المساهمين المسجلين في نهاية يوم الأحقية.</w:t>
      </w:r>
    </w:p>
    <w:p>
      <w:pPr>
        <w:pStyle w:val="ListParagraph"/>
        <w:numPr>
          <w:ilvl w:val="0"/>
          <w:numId w:val="2"/>
        </w:numPr>
        <w:bidi/>
        <w:spacing w:after="100" w:line="300"/>
        <w:jc w:val="right"/>
      </w:pPr>
      <w:r>
        <w:rPr>
          <w:rFonts w:ascii="Arial" w:cs="Arial" w:eastAsia="Arial" w:hAnsi="Arial"/>
          <w:sz w:val="24"/>
          <w:szCs w:val="24"/>
          <w:rtl/>
        </w:rPr>
        <w:t xml:space="preserve">عدد الأسهم التي يملكها كل منهم وفئتها.</w:t>
      </w:r>
    </w:p>
    <w:p>
      <w:pPr>
        <w:pStyle w:val="ListParagraph"/>
        <w:numPr>
          <w:ilvl w:val="0"/>
          <w:numId w:val="2"/>
        </w:numPr>
        <w:bidi/>
        <w:spacing w:after="100" w:line="300"/>
        <w:jc w:val="right"/>
      </w:pPr>
      <w:r>
        <w:rPr>
          <w:rFonts w:ascii="Arial" w:cs="Arial" w:eastAsia="Arial" w:hAnsi="Arial"/>
          <w:sz w:val="24"/>
          <w:szCs w:val="24"/>
          <w:rtl/>
        </w:rPr>
        <w:t xml:space="preserve">بياناتهم الكاملة للتواصل والصرف.</w:t>
      </w:r>
    </w:p>
    <w:p>
      <w:pPr>
        <w:pStyle w:val="ListParagraph"/>
        <w:numPr>
          <w:ilvl w:val="0"/>
          <w:numId w:val="2"/>
        </w:numPr>
        <w:bidi/>
        <w:spacing w:after="100" w:line="300"/>
        <w:jc w:val="right"/>
      </w:pPr>
      <w:r>
        <w:rPr>
          <w:rFonts w:ascii="Arial" w:cs="Arial" w:eastAsia="Arial" w:hAnsi="Arial"/>
          <w:sz w:val="24"/>
          <w:szCs w:val="24"/>
          <w:rtl/>
        </w:rPr>
        <w:t xml:space="preserve">أي قيود مرتبطة بأسهمهم (رهن، حجز).</w:t>
      </w:r>
    </w:p>
    <w:p>
      <w:pPr>
        <w:pStyle w:val="ListParagraph"/>
        <w:numPr>
          <w:ilvl w:val="0"/>
          <w:numId w:val="2"/>
        </w:numPr>
        <w:bidi/>
        <w:spacing w:after="100" w:line="300"/>
        <w:jc w:val="right"/>
      </w:pPr>
      <w:r>
        <w:rPr>
          <w:rFonts w:ascii="Arial" w:cs="Arial" w:eastAsia="Arial" w:hAnsi="Arial"/>
          <w:sz w:val="24"/>
          <w:szCs w:val="24"/>
          <w:rtl/>
        </w:rPr>
        <w:t xml:space="preserve">الحساب المصرفي المسجل لكل مستحق.</w:t>
      </w:r>
    </w:p>
    <w:p>
      <w:pPr>
        <w:pStyle w:val="Heading2"/>
        <w:bidi/>
        <w:spacing w:after="160" w:before="280"/>
        <w:jc w:val="right"/>
      </w:pPr>
      <w:r>
        <w:rPr>
          <w:rFonts w:ascii="Arial" w:cs="Arial" w:eastAsia="Arial" w:hAnsi="Arial"/>
          <w:b/>
          <w:bCs/>
          <w:color w:val="2E75B6"/>
          <w:sz w:val="30"/>
          <w:szCs w:val="30"/>
          <w:rtl/>
        </w:rPr>
        <w:t xml:space="preserve">2. حساب الاستحقاقات</w:t>
      </w:r>
    </w:p>
    <w:p>
      <w:pPr>
        <w:bidi/>
        <w:spacing w:after="140" w:line="320"/>
        <w:jc w:val="both"/>
      </w:pPr>
      <w:r>
        <w:rPr>
          <w:rFonts w:ascii="Arial" w:cs="Arial" w:eastAsia="Arial" w:hAnsi="Arial"/>
          <w:sz w:val="24"/>
          <w:szCs w:val="24"/>
          <w:rtl/>
        </w:rPr>
        <w:t xml:space="preserve">بناءً على قائمة المستحقين، يُحسب نصيب كل مساهم وفق المعادلة:</w:t>
      </w:r>
    </w:p>
    <w:p>
      <w:pPr>
        <w:bidi/>
        <w:spacing w:after="140" w:line="320"/>
        <w:jc w:val="both"/>
      </w:pPr>
      <w:r>
        <w:rPr>
          <w:rFonts w:ascii="Arial" w:cs="Arial" w:eastAsia="Arial" w:hAnsi="Arial"/>
          <w:sz w:val="24"/>
          <w:szCs w:val="24"/>
          <w:rtl/>
        </w:rPr>
        <w:t xml:space="preserve">نصيب المساهم = عدد الأسهم المملوكة × نصيب السهم من التوزيع المعلن</w:t>
      </w:r>
    </w:p>
    <w:p>
      <w:pPr>
        <w:bidi/>
        <w:spacing w:after="140" w:line="320"/>
        <w:jc w:val="both"/>
      </w:pPr>
      <w:r>
        <w:rPr>
          <w:rFonts w:ascii="Arial" w:cs="Arial" w:eastAsia="Arial" w:hAnsi="Arial"/>
          <w:sz w:val="24"/>
          <w:szCs w:val="24"/>
          <w:rtl/>
        </w:rPr>
        <w:t xml:space="preserve">ويُراعى في الحساب:</w:t>
      </w:r>
    </w:p>
    <w:p>
      <w:pPr>
        <w:pStyle w:val="ListParagraph"/>
        <w:numPr>
          <w:ilvl w:val="0"/>
          <w:numId w:val="2"/>
        </w:numPr>
        <w:bidi/>
        <w:spacing w:after="100" w:line="300"/>
        <w:jc w:val="right"/>
      </w:pPr>
      <w:r>
        <w:rPr>
          <w:rFonts w:ascii="Arial" w:cs="Arial" w:eastAsia="Arial" w:hAnsi="Arial"/>
          <w:sz w:val="24"/>
          <w:szCs w:val="24"/>
          <w:rtl/>
        </w:rPr>
        <w:t xml:space="preserve">فئة الأسهم: الأسهم العادية، الممتازة، القابلة للاسترداد قد تختلف.</w:t>
      </w:r>
    </w:p>
    <w:p>
      <w:pPr>
        <w:pStyle w:val="ListParagraph"/>
        <w:numPr>
          <w:ilvl w:val="0"/>
          <w:numId w:val="2"/>
        </w:numPr>
        <w:bidi/>
        <w:spacing w:after="100" w:line="300"/>
        <w:jc w:val="right"/>
      </w:pPr>
      <w:r>
        <w:rPr>
          <w:rFonts w:ascii="Arial" w:cs="Arial" w:eastAsia="Arial" w:hAnsi="Arial"/>
          <w:sz w:val="24"/>
          <w:szCs w:val="24"/>
          <w:rtl/>
        </w:rPr>
        <w:t xml:space="preserve">القيمة المدفوعة: للأسهم غير مدفوعة القيمة بالكامل، قد يُحسب النصيب بنسبة المدفوع.</w:t>
      </w:r>
    </w:p>
    <w:p>
      <w:pPr>
        <w:pStyle w:val="ListParagraph"/>
        <w:numPr>
          <w:ilvl w:val="0"/>
          <w:numId w:val="2"/>
        </w:numPr>
        <w:bidi/>
        <w:spacing w:after="100" w:line="300"/>
        <w:jc w:val="right"/>
      </w:pPr>
      <w:r>
        <w:rPr>
          <w:rFonts w:ascii="Arial" w:cs="Arial" w:eastAsia="Arial" w:hAnsi="Arial"/>
          <w:sz w:val="24"/>
          <w:szCs w:val="24"/>
          <w:rtl/>
        </w:rPr>
        <w:t xml:space="preserve">التعديلات: تجزئة، دمج، أو زيادات رأس المال خلال الفترة.</w:t>
      </w:r>
    </w:p>
    <w:p>
      <w:pPr>
        <w:pStyle w:val="ListParagraph"/>
        <w:numPr>
          <w:ilvl w:val="0"/>
          <w:numId w:val="2"/>
        </w:numPr>
        <w:bidi/>
        <w:spacing w:after="100" w:line="300"/>
        <w:jc w:val="right"/>
      </w:pPr>
      <w:r>
        <w:rPr>
          <w:rFonts w:ascii="Arial" w:cs="Arial" w:eastAsia="Arial" w:hAnsi="Arial"/>
          <w:sz w:val="24"/>
          <w:szCs w:val="24"/>
          <w:rtl/>
        </w:rPr>
        <w:t xml:space="preserve">الضرائب والاستقطاعات: للمساهمين الخاضعين لاستقطاع ضريبي.</w:t>
      </w:r>
    </w:p>
    <w:p>
      <w:pPr>
        <w:pStyle w:val="Heading2"/>
        <w:bidi/>
        <w:spacing w:after="160" w:before="280"/>
        <w:jc w:val="right"/>
      </w:pPr>
      <w:r>
        <w:rPr>
          <w:rFonts w:ascii="Arial" w:cs="Arial" w:eastAsia="Arial" w:hAnsi="Arial"/>
          <w:b/>
          <w:bCs/>
          <w:color w:val="2E75B6"/>
          <w:sz w:val="30"/>
          <w:szCs w:val="30"/>
          <w:rtl/>
        </w:rPr>
        <w:t xml:space="preserve">3. التعامل مع الحالات الخاصة</w:t>
      </w:r>
    </w:p>
    <w:p>
      <w:pPr>
        <w:pStyle w:val="Heading3"/>
        <w:bidi/>
        <w:spacing w:after="120" w:before="200"/>
        <w:jc w:val="right"/>
      </w:pPr>
      <w:r>
        <w:rPr>
          <w:rFonts w:ascii="Arial" w:cs="Arial" w:eastAsia="Arial" w:hAnsi="Arial"/>
          <w:b/>
          <w:bCs/>
          <w:color w:val="1F4E79"/>
          <w:sz w:val="26"/>
          <w:szCs w:val="26"/>
          <w:rtl/>
        </w:rPr>
        <w:t xml:space="preserve">الأسهم المرهونة</w:t>
      </w:r>
    </w:p>
    <w:p>
      <w:pPr>
        <w:pStyle w:val="ListParagraph"/>
        <w:numPr>
          <w:ilvl w:val="0"/>
          <w:numId w:val="2"/>
        </w:numPr>
        <w:bidi/>
        <w:spacing w:after="100" w:line="300"/>
        <w:jc w:val="right"/>
      </w:pPr>
      <w:r>
        <w:rPr>
          <w:rFonts w:ascii="Arial" w:cs="Arial" w:eastAsia="Arial" w:hAnsi="Arial"/>
          <w:sz w:val="24"/>
          <w:szCs w:val="24"/>
          <w:rtl/>
        </w:rPr>
        <w:t xml:space="preserve">تستحق الأرباح للمالك الأصلي (الراهن) ما لم يُتفق على خلاف ذلك.</w:t>
      </w:r>
    </w:p>
    <w:p>
      <w:pPr>
        <w:pStyle w:val="ListParagraph"/>
        <w:numPr>
          <w:ilvl w:val="0"/>
          <w:numId w:val="2"/>
        </w:numPr>
        <w:bidi/>
        <w:spacing w:after="100" w:line="300"/>
        <w:jc w:val="right"/>
      </w:pPr>
      <w:r>
        <w:rPr>
          <w:rFonts w:ascii="Arial" w:cs="Arial" w:eastAsia="Arial" w:hAnsi="Arial"/>
          <w:sz w:val="24"/>
          <w:szCs w:val="24"/>
          <w:rtl/>
        </w:rPr>
        <w:t xml:space="preserve">قد تُحوّل الأرباح للمرتهن إذا كان الاتفاق ينص على ذلك.</w:t>
      </w:r>
    </w:p>
    <w:p>
      <w:pPr>
        <w:pStyle w:val="ListParagraph"/>
        <w:numPr>
          <w:ilvl w:val="0"/>
          <w:numId w:val="2"/>
        </w:numPr>
        <w:bidi/>
        <w:spacing w:after="100" w:line="300"/>
        <w:jc w:val="right"/>
      </w:pPr>
      <w:r>
        <w:rPr>
          <w:rFonts w:ascii="Arial" w:cs="Arial" w:eastAsia="Arial" w:hAnsi="Arial"/>
          <w:sz w:val="24"/>
          <w:szCs w:val="24"/>
          <w:rtl/>
        </w:rPr>
        <w:t xml:space="preserve">يجب التحقق من اتفاق الرهن بدقة.</w:t>
      </w:r>
    </w:p>
    <w:p>
      <w:pPr>
        <w:pStyle w:val="Heading3"/>
        <w:bidi/>
        <w:spacing w:after="120" w:before="200"/>
        <w:jc w:val="right"/>
      </w:pPr>
      <w:r>
        <w:rPr>
          <w:rFonts w:ascii="Arial" w:cs="Arial" w:eastAsia="Arial" w:hAnsi="Arial"/>
          <w:b/>
          <w:bCs/>
          <w:color w:val="1F4E79"/>
          <w:sz w:val="26"/>
          <w:szCs w:val="26"/>
          <w:rtl/>
        </w:rPr>
        <w:t xml:space="preserve">الأسهم المحجوزة</w:t>
      </w:r>
    </w:p>
    <w:p>
      <w:pPr>
        <w:pStyle w:val="ListParagraph"/>
        <w:numPr>
          <w:ilvl w:val="0"/>
          <w:numId w:val="2"/>
        </w:numPr>
        <w:bidi/>
        <w:spacing w:after="100" w:line="300"/>
        <w:jc w:val="right"/>
      </w:pPr>
      <w:r>
        <w:rPr>
          <w:rFonts w:ascii="Arial" w:cs="Arial" w:eastAsia="Arial" w:hAnsi="Arial"/>
          <w:sz w:val="24"/>
          <w:szCs w:val="24"/>
          <w:rtl/>
        </w:rPr>
        <w:t xml:space="preserve">قد تُحجز الأرباح أيضاً إذا كان الحجز يشملها.</w:t>
      </w:r>
    </w:p>
    <w:p>
      <w:pPr>
        <w:pStyle w:val="ListParagraph"/>
        <w:numPr>
          <w:ilvl w:val="0"/>
          <w:numId w:val="2"/>
        </w:numPr>
        <w:bidi/>
        <w:spacing w:after="100" w:line="300"/>
        <w:jc w:val="right"/>
      </w:pPr>
      <w:r>
        <w:rPr>
          <w:rFonts w:ascii="Arial" w:cs="Arial" w:eastAsia="Arial" w:hAnsi="Arial"/>
          <w:sz w:val="24"/>
          <w:szCs w:val="24"/>
          <w:rtl/>
        </w:rPr>
        <w:t xml:space="preserve">تُحفظ الأرباح في حساب خاص لحين البت في الدعوى.</w:t>
      </w:r>
    </w:p>
    <w:p>
      <w:pPr>
        <w:pStyle w:val="ListParagraph"/>
        <w:numPr>
          <w:ilvl w:val="0"/>
          <w:numId w:val="2"/>
        </w:numPr>
        <w:bidi/>
        <w:spacing w:after="100" w:line="300"/>
        <w:jc w:val="right"/>
      </w:pPr>
      <w:r>
        <w:rPr>
          <w:rFonts w:ascii="Arial" w:cs="Arial" w:eastAsia="Arial" w:hAnsi="Arial"/>
          <w:sz w:val="24"/>
          <w:szCs w:val="24"/>
          <w:rtl/>
        </w:rPr>
        <w:t xml:space="preserve">يُستوضح من الجهة الحاجزة قبل التصرف.</w:t>
      </w:r>
    </w:p>
    <w:p>
      <w:pPr>
        <w:pStyle w:val="Heading3"/>
        <w:bidi/>
        <w:spacing w:after="120" w:before="200"/>
        <w:jc w:val="right"/>
      </w:pPr>
      <w:r>
        <w:rPr>
          <w:rFonts w:ascii="Arial" w:cs="Arial" w:eastAsia="Arial" w:hAnsi="Arial"/>
          <w:b/>
          <w:bCs/>
          <w:color w:val="1F4E79"/>
          <w:sz w:val="26"/>
          <w:szCs w:val="26"/>
          <w:rtl/>
        </w:rPr>
        <w:t xml:space="preserve">أسهم الورثة</w:t>
      </w:r>
    </w:p>
    <w:p>
      <w:pPr>
        <w:pStyle w:val="ListParagraph"/>
        <w:numPr>
          <w:ilvl w:val="0"/>
          <w:numId w:val="2"/>
        </w:numPr>
        <w:bidi/>
        <w:spacing w:after="100" w:line="300"/>
        <w:jc w:val="right"/>
      </w:pPr>
      <w:r>
        <w:rPr>
          <w:rFonts w:ascii="Arial" w:cs="Arial" w:eastAsia="Arial" w:hAnsi="Arial"/>
          <w:sz w:val="24"/>
          <w:szCs w:val="24"/>
          <w:rtl/>
        </w:rPr>
        <w:t xml:space="preserve">إذا كانت الوفاة قبل تاريخ الأحقية، تُصرف للورثة وفق أنصبتهم.</w:t>
      </w:r>
    </w:p>
    <w:p>
      <w:pPr>
        <w:pStyle w:val="ListParagraph"/>
        <w:numPr>
          <w:ilvl w:val="0"/>
          <w:numId w:val="2"/>
        </w:numPr>
        <w:bidi/>
        <w:spacing w:after="100" w:line="300"/>
        <w:jc w:val="right"/>
      </w:pPr>
      <w:r>
        <w:rPr>
          <w:rFonts w:ascii="Arial" w:cs="Arial" w:eastAsia="Arial" w:hAnsi="Arial"/>
          <w:sz w:val="24"/>
          <w:szCs w:val="24"/>
          <w:rtl/>
        </w:rPr>
        <w:t xml:space="preserve">إذا لم تكتمل إجراءات الإرث، تُحجز الأرباح حتى استكمالها.</w:t>
      </w:r>
    </w:p>
    <w:p>
      <w:pPr>
        <w:pStyle w:val="ListParagraph"/>
        <w:numPr>
          <w:ilvl w:val="0"/>
          <w:numId w:val="2"/>
        </w:numPr>
        <w:bidi/>
        <w:spacing w:after="100" w:line="300"/>
        <w:jc w:val="right"/>
      </w:pPr>
      <w:r>
        <w:rPr>
          <w:rFonts w:ascii="Arial" w:cs="Arial" w:eastAsia="Arial" w:hAnsi="Arial"/>
          <w:sz w:val="24"/>
          <w:szCs w:val="24"/>
          <w:rtl/>
        </w:rPr>
        <w:t xml:space="preserve">يستوجب صك حصر إرث وقسمة لتوزيعها.</w:t>
      </w:r>
    </w:p>
    <w:p>
      <w:pPr>
        <w:pStyle w:val="Heading3"/>
        <w:bidi/>
        <w:spacing w:after="120" w:before="200"/>
        <w:jc w:val="right"/>
      </w:pPr>
      <w:r>
        <w:rPr>
          <w:rFonts w:ascii="Arial" w:cs="Arial" w:eastAsia="Arial" w:hAnsi="Arial"/>
          <w:b/>
          <w:bCs/>
          <w:color w:val="1F4E79"/>
          <w:sz w:val="26"/>
          <w:szCs w:val="26"/>
          <w:rtl/>
        </w:rPr>
        <w:t xml:space="preserve">أسهم الخزينة</w:t>
      </w:r>
    </w:p>
    <w:p>
      <w:pPr>
        <w:pStyle w:val="ListParagraph"/>
        <w:numPr>
          <w:ilvl w:val="0"/>
          <w:numId w:val="2"/>
        </w:numPr>
        <w:bidi/>
        <w:spacing w:after="100" w:line="300"/>
        <w:jc w:val="right"/>
      </w:pPr>
      <w:r>
        <w:rPr>
          <w:rFonts w:ascii="Arial" w:cs="Arial" w:eastAsia="Arial" w:hAnsi="Arial"/>
          <w:sz w:val="24"/>
          <w:szCs w:val="24"/>
          <w:rtl/>
        </w:rPr>
        <w:t xml:space="preserve">لا تستحق توزيعات أرباح ما دامت مملوكة للشركة.</w:t>
      </w:r>
    </w:p>
    <w:p>
      <w:pPr>
        <w:pStyle w:val="ListParagraph"/>
        <w:numPr>
          <w:ilvl w:val="0"/>
          <w:numId w:val="2"/>
        </w:numPr>
        <w:bidi/>
        <w:spacing w:after="100" w:line="300"/>
        <w:jc w:val="right"/>
      </w:pPr>
      <w:r>
        <w:rPr>
          <w:rFonts w:ascii="Arial" w:cs="Arial" w:eastAsia="Arial" w:hAnsi="Arial"/>
          <w:sz w:val="24"/>
          <w:szCs w:val="24"/>
          <w:rtl/>
        </w:rPr>
        <w:t xml:space="preserve">تُستثنى من الحساب الإجمالي للأرباح الموزعة.</w:t>
      </w:r>
    </w:p>
    <w:p>
      <w:pPr>
        <w:pStyle w:val="ListParagraph"/>
        <w:numPr>
          <w:ilvl w:val="0"/>
          <w:numId w:val="2"/>
        </w:numPr>
        <w:bidi/>
        <w:spacing w:after="100" w:line="300"/>
        <w:jc w:val="right"/>
      </w:pPr>
      <w:r>
        <w:rPr>
          <w:rFonts w:ascii="Arial" w:cs="Arial" w:eastAsia="Arial" w:hAnsi="Arial"/>
          <w:sz w:val="24"/>
          <w:szCs w:val="24"/>
          <w:rtl/>
        </w:rPr>
        <w:t xml:space="preserve">توفّر مدخرات للشركة.</w:t>
      </w:r>
    </w:p>
    <w:p>
      <w:pPr>
        <w:pStyle w:val="Heading3"/>
        <w:bidi/>
        <w:spacing w:after="120" w:before="200"/>
        <w:jc w:val="right"/>
      </w:pPr>
      <w:r>
        <w:rPr>
          <w:rFonts w:ascii="Arial" w:cs="Arial" w:eastAsia="Arial" w:hAnsi="Arial"/>
          <w:b/>
          <w:bCs/>
          <w:color w:val="1F4E79"/>
          <w:sz w:val="26"/>
          <w:szCs w:val="26"/>
          <w:rtl/>
        </w:rPr>
        <w:t xml:space="preserve">الأسهم المباعة قرب تاريخ الأحقية</w:t>
      </w:r>
    </w:p>
    <w:p>
      <w:pPr>
        <w:pStyle w:val="ListParagraph"/>
        <w:numPr>
          <w:ilvl w:val="0"/>
          <w:numId w:val="2"/>
        </w:numPr>
        <w:bidi/>
        <w:spacing w:after="100" w:line="300"/>
        <w:jc w:val="right"/>
      </w:pPr>
      <w:r>
        <w:rPr>
          <w:rFonts w:ascii="Arial" w:cs="Arial" w:eastAsia="Arial" w:hAnsi="Arial"/>
          <w:sz w:val="24"/>
          <w:szCs w:val="24"/>
          <w:rtl/>
        </w:rPr>
        <w:t xml:space="preserve">في الشركات المدرجة: المسجل في السجل في تاريخ الأحقية هو المستحق.</w:t>
      </w:r>
    </w:p>
    <w:p>
      <w:pPr>
        <w:pStyle w:val="ListParagraph"/>
        <w:numPr>
          <w:ilvl w:val="0"/>
          <w:numId w:val="2"/>
        </w:numPr>
        <w:bidi/>
        <w:spacing w:after="100" w:line="300"/>
        <w:jc w:val="right"/>
      </w:pPr>
      <w:r>
        <w:rPr>
          <w:rFonts w:ascii="Arial" w:cs="Arial" w:eastAsia="Arial" w:hAnsi="Arial"/>
          <w:sz w:val="24"/>
          <w:szCs w:val="24"/>
          <w:rtl/>
        </w:rPr>
        <w:t xml:space="preserve">الصفقات بعد تاريخ التداول بدون استحقاق لا تنقل حق التوزيع.</w:t>
      </w:r>
    </w:p>
    <w:p>
      <w:pPr>
        <w:pStyle w:val="ListParagraph"/>
        <w:numPr>
          <w:ilvl w:val="0"/>
          <w:numId w:val="2"/>
        </w:numPr>
        <w:bidi/>
        <w:spacing w:after="100" w:line="300"/>
        <w:jc w:val="right"/>
      </w:pPr>
      <w:r>
        <w:rPr>
          <w:rFonts w:ascii="Arial" w:cs="Arial" w:eastAsia="Arial" w:hAnsi="Arial"/>
          <w:sz w:val="24"/>
          <w:szCs w:val="24"/>
          <w:rtl/>
        </w:rPr>
        <w:t xml:space="preserve">في الشركات غير المدرجة: يُطبق ذات المبدأ مع التحقق من تاريخ القيد.</w:t>
      </w:r>
    </w:p>
    <w:p>
      <w:pPr>
        <w:pStyle w:val="Heading2"/>
        <w:bidi/>
        <w:spacing w:after="160" w:before="280"/>
        <w:jc w:val="right"/>
      </w:pPr>
      <w:r>
        <w:rPr>
          <w:rFonts w:ascii="Arial" w:cs="Arial" w:eastAsia="Arial" w:hAnsi="Arial"/>
          <w:b/>
          <w:bCs/>
          <w:color w:val="2E75B6"/>
          <w:sz w:val="30"/>
          <w:szCs w:val="30"/>
          <w:rtl/>
        </w:rPr>
        <w:t xml:space="preserve">4. توثيق التوزيع في السجل</w:t>
      </w:r>
    </w:p>
    <w:p>
      <w:pPr>
        <w:bidi/>
        <w:spacing w:after="140" w:line="320"/>
        <w:jc w:val="both"/>
      </w:pPr>
      <w:r>
        <w:rPr>
          <w:rFonts w:ascii="Arial" w:cs="Arial" w:eastAsia="Arial" w:hAnsi="Arial"/>
          <w:sz w:val="24"/>
          <w:szCs w:val="24"/>
          <w:rtl/>
        </w:rPr>
        <w:t xml:space="preserve">بعد إتمام التوزيع، يُحدّث السجل ليعكس:</w:t>
      </w:r>
    </w:p>
    <w:p>
      <w:pPr>
        <w:pStyle w:val="ListParagraph"/>
        <w:numPr>
          <w:ilvl w:val="0"/>
          <w:numId w:val="2"/>
        </w:numPr>
        <w:bidi/>
        <w:spacing w:after="100" w:line="300"/>
        <w:jc w:val="right"/>
      </w:pPr>
      <w:r>
        <w:rPr>
          <w:rFonts w:ascii="Arial" w:cs="Arial" w:eastAsia="Arial" w:hAnsi="Arial"/>
          <w:sz w:val="24"/>
          <w:szCs w:val="24"/>
          <w:rtl/>
        </w:rPr>
        <w:t xml:space="preserve">سجل بالأرباح المصروفة لكل مساهم.</w:t>
      </w:r>
    </w:p>
    <w:p>
      <w:pPr>
        <w:pStyle w:val="ListParagraph"/>
        <w:numPr>
          <w:ilvl w:val="0"/>
          <w:numId w:val="2"/>
        </w:numPr>
        <w:bidi/>
        <w:spacing w:after="100" w:line="300"/>
        <w:jc w:val="right"/>
      </w:pPr>
      <w:r>
        <w:rPr>
          <w:rFonts w:ascii="Arial" w:cs="Arial" w:eastAsia="Arial" w:hAnsi="Arial"/>
          <w:sz w:val="24"/>
          <w:szCs w:val="24"/>
          <w:rtl/>
        </w:rPr>
        <w:t xml:space="preserve">تاريخ الصرف وآليته.</w:t>
      </w:r>
    </w:p>
    <w:p>
      <w:pPr>
        <w:pStyle w:val="ListParagraph"/>
        <w:numPr>
          <w:ilvl w:val="0"/>
          <w:numId w:val="2"/>
        </w:numPr>
        <w:bidi/>
        <w:spacing w:after="100" w:line="300"/>
        <w:jc w:val="right"/>
      </w:pPr>
      <w:r>
        <w:rPr>
          <w:rFonts w:ascii="Arial" w:cs="Arial" w:eastAsia="Arial" w:hAnsi="Arial"/>
          <w:sz w:val="24"/>
          <w:szCs w:val="24"/>
          <w:rtl/>
        </w:rPr>
        <w:t xml:space="preserve">أي أرباح غير مصروفة (للمساهمين غير الموجودين أو ذوي بيانات ناقصة).</w:t>
      </w:r>
    </w:p>
    <w:p>
      <w:pPr>
        <w:pStyle w:val="ListParagraph"/>
        <w:numPr>
          <w:ilvl w:val="0"/>
          <w:numId w:val="2"/>
        </w:numPr>
        <w:bidi/>
        <w:spacing w:after="100" w:line="300"/>
        <w:jc w:val="right"/>
      </w:pPr>
      <w:r>
        <w:rPr>
          <w:rFonts w:ascii="Arial" w:cs="Arial" w:eastAsia="Arial" w:hAnsi="Arial"/>
          <w:sz w:val="24"/>
          <w:szCs w:val="24"/>
          <w:rtl/>
        </w:rPr>
        <w:t xml:space="preserve">أي تعديلات أو تصحيحات لاحقة.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آليات صرف الأرباح</w:t>
      </w:r>
    </w:p>
    <w:p>
      <w:pPr>
        <w:bidi/>
        <w:spacing w:after="140" w:line="320"/>
        <w:jc w:val="both"/>
      </w:pPr>
      <w:r>
        <w:rPr>
          <w:rFonts w:ascii="Arial" w:cs="Arial" w:eastAsia="Arial" w:hAnsi="Arial"/>
          <w:sz w:val="24"/>
          <w:szCs w:val="24"/>
          <w:rtl/>
        </w:rPr>
        <w:t xml:space="preserve">اختلفت آليات صرف الأرباح بتطور التقنيات وأنظمة الدفع. واليوم، تتوفر عدة قنوات يمكن للشركة استخدامها بحسب طبيعة مساهميها وحجمها:</w:t>
      </w:r>
    </w:p>
    <w:p>
      <w:pPr>
        <w:pStyle w:val="Heading2"/>
        <w:bidi/>
        <w:spacing w:after="160" w:before="280"/>
        <w:jc w:val="right"/>
      </w:pPr>
      <w:r>
        <w:rPr>
          <w:rFonts w:ascii="Arial" w:cs="Arial" w:eastAsia="Arial" w:hAnsi="Arial"/>
          <w:b/>
          <w:bCs/>
          <w:color w:val="2E75B6"/>
          <w:sz w:val="30"/>
          <w:szCs w:val="30"/>
          <w:rtl/>
        </w:rPr>
        <w:t xml:space="preserve">1. التحويل البنكي المباشر (Bank Transfer)</w:t>
      </w:r>
    </w:p>
    <w:p>
      <w:pPr>
        <w:bidi/>
        <w:spacing w:after="140" w:line="320"/>
        <w:jc w:val="both"/>
      </w:pPr>
      <w:r>
        <w:rPr>
          <w:rFonts w:ascii="Arial" w:cs="Arial" w:eastAsia="Arial" w:hAnsi="Arial"/>
          <w:sz w:val="24"/>
          <w:szCs w:val="24"/>
          <w:rtl/>
        </w:rPr>
        <w:t xml:space="preserve">الآلية الأكثر شيوعاً وكفاءة، وتعتمد على تحويل المبلغ مباشرةً إلى الحساب المصرفي المسجل لكل مستحق.</w:t>
      </w:r>
    </w:p>
    <w:p>
      <w:pPr>
        <w:pStyle w:val="Heading3"/>
        <w:bidi/>
        <w:spacing w:after="120" w:before="200"/>
        <w:jc w:val="right"/>
      </w:pPr>
      <w:r>
        <w:rPr>
          <w:rFonts w:ascii="Arial" w:cs="Arial" w:eastAsia="Arial" w:hAnsi="Arial"/>
          <w:b/>
          <w:bCs/>
          <w:color w:val="1F4E79"/>
          <w:sz w:val="26"/>
          <w:szCs w:val="26"/>
          <w:rtl/>
        </w:rPr>
        <w:t xml:space="preserve">المميزات</w:t>
      </w:r>
    </w:p>
    <w:p>
      <w:pPr>
        <w:pStyle w:val="ListParagraph"/>
        <w:numPr>
          <w:ilvl w:val="0"/>
          <w:numId w:val="2"/>
        </w:numPr>
        <w:bidi/>
        <w:spacing w:after="100" w:line="300"/>
        <w:jc w:val="right"/>
      </w:pPr>
      <w:r>
        <w:rPr>
          <w:rFonts w:ascii="Arial" w:cs="Arial" w:eastAsia="Arial" w:hAnsi="Arial"/>
          <w:sz w:val="24"/>
          <w:szCs w:val="24"/>
          <w:rtl/>
        </w:rPr>
        <w:t xml:space="preserve">سرعة عالية في الصرف.</w:t>
      </w:r>
    </w:p>
    <w:p>
      <w:pPr>
        <w:pStyle w:val="ListParagraph"/>
        <w:numPr>
          <w:ilvl w:val="0"/>
          <w:numId w:val="2"/>
        </w:numPr>
        <w:bidi/>
        <w:spacing w:after="100" w:line="300"/>
        <w:jc w:val="right"/>
      </w:pPr>
      <w:r>
        <w:rPr>
          <w:rFonts w:ascii="Arial" w:cs="Arial" w:eastAsia="Arial" w:hAnsi="Arial"/>
          <w:sz w:val="24"/>
          <w:szCs w:val="24"/>
          <w:rtl/>
        </w:rPr>
        <w:t xml:space="preserve">أمان وموثوقية.</w:t>
      </w:r>
    </w:p>
    <w:p>
      <w:pPr>
        <w:pStyle w:val="ListParagraph"/>
        <w:numPr>
          <w:ilvl w:val="0"/>
          <w:numId w:val="2"/>
        </w:numPr>
        <w:bidi/>
        <w:spacing w:after="100" w:line="300"/>
        <w:jc w:val="right"/>
      </w:pPr>
      <w:r>
        <w:rPr>
          <w:rFonts w:ascii="Arial" w:cs="Arial" w:eastAsia="Arial" w:hAnsi="Arial"/>
          <w:sz w:val="24"/>
          <w:szCs w:val="24"/>
          <w:rtl/>
        </w:rPr>
        <w:t xml:space="preserve">توثيق إلكتروني كامل.</w:t>
      </w:r>
    </w:p>
    <w:p>
      <w:pPr>
        <w:pStyle w:val="ListParagraph"/>
        <w:numPr>
          <w:ilvl w:val="0"/>
          <w:numId w:val="2"/>
        </w:numPr>
        <w:bidi/>
        <w:spacing w:after="100" w:line="300"/>
        <w:jc w:val="right"/>
      </w:pPr>
      <w:r>
        <w:rPr>
          <w:rFonts w:ascii="Arial" w:cs="Arial" w:eastAsia="Arial" w:hAnsi="Arial"/>
          <w:sz w:val="24"/>
          <w:szCs w:val="24"/>
          <w:rtl/>
        </w:rPr>
        <w:t xml:space="preserve">تكلفة تشغيلية منخفضة.</w:t>
      </w:r>
    </w:p>
    <w:p>
      <w:pPr>
        <w:pStyle w:val="ListParagraph"/>
        <w:numPr>
          <w:ilvl w:val="0"/>
          <w:numId w:val="2"/>
        </w:numPr>
        <w:bidi/>
        <w:spacing w:after="100" w:line="300"/>
        <w:jc w:val="right"/>
      </w:pPr>
      <w:r>
        <w:rPr>
          <w:rFonts w:ascii="Arial" w:cs="Arial" w:eastAsia="Arial" w:hAnsi="Arial"/>
          <w:sz w:val="24"/>
          <w:szCs w:val="24"/>
          <w:rtl/>
        </w:rPr>
        <w:t xml:space="preserve">ملاءمة لعدد كبير من المساهمين.</w:t>
      </w:r>
    </w:p>
    <w:p>
      <w:pPr>
        <w:pStyle w:val="Heading3"/>
        <w:bidi/>
        <w:spacing w:after="120" w:before="200"/>
        <w:jc w:val="right"/>
      </w:pPr>
      <w:r>
        <w:rPr>
          <w:rFonts w:ascii="Arial" w:cs="Arial" w:eastAsia="Arial" w:hAnsi="Arial"/>
          <w:b/>
          <w:bCs/>
          <w:color w:val="1F4E79"/>
          <w:sz w:val="26"/>
          <w:szCs w:val="26"/>
          <w:rtl/>
        </w:rPr>
        <w:t xml:space="preserve">المتطلبات</w:t>
      </w:r>
    </w:p>
    <w:p>
      <w:pPr>
        <w:pStyle w:val="ListParagraph"/>
        <w:numPr>
          <w:ilvl w:val="0"/>
          <w:numId w:val="2"/>
        </w:numPr>
        <w:bidi/>
        <w:spacing w:after="100" w:line="300"/>
        <w:jc w:val="right"/>
      </w:pPr>
      <w:r>
        <w:rPr>
          <w:rFonts w:ascii="Arial" w:cs="Arial" w:eastAsia="Arial" w:hAnsi="Arial"/>
          <w:sz w:val="24"/>
          <w:szCs w:val="24"/>
          <w:rtl/>
        </w:rPr>
        <w:t xml:space="preserve">توفر بيانات بنكية صحيحة ومحدّثة لكل مستحق.</w:t>
      </w:r>
    </w:p>
    <w:p>
      <w:pPr>
        <w:pStyle w:val="ListParagraph"/>
        <w:numPr>
          <w:ilvl w:val="0"/>
          <w:numId w:val="2"/>
        </w:numPr>
        <w:bidi/>
        <w:spacing w:after="100" w:line="300"/>
        <w:jc w:val="right"/>
      </w:pPr>
      <w:r>
        <w:rPr>
          <w:rFonts w:ascii="Arial" w:cs="Arial" w:eastAsia="Arial" w:hAnsi="Arial"/>
          <w:sz w:val="24"/>
          <w:szCs w:val="24"/>
          <w:rtl/>
        </w:rPr>
        <w:t xml:space="preserve">تكامل مع البنوك المعتمدة.</w:t>
      </w:r>
    </w:p>
    <w:p>
      <w:pPr>
        <w:pStyle w:val="ListParagraph"/>
        <w:numPr>
          <w:ilvl w:val="0"/>
          <w:numId w:val="2"/>
        </w:numPr>
        <w:bidi/>
        <w:spacing w:after="100" w:line="300"/>
        <w:jc w:val="right"/>
      </w:pPr>
      <w:r>
        <w:rPr>
          <w:rFonts w:ascii="Arial" w:cs="Arial" w:eastAsia="Arial" w:hAnsi="Arial"/>
          <w:sz w:val="24"/>
          <w:szCs w:val="24"/>
          <w:rtl/>
        </w:rPr>
        <w:t xml:space="preserve">ضوابط أمنية للتحويلات.</w:t>
      </w:r>
    </w:p>
    <w:p>
      <w:pPr>
        <w:pStyle w:val="ListParagraph"/>
        <w:numPr>
          <w:ilvl w:val="0"/>
          <w:numId w:val="2"/>
        </w:numPr>
        <w:bidi/>
        <w:spacing w:after="100" w:line="300"/>
        <w:jc w:val="right"/>
      </w:pPr>
      <w:r>
        <w:rPr>
          <w:rFonts w:ascii="Arial" w:cs="Arial" w:eastAsia="Arial" w:hAnsi="Arial"/>
          <w:sz w:val="24"/>
          <w:szCs w:val="24"/>
          <w:rtl/>
        </w:rPr>
        <w:t xml:space="preserve">معالجة الحالات الراجعة (Failed Transfers).</w:t>
      </w:r>
    </w:p>
    <w:p>
      <w:pPr>
        <w:pStyle w:val="Heading2"/>
        <w:bidi/>
        <w:spacing w:after="160" w:before="280"/>
        <w:jc w:val="right"/>
      </w:pPr>
      <w:r>
        <w:rPr>
          <w:rFonts w:ascii="Arial" w:cs="Arial" w:eastAsia="Arial" w:hAnsi="Arial"/>
          <w:b/>
          <w:bCs/>
          <w:color w:val="2E75B6"/>
          <w:sz w:val="30"/>
          <w:szCs w:val="30"/>
          <w:rtl/>
        </w:rPr>
        <w:t xml:space="preserve">2. الصرف عبر مركز إيداع (للشركات المدرجة)</w:t>
      </w:r>
    </w:p>
    <w:p>
      <w:pPr>
        <w:bidi/>
        <w:spacing w:after="140" w:line="320"/>
        <w:jc w:val="both"/>
      </w:pPr>
      <w:r>
        <w:rPr>
          <w:rFonts w:ascii="Arial" w:cs="Arial" w:eastAsia="Arial" w:hAnsi="Arial"/>
          <w:sz w:val="24"/>
          <w:szCs w:val="24"/>
          <w:rtl/>
        </w:rPr>
        <w:t xml:space="preserve">في الشركات المدرجة في السوق المالية السعودية، يقوم مركز إيداع بإدارة عملية التوزيع بالكامل.</w:t>
      </w:r>
    </w:p>
    <w:p>
      <w:pPr>
        <w:pStyle w:val="Heading3"/>
        <w:bidi/>
        <w:spacing w:after="120" w:before="200"/>
        <w:jc w:val="right"/>
      </w:pPr>
      <w:r>
        <w:rPr>
          <w:rFonts w:ascii="Arial" w:cs="Arial" w:eastAsia="Arial" w:hAnsi="Arial"/>
          <w:b/>
          <w:bCs/>
          <w:color w:val="1F4E79"/>
          <w:sz w:val="26"/>
          <w:szCs w:val="26"/>
          <w:rtl/>
        </w:rPr>
        <w:t xml:space="preserve">الإجراءات</w:t>
      </w:r>
    </w:p>
    <w:p>
      <w:pPr>
        <w:pStyle w:val="ListParagraph"/>
        <w:numPr>
          <w:ilvl w:val="0"/>
          <w:numId w:val="3"/>
        </w:numPr>
        <w:bidi/>
        <w:spacing w:after="100" w:line="300"/>
        <w:jc w:val="right"/>
      </w:pPr>
      <w:r>
        <w:rPr>
          <w:rFonts w:ascii="Arial" w:cs="Arial" w:eastAsia="Arial" w:hAnsi="Arial"/>
          <w:sz w:val="24"/>
          <w:szCs w:val="24"/>
          <w:rtl/>
        </w:rPr>
        <w:t xml:space="preserve">الشركة تحوّل المبلغ الإجمالي إلى حساب مركز إيداع.</w:t>
      </w:r>
    </w:p>
    <w:p>
      <w:pPr>
        <w:pStyle w:val="ListParagraph"/>
        <w:numPr>
          <w:ilvl w:val="0"/>
          <w:numId w:val="3"/>
        </w:numPr>
        <w:bidi/>
        <w:spacing w:after="100" w:line="300"/>
        <w:jc w:val="right"/>
      </w:pPr>
      <w:r>
        <w:rPr>
          <w:rFonts w:ascii="Arial" w:cs="Arial" w:eastAsia="Arial" w:hAnsi="Arial"/>
          <w:sz w:val="24"/>
          <w:szCs w:val="24"/>
          <w:rtl/>
        </w:rPr>
        <w:t xml:space="preserve">مركز إيداع يستلم قائمة المستحقين من سجله الإلكتروني.</w:t>
      </w:r>
    </w:p>
    <w:p>
      <w:pPr>
        <w:pStyle w:val="ListParagraph"/>
        <w:numPr>
          <w:ilvl w:val="0"/>
          <w:numId w:val="3"/>
        </w:numPr>
        <w:bidi/>
        <w:spacing w:after="100" w:line="300"/>
        <w:jc w:val="right"/>
      </w:pPr>
      <w:r>
        <w:rPr>
          <w:rFonts w:ascii="Arial" w:cs="Arial" w:eastAsia="Arial" w:hAnsi="Arial"/>
          <w:sz w:val="24"/>
          <w:szCs w:val="24"/>
          <w:rtl/>
        </w:rPr>
        <w:t xml:space="preserve">يتم احتساب نصيب كل مستحق.</w:t>
      </w:r>
    </w:p>
    <w:p>
      <w:pPr>
        <w:pStyle w:val="ListParagraph"/>
        <w:numPr>
          <w:ilvl w:val="0"/>
          <w:numId w:val="3"/>
        </w:numPr>
        <w:bidi/>
        <w:spacing w:after="100" w:line="300"/>
        <w:jc w:val="right"/>
      </w:pPr>
      <w:r>
        <w:rPr>
          <w:rFonts w:ascii="Arial" w:cs="Arial" w:eastAsia="Arial" w:hAnsi="Arial"/>
          <w:sz w:val="24"/>
          <w:szCs w:val="24"/>
          <w:rtl/>
        </w:rPr>
        <w:t xml:space="preserve">توزيع المبالغ على الحسابات الاستثمارية للمستحقين.</w:t>
      </w:r>
    </w:p>
    <w:p>
      <w:pPr>
        <w:pStyle w:val="ListParagraph"/>
        <w:numPr>
          <w:ilvl w:val="0"/>
          <w:numId w:val="3"/>
        </w:numPr>
        <w:bidi/>
        <w:spacing w:after="100" w:line="300"/>
        <w:jc w:val="right"/>
      </w:pPr>
      <w:r>
        <w:rPr>
          <w:rFonts w:ascii="Arial" w:cs="Arial" w:eastAsia="Arial" w:hAnsi="Arial"/>
          <w:sz w:val="24"/>
          <w:szCs w:val="24"/>
          <w:rtl/>
        </w:rPr>
        <w:t xml:space="preserve">إصدار تقارير شاملة للشركة بحالة التوزيع.</w:t>
      </w:r>
    </w:p>
    <w:p>
      <w:pPr>
        <w:pStyle w:val="Heading3"/>
        <w:bidi/>
        <w:spacing w:after="120" w:before="200"/>
        <w:jc w:val="right"/>
      </w:pPr>
      <w:r>
        <w:rPr>
          <w:rFonts w:ascii="Arial" w:cs="Arial" w:eastAsia="Arial" w:hAnsi="Arial"/>
          <w:b/>
          <w:bCs/>
          <w:color w:val="1F4E79"/>
          <w:sz w:val="26"/>
          <w:szCs w:val="26"/>
          <w:rtl/>
        </w:rPr>
        <w:t xml:space="preserve">المميزات</w:t>
      </w:r>
    </w:p>
    <w:p>
      <w:pPr>
        <w:pStyle w:val="ListParagraph"/>
        <w:numPr>
          <w:ilvl w:val="0"/>
          <w:numId w:val="2"/>
        </w:numPr>
        <w:bidi/>
        <w:spacing w:after="100" w:line="300"/>
        <w:jc w:val="right"/>
      </w:pPr>
      <w:r>
        <w:rPr>
          <w:rFonts w:ascii="Arial" w:cs="Arial" w:eastAsia="Arial" w:hAnsi="Arial"/>
          <w:sz w:val="24"/>
          <w:szCs w:val="24"/>
          <w:rtl/>
        </w:rPr>
        <w:t xml:space="preserve">أتمتة كاملة للعملية.</w:t>
      </w:r>
    </w:p>
    <w:p>
      <w:pPr>
        <w:pStyle w:val="ListParagraph"/>
        <w:numPr>
          <w:ilvl w:val="0"/>
          <w:numId w:val="2"/>
        </w:numPr>
        <w:bidi/>
        <w:spacing w:after="100" w:line="300"/>
        <w:jc w:val="right"/>
      </w:pPr>
      <w:r>
        <w:rPr>
          <w:rFonts w:ascii="Arial" w:cs="Arial" w:eastAsia="Arial" w:hAnsi="Arial"/>
          <w:sz w:val="24"/>
          <w:szCs w:val="24"/>
          <w:rtl/>
        </w:rPr>
        <w:t xml:space="preserve">دقة عالية مع تكامل آني للسجل.</w:t>
      </w:r>
    </w:p>
    <w:p>
      <w:pPr>
        <w:pStyle w:val="ListParagraph"/>
        <w:numPr>
          <w:ilvl w:val="0"/>
          <w:numId w:val="2"/>
        </w:numPr>
        <w:bidi/>
        <w:spacing w:after="100" w:line="300"/>
        <w:jc w:val="right"/>
      </w:pPr>
      <w:r>
        <w:rPr>
          <w:rFonts w:ascii="Arial" w:cs="Arial" w:eastAsia="Arial" w:hAnsi="Arial"/>
          <w:sz w:val="24"/>
          <w:szCs w:val="24"/>
          <w:rtl/>
        </w:rPr>
        <w:t xml:space="preserve">تخفيف العبء التشغيلي عن الشركة.</w:t>
      </w:r>
    </w:p>
    <w:p>
      <w:pPr>
        <w:pStyle w:val="ListParagraph"/>
        <w:numPr>
          <w:ilvl w:val="0"/>
          <w:numId w:val="2"/>
        </w:numPr>
        <w:bidi/>
        <w:spacing w:after="100" w:line="300"/>
        <w:jc w:val="right"/>
      </w:pPr>
      <w:r>
        <w:rPr>
          <w:rFonts w:ascii="Arial" w:cs="Arial" w:eastAsia="Arial" w:hAnsi="Arial"/>
          <w:sz w:val="24"/>
          <w:szCs w:val="24"/>
          <w:rtl/>
        </w:rPr>
        <w:t xml:space="preserve">توثيق احترافي.</w:t>
      </w:r>
    </w:p>
    <w:p>
      <w:pPr>
        <w:pStyle w:val="Heading2"/>
        <w:bidi/>
        <w:spacing w:after="160" w:before="280"/>
        <w:jc w:val="right"/>
      </w:pPr>
      <w:r>
        <w:rPr>
          <w:rFonts w:ascii="Arial" w:cs="Arial" w:eastAsia="Arial" w:hAnsi="Arial"/>
          <w:b/>
          <w:bCs/>
          <w:color w:val="2E75B6"/>
          <w:sz w:val="30"/>
          <w:szCs w:val="30"/>
          <w:rtl/>
        </w:rPr>
        <w:t xml:space="preserve">3. الشيكات (Checks)</w:t>
      </w:r>
    </w:p>
    <w:p>
      <w:pPr>
        <w:bidi/>
        <w:spacing w:after="140" w:line="320"/>
        <w:jc w:val="both"/>
      </w:pPr>
      <w:r>
        <w:rPr>
          <w:rFonts w:ascii="Arial" w:cs="Arial" w:eastAsia="Arial" w:hAnsi="Arial"/>
          <w:sz w:val="24"/>
          <w:szCs w:val="24"/>
          <w:rtl/>
        </w:rPr>
        <w:t xml:space="preserve">آلية تقليدية لا تزال مستخدمة في بعض الحالات، خاصةً للمساهمين الذين لا يفضلون استخدام البنوك الإلكترونية.</w:t>
      </w:r>
    </w:p>
    <w:p>
      <w:pPr>
        <w:pStyle w:val="Heading3"/>
        <w:bidi/>
        <w:spacing w:after="120" w:before="200"/>
        <w:jc w:val="right"/>
      </w:pPr>
      <w:r>
        <w:rPr>
          <w:rFonts w:ascii="Arial" w:cs="Arial" w:eastAsia="Arial" w:hAnsi="Arial"/>
          <w:b/>
          <w:bCs/>
          <w:color w:val="1F4E79"/>
          <w:sz w:val="26"/>
          <w:szCs w:val="26"/>
          <w:rtl/>
        </w:rPr>
        <w:t xml:space="preserve">الاستخدامات</w:t>
      </w:r>
    </w:p>
    <w:p>
      <w:pPr>
        <w:pStyle w:val="ListParagraph"/>
        <w:numPr>
          <w:ilvl w:val="0"/>
          <w:numId w:val="2"/>
        </w:numPr>
        <w:bidi/>
        <w:spacing w:after="100" w:line="300"/>
        <w:jc w:val="right"/>
      </w:pPr>
      <w:r>
        <w:rPr>
          <w:rFonts w:ascii="Arial" w:cs="Arial" w:eastAsia="Arial" w:hAnsi="Arial"/>
          <w:sz w:val="24"/>
          <w:szCs w:val="24"/>
          <w:rtl/>
        </w:rPr>
        <w:t xml:space="preserve">المساهمون الذين لم يحدّثوا بياناتهم البنكية.</w:t>
      </w:r>
    </w:p>
    <w:p>
      <w:pPr>
        <w:pStyle w:val="ListParagraph"/>
        <w:numPr>
          <w:ilvl w:val="0"/>
          <w:numId w:val="2"/>
        </w:numPr>
        <w:bidi/>
        <w:spacing w:after="100" w:line="300"/>
        <w:jc w:val="right"/>
      </w:pPr>
      <w:r>
        <w:rPr>
          <w:rFonts w:ascii="Arial" w:cs="Arial" w:eastAsia="Arial" w:hAnsi="Arial"/>
          <w:sz w:val="24"/>
          <w:szCs w:val="24"/>
          <w:rtl/>
        </w:rPr>
        <w:t xml:space="preserve">المبالغ الصغيرة في بعض الحالات.</w:t>
      </w:r>
    </w:p>
    <w:p>
      <w:pPr>
        <w:pStyle w:val="ListParagraph"/>
        <w:numPr>
          <w:ilvl w:val="0"/>
          <w:numId w:val="2"/>
        </w:numPr>
        <w:bidi/>
        <w:spacing w:after="100" w:line="300"/>
        <w:jc w:val="right"/>
      </w:pPr>
      <w:r>
        <w:rPr>
          <w:rFonts w:ascii="Arial" w:cs="Arial" w:eastAsia="Arial" w:hAnsi="Arial"/>
          <w:sz w:val="24"/>
          <w:szCs w:val="24"/>
          <w:rtl/>
        </w:rPr>
        <w:t xml:space="preserve">الشركات الصغيرة محدودة المساهمين.</w:t>
      </w:r>
    </w:p>
    <w:p>
      <w:pPr>
        <w:pStyle w:val="Heading3"/>
        <w:bidi/>
        <w:spacing w:after="120" w:before="200"/>
        <w:jc w:val="right"/>
      </w:pPr>
      <w:r>
        <w:rPr>
          <w:rFonts w:ascii="Arial" w:cs="Arial" w:eastAsia="Arial" w:hAnsi="Arial"/>
          <w:b/>
          <w:bCs/>
          <w:color w:val="1F4E79"/>
          <w:sz w:val="26"/>
          <w:szCs w:val="26"/>
          <w:rtl/>
        </w:rPr>
        <w:t xml:space="preserve">التحديات</w:t>
      </w:r>
    </w:p>
    <w:p>
      <w:pPr>
        <w:pStyle w:val="ListParagraph"/>
        <w:numPr>
          <w:ilvl w:val="0"/>
          <w:numId w:val="2"/>
        </w:numPr>
        <w:bidi/>
        <w:spacing w:after="100" w:line="300"/>
        <w:jc w:val="right"/>
      </w:pPr>
      <w:r>
        <w:rPr>
          <w:rFonts w:ascii="Arial" w:cs="Arial" w:eastAsia="Arial" w:hAnsi="Arial"/>
          <w:sz w:val="24"/>
          <w:szCs w:val="24"/>
          <w:rtl/>
        </w:rPr>
        <w:t xml:space="preserve">تكلفة تشغيلية أعلى.</w:t>
      </w:r>
    </w:p>
    <w:p>
      <w:pPr>
        <w:pStyle w:val="ListParagraph"/>
        <w:numPr>
          <w:ilvl w:val="0"/>
          <w:numId w:val="2"/>
        </w:numPr>
        <w:bidi/>
        <w:spacing w:after="100" w:line="300"/>
        <w:jc w:val="right"/>
      </w:pPr>
      <w:r>
        <w:rPr>
          <w:rFonts w:ascii="Arial" w:cs="Arial" w:eastAsia="Arial" w:hAnsi="Arial"/>
          <w:sz w:val="24"/>
          <w:szCs w:val="24"/>
          <w:rtl/>
        </w:rPr>
        <w:t xml:space="preserve">احتمال ضياع الشيكات.</w:t>
      </w:r>
    </w:p>
    <w:p>
      <w:pPr>
        <w:pStyle w:val="ListParagraph"/>
        <w:numPr>
          <w:ilvl w:val="0"/>
          <w:numId w:val="2"/>
        </w:numPr>
        <w:bidi/>
        <w:spacing w:after="100" w:line="300"/>
        <w:jc w:val="right"/>
      </w:pPr>
      <w:r>
        <w:rPr>
          <w:rFonts w:ascii="Arial" w:cs="Arial" w:eastAsia="Arial" w:hAnsi="Arial"/>
          <w:sz w:val="24"/>
          <w:szCs w:val="24"/>
          <w:rtl/>
        </w:rPr>
        <w:t xml:space="preserve">بطء عملية الصرف.</w:t>
      </w:r>
    </w:p>
    <w:p>
      <w:pPr>
        <w:pStyle w:val="ListParagraph"/>
        <w:numPr>
          <w:ilvl w:val="0"/>
          <w:numId w:val="2"/>
        </w:numPr>
        <w:bidi/>
        <w:spacing w:after="100" w:line="300"/>
        <w:jc w:val="right"/>
      </w:pPr>
      <w:r>
        <w:rPr>
          <w:rFonts w:ascii="Arial" w:cs="Arial" w:eastAsia="Arial" w:hAnsi="Arial"/>
          <w:sz w:val="24"/>
          <w:szCs w:val="24"/>
          <w:rtl/>
        </w:rPr>
        <w:t xml:space="preserve">صعوبة التتبع.</w:t>
      </w:r>
    </w:p>
    <w:p>
      <w:pPr>
        <w:pStyle w:val="Heading2"/>
        <w:bidi/>
        <w:spacing w:after="160" w:before="280"/>
        <w:jc w:val="right"/>
      </w:pPr>
      <w:r>
        <w:rPr>
          <w:rFonts w:ascii="Arial" w:cs="Arial" w:eastAsia="Arial" w:hAnsi="Arial"/>
          <w:b/>
          <w:bCs/>
          <w:color w:val="2E75B6"/>
          <w:sz w:val="30"/>
          <w:szCs w:val="30"/>
          <w:rtl/>
        </w:rPr>
        <w:t xml:space="preserve">4. الصرف النقدي</w:t>
      </w:r>
    </w:p>
    <w:p>
      <w:pPr>
        <w:bidi/>
        <w:spacing w:after="140" w:line="320"/>
        <w:jc w:val="both"/>
      </w:pPr>
      <w:r>
        <w:rPr>
          <w:rFonts w:ascii="Arial" w:cs="Arial" w:eastAsia="Arial" w:hAnsi="Arial"/>
          <w:sz w:val="24"/>
          <w:szCs w:val="24"/>
          <w:rtl/>
        </w:rPr>
        <w:t xml:space="preserve">نادراً ما يُستخدم في الوقت الحالي، لكن قد يكون متاحاً للحالات الاستثنائية، أو لمساهمي الشركات الصغيرة جداً.</w:t>
      </w:r>
    </w:p>
    <w:p>
      <w:pPr>
        <w:pStyle w:val="Heading2"/>
        <w:bidi/>
        <w:spacing w:after="160" w:before="280"/>
        <w:jc w:val="right"/>
      </w:pPr>
      <w:r>
        <w:rPr>
          <w:rFonts w:ascii="Arial" w:cs="Arial" w:eastAsia="Arial" w:hAnsi="Arial"/>
          <w:b/>
          <w:bCs/>
          <w:color w:val="2E75B6"/>
          <w:sz w:val="30"/>
          <w:szCs w:val="30"/>
          <w:rtl/>
        </w:rPr>
        <w:t xml:space="preserve">5. الإيداع في الحساب الاستثماري</w:t>
      </w:r>
    </w:p>
    <w:p>
      <w:pPr>
        <w:bidi/>
        <w:spacing w:after="140" w:line="320"/>
        <w:jc w:val="both"/>
      </w:pPr>
      <w:r>
        <w:rPr>
          <w:rFonts w:ascii="Arial" w:cs="Arial" w:eastAsia="Arial" w:hAnsi="Arial"/>
          <w:sz w:val="24"/>
          <w:szCs w:val="24"/>
          <w:rtl/>
        </w:rPr>
        <w:t xml:space="preserve">في الشركات المدرجة، تُودع الأرباح مباشرة في الحساب الاستثماري للمساهم لدى الوسيط المالي.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التعامل مع الأرباح غير المصروفة</w:t>
      </w:r>
    </w:p>
    <w:p>
      <w:pPr>
        <w:bidi/>
        <w:spacing w:after="140" w:line="320"/>
        <w:jc w:val="both"/>
      </w:pPr>
      <w:r>
        <w:rPr>
          <w:rFonts w:ascii="Arial" w:cs="Arial" w:eastAsia="Arial" w:hAnsi="Arial"/>
          <w:sz w:val="24"/>
          <w:szCs w:val="24"/>
          <w:rtl/>
        </w:rPr>
        <w:t xml:space="preserve">في كل عملية توزيع، يظهر جزء من الأرباح لا يمكن صرفه لأسباب متنوعة. هذه الأرباح غير المصروفة تستوجب معالجة خاصة:</w:t>
      </w:r>
    </w:p>
    <w:p>
      <w:pPr>
        <w:pStyle w:val="Heading2"/>
        <w:bidi/>
        <w:spacing w:after="160" w:before="280"/>
        <w:jc w:val="right"/>
      </w:pPr>
      <w:r>
        <w:rPr>
          <w:rFonts w:ascii="Arial" w:cs="Arial" w:eastAsia="Arial" w:hAnsi="Arial"/>
          <w:b/>
          <w:bCs/>
          <w:color w:val="2E75B6"/>
          <w:sz w:val="30"/>
          <w:szCs w:val="30"/>
          <w:rtl/>
        </w:rPr>
        <w:t xml:space="preserve">أسباب عدم الصرف</w:t>
      </w:r>
    </w:p>
    <w:p>
      <w:pPr>
        <w:pStyle w:val="ListParagraph"/>
        <w:numPr>
          <w:ilvl w:val="0"/>
          <w:numId w:val="2"/>
        </w:numPr>
        <w:bidi/>
        <w:spacing w:after="100" w:line="300"/>
        <w:jc w:val="right"/>
      </w:pPr>
      <w:r>
        <w:rPr>
          <w:rFonts w:ascii="Arial" w:cs="Arial" w:eastAsia="Arial" w:hAnsi="Arial"/>
          <w:sz w:val="24"/>
          <w:szCs w:val="24"/>
          <w:rtl/>
        </w:rPr>
        <w:t xml:space="preserve">بيانات اتصال غير صحيحة أو غير محدّثة للمستحق.</w:t>
      </w:r>
    </w:p>
    <w:p>
      <w:pPr>
        <w:pStyle w:val="ListParagraph"/>
        <w:numPr>
          <w:ilvl w:val="0"/>
          <w:numId w:val="2"/>
        </w:numPr>
        <w:bidi/>
        <w:spacing w:after="100" w:line="300"/>
        <w:jc w:val="right"/>
      </w:pPr>
      <w:r>
        <w:rPr>
          <w:rFonts w:ascii="Arial" w:cs="Arial" w:eastAsia="Arial" w:hAnsi="Arial"/>
          <w:sz w:val="24"/>
          <w:szCs w:val="24"/>
          <w:rtl/>
        </w:rPr>
        <w:t xml:space="preserve">بيانات بنكية خاطئة أو منتهية.</w:t>
      </w:r>
    </w:p>
    <w:p>
      <w:pPr>
        <w:pStyle w:val="ListParagraph"/>
        <w:numPr>
          <w:ilvl w:val="0"/>
          <w:numId w:val="2"/>
        </w:numPr>
        <w:bidi/>
        <w:spacing w:after="100" w:line="300"/>
        <w:jc w:val="right"/>
      </w:pPr>
      <w:r>
        <w:rPr>
          <w:rFonts w:ascii="Arial" w:cs="Arial" w:eastAsia="Arial" w:hAnsi="Arial"/>
          <w:sz w:val="24"/>
          <w:szCs w:val="24"/>
          <w:rtl/>
        </w:rPr>
        <w:t xml:space="preserve">وفاة المستحق دون إكمال إجراءات الإرث.</w:t>
      </w:r>
    </w:p>
    <w:p>
      <w:pPr>
        <w:pStyle w:val="ListParagraph"/>
        <w:numPr>
          <w:ilvl w:val="0"/>
          <w:numId w:val="2"/>
        </w:numPr>
        <w:bidi/>
        <w:spacing w:after="100" w:line="300"/>
        <w:jc w:val="right"/>
      </w:pPr>
      <w:r>
        <w:rPr>
          <w:rFonts w:ascii="Arial" w:cs="Arial" w:eastAsia="Arial" w:hAnsi="Arial"/>
          <w:sz w:val="24"/>
          <w:szCs w:val="24"/>
          <w:rtl/>
        </w:rPr>
        <w:t xml:space="preserve">وجود حجز أو قيود على الأسهم.</w:t>
      </w:r>
    </w:p>
    <w:p>
      <w:pPr>
        <w:pStyle w:val="ListParagraph"/>
        <w:numPr>
          <w:ilvl w:val="0"/>
          <w:numId w:val="2"/>
        </w:numPr>
        <w:bidi/>
        <w:spacing w:after="100" w:line="300"/>
        <w:jc w:val="right"/>
      </w:pPr>
      <w:r>
        <w:rPr>
          <w:rFonts w:ascii="Arial" w:cs="Arial" w:eastAsia="Arial" w:hAnsi="Arial"/>
          <w:sz w:val="24"/>
          <w:szCs w:val="24"/>
          <w:rtl/>
        </w:rPr>
        <w:t xml:space="preserve">عدم استلام المستحق للشيك المرسل.</w:t>
      </w:r>
    </w:p>
    <w:p>
      <w:pPr>
        <w:pStyle w:val="ListParagraph"/>
        <w:numPr>
          <w:ilvl w:val="0"/>
          <w:numId w:val="2"/>
        </w:numPr>
        <w:bidi/>
        <w:spacing w:after="100" w:line="300"/>
        <w:jc w:val="right"/>
      </w:pPr>
      <w:r>
        <w:rPr>
          <w:rFonts w:ascii="Arial" w:cs="Arial" w:eastAsia="Arial" w:hAnsi="Arial"/>
          <w:sz w:val="24"/>
          <w:szCs w:val="24"/>
          <w:rtl/>
        </w:rPr>
        <w:t xml:space="preserve">نزاعات حول استحقاق الأرباح.</w:t>
      </w:r>
    </w:p>
    <w:p>
      <w:pPr>
        <w:pStyle w:val="Heading2"/>
        <w:bidi/>
        <w:spacing w:after="160" w:before="280"/>
        <w:jc w:val="right"/>
      </w:pPr>
      <w:r>
        <w:rPr>
          <w:rFonts w:ascii="Arial" w:cs="Arial" w:eastAsia="Arial" w:hAnsi="Arial"/>
          <w:b/>
          <w:bCs/>
          <w:color w:val="2E75B6"/>
          <w:sz w:val="30"/>
          <w:szCs w:val="30"/>
          <w:rtl/>
        </w:rPr>
        <w:t xml:space="preserve">إجراءات المعالجة</w:t>
      </w:r>
    </w:p>
    <w:p>
      <w:pPr>
        <w:pStyle w:val="ListParagraph"/>
        <w:numPr>
          <w:ilvl w:val="0"/>
          <w:numId w:val="3"/>
        </w:numPr>
        <w:bidi/>
        <w:spacing w:after="100" w:line="300"/>
        <w:jc w:val="right"/>
      </w:pPr>
      <w:r>
        <w:rPr>
          <w:rFonts w:ascii="Arial" w:cs="Arial" w:eastAsia="Arial" w:hAnsi="Arial"/>
          <w:sz w:val="24"/>
          <w:szCs w:val="24"/>
          <w:rtl/>
        </w:rPr>
        <w:t xml:space="preserve">توثيق الأرباح غير المصروفة بدقة في سجل خاص.</w:t>
      </w:r>
    </w:p>
    <w:p>
      <w:pPr>
        <w:pStyle w:val="ListParagraph"/>
        <w:numPr>
          <w:ilvl w:val="0"/>
          <w:numId w:val="3"/>
        </w:numPr>
        <w:bidi/>
        <w:spacing w:after="100" w:line="300"/>
        <w:jc w:val="right"/>
      </w:pPr>
      <w:r>
        <w:rPr>
          <w:rFonts w:ascii="Arial" w:cs="Arial" w:eastAsia="Arial" w:hAnsi="Arial"/>
          <w:sz w:val="24"/>
          <w:szCs w:val="24"/>
          <w:rtl/>
        </w:rPr>
        <w:t xml:space="preserve">الاحتفاظ بالمبالغ في حساب خاص باسم "أرباح غير مستلمة".</w:t>
      </w:r>
    </w:p>
    <w:p>
      <w:pPr>
        <w:pStyle w:val="ListParagraph"/>
        <w:numPr>
          <w:ilvl w:val="0"/>
          <w:numId w:val="3"/>
        </w:numPr>
        <w:bidi/>
        <w:spacing w:after="100" w:line="300"/>
        <w:jc w:val="right"/>
      </w:pPr>
      <w:r>
        <w:rPr>
          <w:rFonts w:ascii="Arial" w:cs="Arial" w:eastAsia="Arial" w:hAnsi="Arial"/>
          <w:sz w:val="24"/>
          <w:szCs w:val="24"/>
          <w:rtl/>
        </w:rPr>
        <w:t xml:space="preserve">بذل جهود متعددة للتواصل مع المستحقين.</w:t>
      </w:r>
    </w:p>
    <w:p>
      <w:pPr>
        <w:pStyle w:val="ListParagraph"/>
        <w:numPr>
          <w:ilvl w:val="0"/>
          <w:numId w:val="3"/>
        </w:numPr>
        <w:bidi/>
        <w:spacing w:after="100" w:line="300"/>
        <w:jc w:val="right"/>
      </w:pPr>
      <w:r>
        <w:rPr>
          <w:rFonts w:ascii="Arial" w:cs="Arial" w:eastAsia="Arial" w:hAnsi="Arial"/>
          <w:sz w:val="24"/>
          <w:szCs w:val="24"/>
          <w:rtl/>
        </w:rPr>
        <w:t xml:space="preserve">إصدار إشعارات دورية للمساهمين بأرباحهم غير المصروفة.</w:t>
      </w:r>
    </w:p>
    <w:p>
      <w:pPr>
        <w:pStyle w:val="ListParagraph"/>
        <w:numPr>
          <w:ilvl w:val="0"/>
          <w:numId w:val="3"/>
        </w:numPr>
        <w:bidi/>
        <w:spacing w:after="100" w:line="300"/>
        <w:jc w:val="right"/>
      </w:pPr>
      <w:r>
        <w:rPr>
          <w:rFonts w:ascii="Arial" w:cs="Arial" w:eastAsia="Arial" w:hAnsi="Arial"/>
          <w:sz w:val="24"/>
          <w:szCs w:val="24"/>
          <w:rtl/>
        </w:rPr>
        <w:t xml:space="preserve">تحديث البيانات وإعادة محاولة الصرف.</w:t>
      </w:r>
    </w:p>
    <w:p>
      <w:pPr>
        <w:pStyle w:val="ListParagraph"/>
        <w:numPr>
          <w:ilvl w:val="0"/>
          <w:numId w:val="3"/>
        </w:numPr>
        <w:bidi/>
        <w:spacing w:after="100" w:line="300"/>
        <w:jc w:val="right"/>
      </w:pPr>
      <w:r>
        <w:rPr>
          <w:rFonts w:ascii="Arial" w:cs="Arial" w:eastAsia="Arial" w:hAnsi="Arial"/>
          <w:sz w:val="24"/>
          <w:szCs w:val="24"/>
          <w:rtl/>
        </w:rPr>
        <w:t xml:space="preserve">الإفصاح للجهات التنظيمية عن الإجمالي.</w:t>
      </w:r>
    </w:p>
    <w:p>
      <w:pPr>
        <w:pStyle w:val="Heading2"/>
        <w:bidi/>
        <w:spacing w:after="160" w:before="280"/>
        <w:jc w:val="right"/>
      </w:pPr>
      <w:r>
        <w:rPr>
          <w:rFonts w:ascii="Arial" w:cs="Arial" w:eastAsia="Arial" w:hAnsi="Arial"/>
          <w:b/>
          <w:bCs/>
          <w:color w:val="2E75B6"/>
          <w:sz w:val="30"/>
          <w:szCs w:val="30"/>
          <w:rtl/>
        </w:rPr>
        <w:t xml:space="preserve">التقادم</w:t>
      </w:r>
    </w:p>
    <w:p>
      <w:pPr>
        <w:bidi/>
        <w:spacing w:after="140" w:line="320"/>
        <w:jc w:val="both"/>
      </w:pPr>
      <w:r>
        <w:rPr>
          <w:rFonts w:ascii="Arial" w:cs="Arial" w:eastAsia="Arial" w:hAnsi="Arial"/>
          <w:sz w:val="24"/>
          <w:szCs w:val="24"/>
          <w:rtl/>
        </w:rPr>
        <w:t xml:space="preserve">وفقاً للأحكام النظامية، تتقادم المطالبة بالأرباح غير المستلمة بعد فترة معينة. وعند تقادم الحق، تُؤول الأرباح إلى الشركة أو يتم التعامل معها وفق ما ينص عليه النظام الأساس والأحكام النظامية.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التحديات الشائعة والحلول</w:t>
      </w:r>
    </w:p>
    <w:p>
      <w:pPr>
        <w:pStyle w:val="Heading2"/>
        <w:bidi/>
        <w:spacing w:after="160" w:before="280"/>
        <w:jc w:val="right"/>
      </w:pPr>
      <w:r>
        <w:rPr>
          <w:rFonts w:ascii="Arial" w:cs="Arial" w:eastAsia="Arial" w:hAnsi="Arial"/>
          <w:b/>
          <w:bCs/>
          <w:color w:val="2E75B6"/>
          <w:sz w:val="30"/>
          <w:szCs w:val="30"/>
          <w:rtl/>
        </w:rPr>
        <w:t xml:space="preserve">1. حجم البيانات الكبير</w:t>
      </w:r>
    </w:p>
    <w:p>
      <w:pPr>
        <w:bidi/>
        <w:spacing w:after="140" w:line="320"/>
        <w:jc w:val="both"/>
      </w:pPr>
      <w:r>
        <w:rPr>
          <w:rFonts w:ascii="Arial" w:cs="Arial" w:eastAsia="Arial" w:hAnsi="Arial"/>
          <w:sz w:val="24"/>
          <w:szCs w:val="24"/>
          <w:rtl/>
        </w:rPr>
        <w:t xml:space="preserve">التحدي: في الشركات الكبرى، قد يصل عدد المستحقين إلى عشرات الآلاف، مما يجعل عملية التوزيع معقدة.</w:t>
      </w:r>
    </w:p>
    <w:p>
      <w:pPr>
        <w:bidi/>
        <w:spacing w:after="140" w:line="320"/>
        <w:jc w:val="both"/>
      </w:pPr>
      <w:r>
        <w:rPr>
          <w:rFonts w:ascii="Arial" w:cs="Arial" w:eastAsia="Arial" w:hAnsi="Arial"/>
          <w:sz w:val="24"/>
          <w:szCs w:val="24"/>
          <w:rtl/>
        </w:rPr>
        <w:t xml:space="preserve">الحل: أتمتة كاملة للعملية، استخدام أنظمة قادرة على التعامل مع الأحجام الكبيرة، التنسيق مع البنوك لتنفيذ التحويلات المجمّعة.</w:t>
      </w:r>
    </w:p>
    <w:p>
      <w:pPr>
        <w:pStyle w:val="Heading2"/>
        <w:bidi/>
        <w:spacing w:after="160" w:before="280"/>
        <w:jc w:val="right"/>
      </w:pPr>
      <w:r>
        <w:rPr>
          <w:rFonts w:ascii="Arial" w:cs="Arial" w:eastAsia="Arial" w:hAnsi="Arial"/>
          <w:b/>
          <w:bCs/>
          <w:color w:val="2E75B6"/>
          <w:sz w:val="30"/>
          <w:szCs w:val="30"/>
          <w:rtl/>
        </w:rPr>
        <w:t xml:space="preserve">2. دقة بيانات المساهمين</w:t>
      </w:r>
    </w:p>
    <w:p>
      <w:pPr>
        <w:bidi/>
        <w:spacing w:after="140" w:line="320"/>
        <w:jc w:val="both"/>
      </w:pPr>
      <w:r>
        <w:rPr>
          <w:rFonts w:ascii="Arial" w:cs="Arial" w:eastAsia="Arial" w:hAnsi="Arial"/>
          <w:sz w:val="24"/>
          <w:szCs w:val="24"/>
          <w:rtl/>
        </w:rPr>
        <w:t xml:space="preserve">التحدي: بيانات قديمة أو غير مكتملة تؤدي إلى فشل التحويلات وارتفاع نسبة الأرباح غير المصروفة.</w:t>
      </w:r>
    </w:p>
    <w:p>
      <w:pPr>
        <w:bidi/>
        <w:spacing w:after="140" w:line="320"/>
        <w:jc w:val="both"/>
      </w:pPr>
      <w:r>
        <w:rPr>
          <w:rFonts w:ascii="Arial" w:cs="Arial" w:eastAsia="Arial" w:hAnsi="Arial"/>
          <w:sz w:val="24"/>
          <w:szCs w:val="24"/>
          <w:rtl/>
        </w:rPr>
        <w:t xml:space="preserve">الحل: حملات تحديث دورية، ربط استلام الأرباح بتحديث البيانات، توفير قنوات إلكترونية سهلة للتحديث.</w:t>
      </w:r>
    </w:p>
    <w:p>
      <w:pPr>
        <w:pStyle w:val="Heading2"/>
        <w:bidi/>
        <w:spacing w:after="160" w:before="280"/>
        <w:jc w:val="right"/>
      </w:pPr>
      <w:r>
        <w:rPr>
          <w:rFonts w:ascii="Arial" w:cs="Arial" w:eastAsia="Arial" w:hAnsi="Arial"/>
          <w:b/>
          <w:bCs/>
          <w:color w:val="2E75B6"/>
          <w:sz w:val="30"/>
          <w:szCs w:val="30"/>
          <w:rtl/>
        </w:rPr>
        <w:t xml:space="preserve">3. التعامل مع الضرائب والاستقطاعات</w:t>
      </w:r>
    </w:p>
    <w:p>
      <w:pPr>
        <w:bidi/>
        <w:spacing w:after="140" w:line="320"/>
        <w:jc w:val="both"/>
      </w:pPr>
      <w:r>
        <w:rPr>
          <w:rFonts w:ascii="Arial" w:cs="Arial" w:eastAsia="Arial" w:hAnsi="Arial"/>
          <w:sz w:val="24"/>
          <w:szCs w:val="24"/>
          <w:rtl/>
        </w:rPr>
        <w:t xml:space="preserve">التحدي: قد تخضع بعض الأرباح لاستقطاعات ضريبية مختلفة بحسب طبيعة المساهم (محلي/أجنبي) ونوع الكيان (شخص طبيعي/اعتباري).</w:t>
      </w:r>
    </w:p>
    <w:p>
      <w:pPr>
        <w:bidi/>
        <w:spacing w:after="140" w:line="320"/>
        <w:jc w:val="both"/>
      </w:pPr>
      <w:r>
        <w:rPr>
          <w:rFonts w:ascii="Arial" w:cs="Arial" w:eastAsia="Arial" w:hAnsi="Arial"/>
          <w:sz w:val="24"/>
          <w:szCs w:val="24"/>
          <w:rtl/>
        </w:rPr>
        <w:t xml:space="preserve">الحل: نظام محاسبي متكامل قادر على تطبيق المعدلات الصحيحة، تنسيق مع هيئة الزكاة والضريبة والجمارك، إصدار شهادات الاستقطاع للمستحقين.</w:t>
      </w:r>
    </w:p>
    <w:p>
      <w:pPr>
        <w:pStyle w:val="Heading2"/>
        <w:bidi/>
        <w:spacing w:after="160" w:before="280"/>
        <w:jc w:val="right"/>
      </w:pPr>
      <w:r>
        <w:rPr>
          <w:rFonts w:ascii="Arial" w:cs="Arial" w:eastAsia="Arial" w:hAnsi="Arial"/>
          <w:b/>
          <w:bCs/>
          <w:color w:val="2E75B6"/>
          <w:sz w:val="30"/>
          <w:szCs w:val="30"/>
          <w:rtl/>
        </w:rPr>
        <w:t xml:space="preserve">4. المساهمون الأجانب</w:t>
      </w:r>
    </w:p>
    <w:p>
      <w:pPr>
        <w:bidi/>
        <w:spacing w:after="140" w:line="320"/>
        <w:jc w:val="both"/>
      </w:pPr>
      <w:r>
        <w:rPr>
          <w:rFonts w:ascii="Arial" w:cs="Arial" w:eastAsia="Arial" w:hAnsi="Arial"/>
          <w:sz w:val="24"/>
          <w:szCs w:val="24"/>
          <w:rtl/>
        </w:rPr>
        <w:t xml:space="preserve">التحدي: المساهمون الأجانب قد يحتاجون إلى تحويل بعملاتهم وتسويات خاصة، مما يضيف تعقيداً.</w:t>
      </w:r>
    </w:p>
    <w:p>
      <w:pPr>
        <w:bidi/>
        <w:spacing w:after="140" w:line="320"/>
        <w:jc w:val="both"/>
      </w:pPr>
      <w:r>
        <w:rPr>
          <w:rFonts w:ascii="Arial" w:cs="Arial" w:eastAsia="Arial" w:hAnsi="Arial"/>
          <w:sz w:val="24"/>
          <w:szCs w:val="24"/>
          <w:rtl/>
        </w:rPr>
        <w:t xml:space="preserve">الحل: تكامل مع منصات التحويل الدولية، توفير خيارات صرف متعددة، الالتزام بمتطلبات اتفاقيات منع الازدواج الضريبي.</w:t>
      </w:r>
    </w:p>
    <w:p>
      <w:pPr>
        <w:pStyle w:val="Heading2"/>
        <w:bidi/>
        <w:spacing w:after="160" w:before="280"/>
        <w:jc w:val="right"/>
      </w:pPr>
      <w:r>
        <w:rPr>
          <w:rFonts w:ascii="Arial" w:cs="Arial" w:eastAsia="Arial" w:hAnsi="Arial"/>
          <w:b/>
          <w:bCs/>
          <w:color w:val="2E75B6"/>
          <w:sz w:val="30"/>
          <w:szCs w:val="30"/>
          <w:rtl/>
        </w:rPr>
        <w:t xml:space="preserve">5. التواصل مع المساهمين</w:t>
      </w:r>
    </w:p>
    <w:p>
      <w:pPr>
        <w:bidi/>
        <w:spacing w:after="140" w:line="320"/>
        <w:jc w:val="both"/>
      </w:pPr>
      <w:r>
        <w:rPr>
          <w:rFonts w:ascii="Arial" w:cs="Arial" w:eastAsia="Arial" w:hAnsi="Arial"/>
          <w:sz w:val="24"/>
          <w:szCs w:val="24"/>
          <w:rtl/>
        </w:rPr>
        <w:t xml:space="preserve">التحدي: ضمان وصول المعلومات إلى جميع المساهمين في الوقت المناسب.</w:t>
      </w:r>
    </w:p>
    <w:p>
      <w:pPr>
        <w:bidi/>
        <w:spacing w:after="140" w:line="320"/>
        <w:jc w:val="both"/>
      </w:pPr>
      <w:r>
        <w:rPr>
          <w:rFonts w:ascii="Arial" w:cs="Arial" w:eastAsia="Arial" w:hAnsi="Arial"/>
          <w:sz w:val="24"/>
          <w:szCs w:val="24"/>
          <w:rtl/>
        </w:rPr>
        <w:t xml:space="preserve">الحل: قنوات تواصل متعددة (بريد إلكتروني، رسائل نصية، إشعارات تطبيقات)، الإفصاح الفوري عبر منصة تداول، ربط مع نظام "تداولاتي".</w:t>
      </w:r>
    </w:p>
    <w:p>
      <w:pPr>
        <w:pStyle w:val="Heading2"/>
        <w:bidi/>
        <w:spacing w:after="160" w:before="280"/>
        <w:jc w:val="right"/>
      </w:pPr>
      <w:r>
        <w:rPr>
          <w:rFonts w:ascii="Arial" w:cs="Arial" w:eastAsia="Arial" w:hAnsi="Arial"/>
          <w:b/>
          <w:bCs/>
          <w:color w:val="2E75B6"/>
          <w:sz w:val="30"/>
          <w:szCs w:val="30"/>
          <w:rtl/>
        </w:rPr>
        <w:t xml:space="preserve">6. الأخطاء في الحساب</w:t>
      </w:r>
    </w:p>
    <w:p>
      <w:pPr>
        <w:bidi/>
        <w:spacing w:after="140" w:line="320"/>
        <w:jc w:val="both"/>
      </w:pPr>
      <w:r>
        <w:rPr>
          <w:rFonts w:ascii="Arial" w:cs="Arial" w:eastAsia="Arial" w:hAnsi="Arial"/>
          <w:sz w:val="24"/>
          <w:szCs w:val="24"/>
          <w:rtl/>
        </w:rPr>
        <w:t xml:space="preserve">التحدي: الحسابات اليدوية أو الأنظمة القديمة قد تنتج أخطاء في احتساب الأنصبة.</w:t>
      </w:r>
    </w:p>
    <w:p>
      <w:pPr>
        <w:bidi/>
        <w:spacing w:after="140" w:line="320"/>
        <w:jc w:val="both"/>
      </w:pPr>
      <w:r>
        <w:rPr>
          <w:rFonts w:ascii="Arial" w:cs="Arial" w:eastAsia="Arial" w:hAnsi="Arial"/>
          <w:sz w:val="24"/>
          <w:szCs w:val="24"/>
          <w:rtl/>
        </w:rPr>
        <w:t xml:space="preserve">الحل: استخدام أنظمة محاسبية موثوقة، التحقق المتعدد قبل التنفيذ، التدقيق الخارجي للعملية في الشركات الكبرى.</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مؤشرات الأداء في عملية التوزيع</w:t>
      </w:r>
    </w:p>
    <w:p>
      <w:pPr>
        <w:bidi/>
        <w:spacing w:after="140" w:line="320"/>
        <w:jc w:val="both"/>
      </w:pPr>
      <w:r>
        <w:rPr>
          <w:rFonts w:ascii="Arial" w:cs="Arial" w:eastAsia="Arial" w:hAnsi="Arial"/>
          <w:sz w:val="24"/>
          <w:szCs w:val="24"/>
          <w:rtl/>
        </w:rPr>
        <w:t xml:space="preserve">لقياس كفاءة عملية التوزيع، يمكن اعتماد عدة مؤشرات: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المؤشر</w:t>
            </w:r>
          </w:p>
        </w:tc>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الوصف</w:t>
            </w:r>
          </w:p>
        </w:tc>
        <w:tc>
          <w:tcPr>
            <w:tcW w:type="dxa" w:w="31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الهدف</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المصروف من الإجمالي</w:t>
            </w:r>
          </w:p>
        </w:tc>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النسبة المئوية للأرباح المصروفة بنجاح</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99%</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زمن الصرف من تاريخ الاستحقاق</w:t>
            </w:r>
          </w:p>
        </w:tc>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متوسط الأيام بين الاستحقاق والصرف الفعلي</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أقل من 5 أيام</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التحويلات الفاشلة</w:t>
            </w:r>
          </w:p>
        </w:tc>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التحويلات التي رُدّت أو فشلت</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أقل من 1%</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دقة احتساب المبالغ</w:t>
            </w:r>
          </w:p>
        </w:tc>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الحسابات الصحيحة</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100%</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وقت الإفصاح</w:t>
            </w:r>
          </w:p>
        </w:tc>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زمن الإفصاح من اتخاذ القرار</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خلال 24 ساعة كحد أقصى</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معدل رضا المساهمين</w:t>
            </w:r>
          </w:p>
        </w:tc>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نتائج الاستبيانات</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90%</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الاستفسارات بعد التوزيع</w:t>
            </w:r>
          </w:p>
        </w:tc>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عدد الاستفسارات لكل 1000 مساهم</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أقل من 20</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أفضل الممارسات في إدارة التوزيعات</w:t>
      </w:r>
    </w:p>
    <w:p>
      <w:pPr>
        <w:pStyle w:val="ListParagraph"/>
        <w:numPr>
          <w:ilvl w:val="0"/>
          <w:numId w:val="3"/>
        </w:numPr>
        <w:bidi/>
        <w:spacing w:after="100" w:line="300"/>
        <w:jc w:val="right"/>
      </w:pPr>
      <w:r>
        <w:rPr>
          <w:rFonts w:ascii="Arial" w:cs="Arial" w:eastAsia="Arial" w:hAnsi="Arial"/>
          <w:sz w:val="24"/>
          <w:szCs w:val="24"/>
          <w:rtl/>
        </w:rPr>
        <w:t xml:space="preserve">التخطيط المسبق: وضع جدول زمني مفصل لكل خطوة من العملية قبل اتخاذ قرار التوزيع.</w:t>
      </w:r>
    </w:p>
    <w:p>
      <w:pPr>
        <w:pStyle w:val="ListParagraph"/>
        <w:numPr>
          <w:ilvl w:val="0"/>
          <w:numId w:val="3"/>
        </w:numPr>
        <w:bidi/>
        <w:spacing w:after="100" w:line="300"/>
        <w:jc w:val="right"/>
      </w:pPr>
      <w:r>
        <w:rPr>
          <w:rFonts w:ascii="Arial" w:cs="Arial" w:eastAsia="Arial" w:hAnsi="Arial"/>
          <w:sz w:val="24"/>
          <w:szCs w:val="24"/>
          <w:rtl/>
        </w:rPr>
        <w:t xml:space="preserve">التواصل الاستباقي: إخطار المساهمين بالتواريخ المهمة قبل وقت كافٍ، خاصةً تاريخ الأحقية.</w:t>
      </w:r>
    </w:p>
    <w:p>
      <w:pPr>
        <w:pStyle w:val="ListParagraph"/>
        <w:numPr>
          <w:ilvl w:val="0"/>
          <w:numId w:val="3"/>
        </w:numPr>
        <w:bidi/>
        <w:spacing w:after="100" w:line="300"/>
        <w:jc w:val="right"/>
      </w:pPr>
      <w:r>
        <w:rPr>
          <w:rFonts w:ascii="Arial" w:cs="Arial" w:eastAsia="Arial" w:hAnsi="Arial"/>
          <w:sz w:val="24"/>
          <w:szCs w:val="24"/>
          <w:rtl/>
        </w:rPr>
        <w:t xml:space="preserve">الشفافية: نشر معلومات واضحة وشاملة عن سياسة التوزيع والإجراءات.</w:t>
      </w:r>
    </w:p>
    <w:p>
      <w:pPr>
        <w:pStyle w:val="ListParagraph"/>
        <w:numPr>
          <w:ilvl w:val="0"/>
          <w:numId w:val="3"/>
        </w:numPr>
        <w:bidi/>
        <w:spacing w:after="100" w:line="300"/>
        <w:jc w:val="right"/>
      </w:pPr>
      <w:r>
        <w:rPr>
          <w:rFonts w:ascii="Arial" w:cs="Arial" w:eastAsia="Arial" w:hAnsi="Arial"/>
          <w:sz w:val="24"/>
          <w:szCs w:val="24"/>
          <w:rtl/>
        </w:rPr>
        <w:t xml:space="preserve">الأتمتة: استخدام أنظمة آلية لتقليل الأخطاء وتسريع العملية.</w:t>
      </w:r>
    </w:p>
    <w:p>
      <w:pPr>
        <w:pStyle w:val="ListParagraph"/>
        <w:numPr>
          <w:ilvl w:val="0"/>
          <w:numId w:val="3"/>
        </w:numPr>
        <w:bidi/>
        <w:spacing w:after="100" w:line="300"/>
        <w:jc w:val="right"/>
      </w:pPr>
      <w:r>
        <w:rPr>
          <w:rFonts w:ascii="Arial" w:cs="Arial" w:eastAsia="Arial" w:hAnsi="Arial"/>
          <w:sz w:val="24"/>
          <w:szCs w:val="24"/>
          <w:rtl/>
        </w:rPr>
        <w:t xml:space="preserve">التحقق المتعدد: مراجعة الحسابات والقوائم من قبل أكثر من شخص قبل التنفيذ.</w:t>
      </w:r>
    </w:p>
    <w:p>
      <w:pPr>
        <w:pStyle w:val="ListParagraph"/>
        <w:numPr>
          <w:ilvl w:val="0"/>
          <w:numId w:val="3"/>
        </w:numPr>
        <w:bidi/>
        <w:spacing w:after="100" w:line="300"/>
        <w:jc w:val="right"/>
      </w:pPr>
      <w:r>
        <w:rPr>
          <w:rFonts w:ascii="Arial" w:cs="Arial" w:eastAsia="Arial" w:hAnsi="Arial"/>
          <w:sz w:val="24"/>
          <w:szCs w:val="24"/>
          <w:rtl/>
        </w:rPr>
        <w:t xml:space="preserve">التوثيق الكامل: حفظ سجل تفصيلي لكل خطوة من العملية مع المستندات الداعمة.</w:t>
      </w:r>
    </w:p>
    <w:p>
      <w:pPr>
        <w:pStyle w:val="ListParagraph"/>
        <w:numPr>
          <w:ilvl w:val="0"/>
          <w:numId w:val="3"/>
        </w:numPr>
        <w:bidi/>
        <w:spacing w:after="100" w:line="300"/>
        <w:jc w:val="right"/>
      </w:pPr>
      <w:r>
        <w:rPr>
          <w:rFonts w:ascii="Arial" w:cs="Arial" w:eastAsia="Arial" w:hAnsi="Arial"/>
          <w:sz w:val="24"/>
          <w:szCs w:val="24"/>
          <w:rtl/>
        </w:rPr>
        <w:t xml:space="preserve">التحديث المستمر للبيانات: تشجيع المساهمين على تحديث بياناتهم بشكل دوري.</w:t>
      </w:r>
    </w:p>
    <w:p>
      <w:pPr>
        <w:pStyle w:val="ListParagraph"/>
        <w:numPr>
          <w:ilvl w:val="0"/>
          <w:numId w:val="3"/>
        </w:numPr>
        <w:bidi/>
        <w:spacing w:after="100" w:line="300"/>
        <w:jc w:val="right"/>
      </w:pPr>
      <w:r>
        <w:rPr>
          <w:rFonts w:ascii="Arial" w:cs="Arial" w:eastAsia="Arial" w:hAnsi="Arial"/>
          <w:sz w:val="24"/>
          <w:szCs w:val="24"/>
          <w:rtl/>
        </w:rPr>
        <w:t xml:space="preserve">التدقيق المستقل: إخضاع العملية لتدقيق خارجي للتحقق من سلامتها.</w:t>
      </w:r>
    </w:p>
    <w:p>
      <w:pPr>
        <w:pStyle w:val="ListParagraph"/>
        <w:numPr>
          <w:ilvl w:val="0"/>
          <w:numId w:val="3"/>
        </w:numPr>
        <w:bidi/>
        <w:spacing w:after="100" w:line="300"/>
        <w:jc w:val="right"/>
      </w:pPr>
      <w:r>
        <w:rPr>
          <w:rFonts w:ascii="Arial" w:cs="Arial" w:eastAsia="Arial" w:hAnsi="Arial"/>
          <w:sz w:val="24"/>
          <w:szCs w:val="24"/>
          <w:rtl/>
        </w:rPr>
        <w:t xml:space="preserve">معالجة الاستفسارات بسرعة: توفير قنوات سريعة للرد على استفسارات المساهمين.</w:t>
      </w:r>
    </w:p>
    <w:p>
      <w:pPr>
        <w:pStyle w:val="ListParagraph"/>
        <w:numPr>
          <w:ilvl w:val="0"/>
          <w:numId w:val="3"/>
        </w:numPr>
        <w:bidi/>
        <w:spacing w:after="100" w:line="300"/>
        <w:jc w:val="right"/>
      </w:pPr>
      <w:r>
        <w:rPr>
          <w:rFonts w:ascii="Arial" w:cs="Arial" w:eastAsia="Arial" w:hAnsi="Arial"/>
          <w:sz w:val="24"/>
          <w:szCs w:val="24"/>
          <w:rtl/>
        </w:rPr>
        <w:t xml:space="preserve">التحسين المستمر: تحليل كل عملية لاكتشاف فرص التحسين للمستقبل.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قائمة مراجعة شاملة لعملية التوزيع</w:t>
      </w:r>
    </w:p>
    <w:p>
      <w:pPr>
        <w:pStyle w:val="Heading3"/>
        <w:bidi/>
        <w:spacing w:after="120" w:before="200"/>
        <w:jc w:val="right"/>
      </w:pPr>
      <w:r>
        <w:rPr>
          <w:rFonts w:ascii="Arial" w:cs="Arial" w:eastAsia="Arial" w:hAnsi="Arial"/>
          <w:b/>
          <w:bCs/>
          <w:color w:val="1F4E79"/>
          <w:sz w:val="26"/>
          <w:szCs w:val="26"/>
          <w:rtl/>
        </w:rPr>
        <w:t xml:space="preserve">قبل اتخاذ قرار التوزيع</w:t>
      </w:r>
    </w:p>
    <w:p>
      <w:pPr>
        <w:pStyle w:val="ListParagraph"/>
        <w:numPr>
          <w:ilvl w:val="0"/>
          <w:numId w:val="2"/>
        </w:numPr>
        <w:bidi/>
        <w:spacing w:after="100" w:line="300"/>
        <w:jc w:val="right"/>
      </w:pPr>
      <w:r>
        <w:rPr>
          <w:rFonts w:ascii="Arial" w:cs="Arial" w:eastAsia="Arial" w:hAnsi="Arial"/>
          <w:sz w:val="24"/>
          <w:szCs w:val="24"/>
          <w:rtl/>
        </w:rPr>
        <w:t xml:space="preserve">التحقق من توفر الأرباح القابلة للتوزيع.</w:t>
      </w:r>
    </w:p>
    <w:p>
      <w:pPr>
        <w:pStyle w:val="ListParagraph"/>
        <w:numPr>
          <w:ilvl w:val="0"/>
          <w:numId w:val="2"/>
        </w:numPr>
        <w:bidi/>
        <w:spacing w:after="100" w:line="300"/>
        <w:jc w:val="right"/>
      </w:pPr>
      <w:r>
        <w:rPr>
          <w:rFonts w:ascii="Arial" w:cs="Arial" w:eastAsia="Arial" w:hAnsi="Arial"/>
          <w:sz w:val="24"/>
          <w:szCs w:val="24"/>
          <w:rtl/>
        </w:rPr>
        <w:t xml:space="preserve">التأكد من تجنيب الاحتياطي القانوني.</w:t>
      </w:r>
    </w:p>
    <w:p>
      <w:pPr>
        <w:pStyle w:val="ListParagraph"/>
        <w:numPr>
          <w:ilvl w:val="0"/>
          <w:numId w:val="2"/>
        </w:numPr>
        <w:bidi/>
        <w:spacing w:after="100" w:line="300"/>
        <w:jc w:val="right"/>
      </w:pPr>
      <w:r>
        <w:rPr>
          <w:rFonts w:ascii="Arial" w:cs="Arial" w:eastAsia="Arial" w:hAnsi="Arial"/>
          <w:sz w:val="24"/>
          <w:szCs w:val="24"/>
          <w:rtl/>
        </w:rPr>
        <w:t xml:space="preserve">التحقق من عدم وجود خسائر متراكمة غير مغطاة.</w:t>
      </w:r>
    </w:p>
    <w:p>
      <w:pPr>
        <w:pStyle w:val="ListParagraph"/>
        <w:numPr>
          <w:ilvl w:val="0"/>
          <w:numId w:val="2"/>
        </w:numPr>
        <w:bidi/>
        <w:spacing w:after="100" w:line="300"/>
        <w:jc w:val="right"/>
      </w:pPr>
      <w:r>
        <w:rPr>
          <w:rFonts w:ascii="Arial" w:cs="Arial" w:eastAsia="Arial" w:hAnsi="Arial"/>
          <w:sz w:val="24"/>
          <w:szCs w:val="24"/>
          <w:rtl/>
        </w:rPr>
        <w:t xml:space="preserve">مراجعة النظام الأساس والقواعد المتعلقة.</w:t>
      </w:r>
    </w:p>
    <w:p>
      <w:pPr>
        <w:pStyle w:val="ListParagraph"/>
        <w:numPr>
          <w:ilvl w:val="0"/>
          <w:numId w:val="2"/>
        </w:numPr>
        <w:bidi/>
        <w:spacing w:after="100" w:line="300"/>
        <w:jc w:val="right"/>
      </w:pPr>
      <w:r>
        <w:rPr>
          <w:rFonts w:ascii="Arial" w:cs="Arial" w:eastAsia="Arial" w:hAnsi="Arial"/>
          <w:sz w:val="24"/>
          <w:szCs w:val="24"/>
          <w:rtl/>
        </w:rPr>
        <w:t xml:space="preserve">التشاور مع الإدارة المالية ومراجع الحسابات.</w:t>
      </w:r>
    </w:p>
    <w:p>
      <w:pPr>
        <w:pStyle w:val="Heading3"/>
        <w:bidi/>
        <w:spacing w:after="120" w:before="200"/>
        <w:jc w:val="right"/>
      </w:pPr>
      <w:r>
        <w:rPr>
          <w:rFonts w:ascii="Arial" w:cs="Arial" w:eastAsia="Arial" w:hAnsi="Arial"/>
          <w:b/>
          <w:bCs/>
          <w:color w:val="1F4E79"/>
          <w:sz w:val="26"/>
          <w:szCs w:val="26"/>
          <w:rtl/>
        </w:rPr>
        <w:t xml:space="preserve">عند اتخاذ القرار</w:t>
      </w:r>
    </w:p>
    <w:p>
      <w:pPr>
        <w:pStyle w:val="ListParagraph"/>
        <w:numPr>
          <w:ilvl w:val="0"/>
          <w:numId w:val="2"/>
        </w:numPr>
        <w:bidi/>
        <w:spacing w:after="100" w:line="300"/>
        <w:jc w:val="right"/>
      </w:pPr>
      <w:r>
        <w:rPr>
          <w:rFonts w:ascii="Arial" w:cs="Arial" w:eastAsia="Arial" w:hAnsi="Arial"/>
          <w:sz w:val="24"/>
          <w:szCs w:val="24"/>
          <w:rtl/>
        </w:rPr>
        <w:t xml:space="preserve">صياغة دقيقة للقرار مع تحديد جميع التواريخ.</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للجهات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نشر القرار على القنوات الرسمية.</w:t>
      </w:r>
    </w:p>
    <w:p>
      <w:pPr>
        <w:pStyle w:val="ListParagraph"/>
        <w:numPr>
          <w:ilvl w:val="0"/>
          <w:numId w:val="2"/>
        </w:numPr>
        <w:bidi/>
        <w:spacing w:after="100" w:line="300"/>
        <w:jc w:val="right"/>
      </w:pPr>
      <w:r>
        <w:rPr>
          <w:rFonts w:ascii="Arial" w:cs="Arial" w:eastAsia="Arial" w:hAnsi="Arial"/>
          <w:sz w:val="24"/>
          <w:szCs w:val="24"/>
          <w:rtl/>
        </w:rPr>
        <w:t xml:space="preserve">إخطار البنوك والجهات المعنية.</w:t>
      </w:r>
    </w:p>
    <w:p>
      <w:pPr>
        <w:pStyle w:val="ListParagraph"/>
        <w:numPr>
          <w:ilvl w:val="0"/>
          <w:numId w:val="2"/>
        </w:numPr>
        <w:bidi/>
        <w:spacing w:after="100" w:line="300"/>
        <w:jc w:val="right"/>
      </w:pPr>
      <w:r>
        <w:rPr>
          <w:rFonts w:ascii="Arial" w:cs="Arial" w:eastAsia="Arial" w:hAnsi="Arial"/>
          <w:sz w:val="24"/>
          <w:szCs w:val="24"/>
          <w:rtl/>
        </w:rPr>
        <w:t xml:space="preserve">بدء حملة التواصل مع المساهمين.</w:t>
      </w:r>
    </w:p>
    <w:p>
      <w:pPr>
        <w:pStyle w:val="Heading3"/>
        <w:bidi/>
        <w:spacing w:after="120" w:before="200"/>
        <w:jc w:val="right"/>
      </w:pPr>
      <w:r>
        <w:rPr>
          <w:rFonts w:ascii="Arial" w:cs="Arial" w:eastAsia="Arial" w:hAnsi="Arial"/>
          <w:b/>
          <w:bCs/>
          <w:color w:val="1F4E79"/>
          <w:sz w:val="26"/>
          <w:szCs w:val="26"/>
          <w:rtl/>
        </w:rPr>
        <w:t xml:space="preserve">قبل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بيانات المساهمين.</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 لتحديث بياناتهم.</w:t>
      </w:r>
    </w:p>
    <w:p>
      <w:pPr>
        <w:pStyle w:val="ListParagraph"/>
        <w:numPr>
          <w:ilvl w:val="0"/>
          <w:numId w:val="2"/>
        </w:numPr>
        <w:bidi/>
        <w:spacing w:after="100" w:line="300"/>
        <w:jc w:val="right"/>
      </w:pPr>
      <w:r>
        <w:rPr>
          <w:rFonts w:ascii="Arial" w:cs="Arial" w:eastAsia="Arial" w:hAnsi="Arial"/>
          <w:sz w:val="24"/>
          <w:szCs w:val="24"/>
          <w:rtl/>
        </w:rPr>
        <w:t xml:space="preserve">اختبار الأنظمة المستخدمة للحساب والصرف.</w:t>
      </w:r>
    </w:p>
    <w:p>
      <w:pPr>
        <w:pStyle w:val="ListParagraph"/>
        <w:numPr>
          <w:ilvl w:val="0"/>
          <w:numId w:val="2"/>
        </w:numPr>
        <w:bidi/>
        <w:spacing w:after="100" w:line="300"/>
        <w:jc w:val="right"/>
      </w:pPr>
      <w:r>
        <w:rPr>
          <w:rFonts w:ascii="Arial" w:cs="Arial" w:eastAsia="Arial" w:hAnsi="Arial"/>
          <w:sz w:val="24"/>
          <w:szCs w:val="24"/>
          <w:rtl/>
        </w:rPr>
        <w:t xml:space="preserve">التنسيق مع البنوك للتحويلات.</w:t>
      </w:r>
    </w:p>
    <w:p>
      <w:pPr>
        <w:pStyle w:val="ListParagraph"/>
        <w:numPr>
          <w:ilvl w:val="0"/>
          <w:numId w:val="2"/>
        </w:numPr>
        <w:bidi/>
        <w:spacing w:after="100" w:line="300"/>
        <w:jc w:val="right"/>
      </w:pPr>
      <w:r>
        <w:rPr>
          <w:rFonts w:ascii="Arial" w:cs="Arial" w:eastAsia="Arial" w:hAnsi="Arial"/>
          <w:sz w:val="24"/>
          <w:szCs w:val="24"/>
          <w:rtl/>
        </w:rPr>
        <w:t xml:space="preserve">الجاهزية لتجميد السجل.</w:t>
      </w:r>
    </w:p>
    <w:p>
      <w:pPr>
        <w:pStyle w:val="Heading3"/>
        <w:bidi/>
        <w:spacing w:after="120" w:before="200"/>
        <w:jc w:val="right"/>
      </w:pPr>
      <w:r>
        <w:rPr>
          <w:rFonts w:ascii="Arial" w:cs="Arial" w:eastAsia="Arial" w:hAnsi="Arial"/>
          <w:b/>
          <w:bCs/>
          <w:color w:val="1F4E79"/>
          <w:sz w:val="26"/>
          <w:szCs w:val="26"/>
          <w:rtl/>
        </w:rPr>
        <w:t xml:space="preserve">في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استخراج قائمة المستحقين النهائية.</w:t>
      </w:r>
    </w:p>
    <w:p>
      <w:pPr>
        <w:pStyle w:val="ListParagraph"/>
        <w:numPr>
          <w:ilvl w:val="0"/>
          <w:numId w:val="2"/>
        </w:numPr>
        <w:bidi/>
        <w:spacing w:after="100" w:line="300"/>
        <w:jc w:val="right"/>
      </w:pPr>
      <w:r>
        <w:rPr>
          <w:rFonts w:ascii="Arial" w:cs="Arial" w:eastAsia="Arial" w:hAnsi="Arial"/>
          <w:sz w:val="24"/>
          <w:szCs w:val="24"/>
          <w:rtl/>
        </w:rPr>
        <w:t xml:space="preserve">التحقق من سلامة القائمة.</w:t>
      </w:r>
    </w:p>
    <w:p>
      <w:pPr>
        <w:pStyle w:val="ListParagraph"/>
        <w:numPr>
          <w:ilvl w:val="0"/>
          <w:numId w:val="2"/>
        </w:numPr>
        <w:bidi/>
        <w:spacing w:after="100" w:line="300"/>
        <w:jc w:val="right"/>
      </w:pPr>
      <w:r>
        <w:rPr>
          <w:rFonts w:ascii="Arial" w:cs="Arial" w:eastAsia="Arial" w:hAnsi="Arial"/>
          <w:sz w:val="24"/>
          <w:szCs w:val="24"/>
          <w:rtl/>
        </w:rPr>
        <w:t xml:space="preserve">احتساب نصيب كل مستحق بدقة.</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من الحسابات.</w:t>
      </w:r>
    </w:p>
    <w:p>
      <w:pPr>
        <w:pStyle w:val="ListParagraph"/>
        <w:numPr>
          <w:ilvl w:val="0"/>
          <w:numId w:val="2"/>
        </w:numPr>
        <w:bidi/>
        <w:spacing w:after="100" w:line="300"/>
        <w:jc w:val="right"/>
      </w:pPr>
      <w:r>
        <w:rPr>
          <w:rFonts w:ascii="Arial" w:cs="Arial" w:eastAsia="Arial" w:hAnsi="Arial"/>
          <w:sz w:val="24"/>
          <w:szCs w:val="24"/>
          <w:rtl/>
        </w:rPr>
        <w:t xml:space="preserve">توثيق القائمة النهائية.</w:t>
      </w:r>
    </w:p>
    <w:p>
      <w:pPr>
        <w:pStyle w:val="Heading3"/>
        <w:bidi/>
        <w:spacing w:after="120" w:before="200"/>
        <w:jc w:val="right"/>
      </w:pPr>
      <w:r>
        <w:rPr>
          <w:rFonts w:ascii="Arial" w:cs="Arial" w:eastAsia="Arial" w:hAnsi="Arial"/>
          <w:b/>
          <w:bCs/>
          <w:color w:val="1F4E79"/>
          <w:sz w:val="26"/>
          <w:szCs w:val="26"/>
          <w:rtl/>
        </w:rPr>
        <w:t xml:space="preserve">قبل تاريخ الصرف</w:t>
      </w:r>
    </w:p>
    <w:p>
      <w:pPr>
        <w:pStyle w:val="ListParagraph"/>
        <w:numPr>
          <w:ilvl w:val="0"/>
          <w:numId w:val="2"/>
        </w:numPr>
        <w:bidi/>
        <w:spacing w:after="100" w:line="300"/>
        <w:jc w:val="right"/>
      </w:pPr>
      <w:r>
        <w:rPr>
          <w:rFonts w:ascii="Arial" w:cs="Arial" w:eastAsia="Arial" w:hAnsi="Arial"/>
          <w:sz w:val="24"/>
          <w:szCs w:val="24"/>
          <w:rtl/>
        </w:rPr>
        <w:t xml:space="preserve">اعتماد قائمة المستحقين النهائية من الجهات المختصة.</w:t>
      </w:r>
    </w:p>
    <w:p>
      <w:pPr>
        <w:pStyle w:val="ListParagraph"/>
        <w:numPr>
          <w:ilvl w:val="0"/>
          <w:numId w:val="2"/>
        </w:numPr>
        <w:bidi/>
        <w:spacing w:after="100" w:line="300"/>
        <w:jc w:val="right"/>
      </w:pPr>
      <w:r>
        <w:rPr>
          <w:rFonts w:ascii="Arial" w:cs="Arial" w:eastAsia="Arial" w:hAnsi="Arial"/>
          <w:sz w:val="24"/>
          <w:szCs w:val="24"/>
          <w:rtl/>
        </w:rPr>
        <w:t xml:space="preserve">تحويل المبالغ إلى الحسابات المخصصة للصرف.</w:t>
      </w:r>
    </w:p>
    <w:p>
      <w:pPr>
        <w:pStyle w:val="ListParagraph"/>
        <w:numPr>
          <w:ilvl w:val="0"/>
          <w:numId w:val="2"/>
        </w:numPr>
        <w:bidi/>
        <w:spacing w:after="100" w:line="300"/>
        <w:jc w:val="right"/>
      </w:pPr>
      <w:r>
        <w:rPr>
          <w:rFonts w:ascii="Arial" w:cs="Arial" w:eastAsia="Arial" w:hAnsi="Arial"/>
          <w:sz w:val="24"/>
          <w:szCs w:val="24"/>
          <w:rtl/>
        </w:rPr>
        <w:t xml:space="preserve">إعداد ملفات التحويل بالتنسيق المطلوب.</w:t>
      </w:r>
    </w:p>
    <w:p>
      <w:pPr>
        <w:pStyle w:val="ListParagraph"/>
        <w:numPr>
          <w:ilvl w:val="0"/>
          <w:numId w:val="2"/>
        </w:numPr>
        <w:bidi/>
        <w:spacing w:after="100" w:line="300"/>
        <w:jc w:val="right"/>
      </w:pPr>
      <w:r>
        <w:rPr>
          <w:rFonts w:ascii="Arial" w:cs="Arial" w:eastAsia="Arial" w:hAnsi="Arial"/>
          <w:sz w:val="24"/>
          <w:szCs w:val="24"/>
          <w:rtl/>
        </w:rPr>
        <w:t xml:space="preserve">التحقق من الجاهزية التشغيلية للبنوك.</w:t>
      </w:r>
    </w:p>
    <w:p>
      <w:pPr>
        <w:pStyle w:val="ListParagraph"/>
        <w:numPr>
          <w:ilvl w:val="0"/>
          <w:numId w:val="2"/>
        </w:numPr>
        <w:bidi/>
        <w:spacing w:after="100" w:line="300"/>
        <w:jc w:val="right"/>
      </w:pPr>
      <w:r>
        <w:rPr>
          <w:rFonts w:ascii="Arial" w:cs="Arial" w:eastAsia="Arial" w:hAnsi="Arial"/>
          <w:sz w:val="24"/>
          <w:szCs w:val="24"/>
          <w:rtl/>
        </w:rPr>
        <w:t xml:space="preserve">إخطار المساهمين باقتراب موعد الصرف.</w:t>
      </w:r>
    </w:p>
    <w:p>
      <w:pPr>
        <w:pStyle w:val="Heading3"/>
        <w:bidi/>
        <w:spacing w:after="120" w:before="200"/>
        <w:jc w:val="right"/>
      </w:pPr>
      <w:r>
        <w:rPr>
          <w:rFonts w:ascii="Arial" w:cs="Arial" w:eastAsia="Arial" w:hAnsi="Arial"/>
          <w:b/>
          <w:bCs/>
          <w:color w:val="1F4E79"/>
          <w:sz w:val="26"/>
          <w:szCs w:val="26"/>
          <w:rtl/>
        </w:rPr>
        <w:t xml:space="preserve">في تاريخ الصرف وبعده</w:t>
      </w:r>
    </w:p>
    <w:p>
      <w:pPr>
        <w:pStyle w:val="ListParagraph"/>
        <w:numPr>
          <w:ilvl w:val="0"/>
          <w:numId w:val="2"/>
        </w:numPr>
        <w:bidi/>
        <w:spacing w:after="100" w:line="300"/>
        <w:jc w:val="right"/>
      </w:pPr>
      <w:r>
        <w:rPr>
          <w:rFonts w:ascii="Arial" w:cs="Arial" w:eastAsia="Arial" w:hAnsi="Arial"/>
          <w:sz w:val="24"/>
          <w:szCs w:val="24"/>
          <w:rtl/>
        </w:rPr>
        <w:t xml:space="preserve">تنفيذ التحويلات وفق الجدول.</w:t>
      </w:r>
    </w:p>
    <w:p>
      <w:pPr>
        <w:pStyle w:val="ListParagraph"/>
        <w:numPr>
          <w:ilvl w:val="0"/>
          <w:numId w:val="2"/>
        </w:numPr>
        <w:bidi/>
        <w:spacing w:after="100" w:line="300"/>
        <w:jc w:val="right"/>
      </w:pPr>
      <w:r>
        <w:rPr>
          <w:rFonts w:ascii="Arial" w:cs="Arial" w:eastAsia="Arial" w:hAnsi="Arial"/>
          <w:sz w:val="24"/>
          <w:szCs w:val="24"/>
          <w:rtl/>
        </w:rPr>
        <w:t xml:space="preserve">مراقبة معدل النجاح.</w:t>
      </w:r>
    </w:p>
    <w:p>
      <w:pPr>
        <w:pStyle w:val="ListParagraph"/>
        <w:numPr>
          <w:ilvl w:val="0"/>
          <w:numId w:val="2"/>
        </w:numPr>
        <w:bidi/>
        <w:spacing w:after="100" w:line="300"/>
        <w:jc w:val="right"/>
      </w:pPr>
      <w:r>
        <w:rPr>
          <w:rFonts w:ascii="Arial" w:cs="Arial" w:eastAsia="Arial" w:hAnsi="Arial"/>
          <w:sz w:val="24"/>
          <w:szCs w:val="24"/>
          <w:rtl/>
        </w:rPr>
        <w:t xml:space="preserve">معالجة التحويلات الفاشلة فوراً.</w:t>
      </w:r>
    </w:p>
    <w:p>
      <w:pPr>
        <w:pStyle w:val="ListParagraph"/>
        <w:numPr>
          <w:ilvl w:val="0"/>
          <w:numId w:val="2"/>
        </w:numPr>
        <w:bidi/>
        <w:spacing w:after="100" w:line="300"/>
        <w:jc w:val="right"/>
      </w:pPr>
      <w:r>
        <w:rPr>
          <w:rFonts w:ascii="Arial" w:cs="Arial" w:eastAsia="Arial" w:hAnsi="Arial"/>
          <w:sz w:val="24"/>
          <w:szCs w:val="24"/>
          <w:rtl/>
        </w:rPr>
        <w:t xml:space="preserve">الرد على استفسارات المساهمين.</w:t>
      </w:r>
    </w:p>
    <w:p>
      <w:pPr>
        <w:pStyle w:val="ListParagraph"/>
        <w:numPr>
          <w:ilvl w:val="0"/>
          <w:numId w:val="2"/>
        </w:numPr>
        <w:bidi/>
        <w:spacing w:after="100" w:line="300"/>
        <w:jc w:val="right"/>
      </w:pPr>
      <w:r>
        <w:rPr>
          <w:rFonts w:ascii="Arial" w:cs="Arial" w:eastAsia="Arial" w:hAnsi="Arial"/>
          <w:sz w:val="24"/>
          <w:szCs w:val="24"/>
          <w:rtl/>
        </w:rPr>
        <w:t xml:space="preserve">إعداد التقرير النهائي للتوزيع.</w:t>
      </w:r>
    </w:p>
    <w:p>
      <w:pPr>
        <w:pStyle w:val="ListParagraph"/>
        <w:numPr>
          <w:ilvl w:val="0"/>
          <w:numId w:val="2"/>
        </w:numPr>
        <w:bidi/>
        <w:spacing w:after="100" w:line="300"/>
        <w:jc w:val="right"/>
      </w:pPr>
      <w:r>
        <w:rPr>
          <w:rFonts w:ascii="Arial" w:cs="Arial" w:eastAsia="Arial" w:hAnsi="Arial"/>
          <w:sz w:val="24"/>
          <w:szCs w:val="24"/>
          <w:rtl/>
        </w:rPr>
        <w:t xml:space="preserve">التوثيق الكامل والأرشفة.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توزيعات الأرباح هي اللحظة الذهبية للمساهم في علاقته بالشركة، وأي تقصير فيها يؤثر مباشرةً على ثقته. ومن منظور إدارة سجل المساهمين، تُعدّ هذه العملية من أكثر العمليات تطلباً للدقة والكفاءة، لأنها ترتكز كلياً على السجل وتعتمد على بياناته في كل خطوة.</w:t>
      </w:r>
    </w:p>
    <w:p>
      <w:pPr>
        <w:bidi/>
        <w:spacing w:after="140" w:line="320"/>
        <w:jc w:val="both"/>
      </w:pPr>
      <w:r>
        <w:rPr>
          <w:rFonts w:ascii="Arial" w:cs="Arial" w:eastAsia="Arial" w:hAnsi="Arial"/>
          <w:sz w:val="24"/>
          <w:szCs w:val="24"/>
          <w:rtl/>
        </w:rPr>
        <w:t xml:space="preserve">التوزيع الناجح يبدأ بسجل دقيق ومحدّث، ويمر بتخطيط دقيق، حسابات صحيحة، تواصل فعّال مع المساهمين، وتنفيذ سلس للصرف. الشركات الرائدة تستثمر في تطوير أنظمتها وإجراءاتها لتحقيق توزيع بمعايير عالمية، يعزز ثقة المساهمين ويُحدث الفارق التنافسي في السوق.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لا توزيع إلا من أرباح فعلية محققة، بعد تجنيب الاحتياطي القانوني (10% من صافي الربح). 2) للتوزيعات المرحلية شروط: نص النظام الأساس + أرباح كافية + قوائم مالية مراجعة. 3) المستحق هو المسجل في السجل في نهاية يوم تاريخ الأحقية. 4) يجب صرف الأرباح خلال 15 يوماً من تاريخ الاستحقاق وفق اللائحة التنفيذية. 5) في الشركات المدرجة، يدير مركز إيداع التوزيع بالكامل. 6) الأسهم المرهونة والمحجوزة والورثة تستوجب معالجات خاصة. 7) الأرباح غير المصروفة تستوجب توثيقاً دقيقاً ومحاولات متعددة للصرف.</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الأحكام المتعلقة بتوزيعات الأرباح.</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معايير المحاسبة الدولية ذات العلاقة (IAS، IFRS).</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 - خدمات التوزيع.</w:t>
      </w:r>
    </w:p>
    <w:p>
      <w:pPr>
        <w:pStyle w:val="ListParagraph"/>
        <w:numPr>
          <w:ilvl w:val="0"/>
          <w:numId w:val="2"/>
        </w:numPr>
        <w:bidi/>
        <w:spacing w:after="100" w:line="300"/>
        <w:jc w:val="right"/>
      </w:pPr>
      <w:r>
        <w:rPr>
          <w:rFonts w:ascii="Arial" w:cs="Arial" w:eastAsia="Arial" w:hAnsi="Arial"/>
          <w:sz w:val="24"/>
          <w:szCs w:val="24"/>
          <w:rtl/>
        </w:rPr>
        <w:t xml:space="preserve">منصة "تداول" - تقويم توزيعات الأرباح.</w:t>
      </w:r>
    </w:p>
    <w:p>
      <w:pPr>
        <w:pStyle w:val="ListParagraph"/>
        <w:numPr>
          <w:ilvl w:val="0"/>
          <w:numId w:val="2"/>
        </w:numPr>
        <w:bidi/>
        <w:spacing w:after="100" w:line="300"/>
        <w:jc w:val="right"/>
      </w:pPr>
      <w:r>
        <w:rPr>
          <w:rFonts w:ascii="Arial" w:cs="Arial" w:eastAsia="Arial" w:hAnsi="Arial"/>
          <w:sz w:val="24"/>
          <w:szCs w:val="24"/>
          <w:rtl/>
        </w:rPr>
        <w:t xml:space="preserve">نماذج سياسات توزيع الأرباح للشركات المدرجة (للاطلاع).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توزيعات الأرباح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توزيعات الأرباح وعلاقتها بالسجل</dc:title>
  <dc:creator>Corporate Governance Knowledge Base</dc:creator>
  <cp:lastModifiedBy>Un-named</cp:lastModifiedBy>
  <cp:revision>1</cp:revision>
  <dcterms:created xsi:type="dcterms:W3CDTF">2026-05-16T00:01:31.395Z</dcterms:created>
  <dcterms:modified xsi:type="dcterms:W3CDTF">2026-05-16T00:01:31.395Z</dcterms:modified>
</cp:coreProperties>
</file>

<file path=docProps/custom.xml><?xml version="1.0" encoding="utf-8"?>
<Properties xmlns="http://schemas.openxmlformats.org/officeDocument/2006/custom-properties" xmlns:vt="http://schemas.openxmlformats.org/officeDocument/2006/docPropsVTypes"/>
</file>