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00" w:before="200"/>
        <w:jc w:val="center"/>
      </w:pPr>
      <w:r>
        <w:rPr>
          <w:rFonts w:ascii="Arial" w:cs="Arial" w:eastAsia="Arial" w:hAnsi="Arial"/>
          <w:b/>
          <w:bCs/>
          <w:color w:val="1F4E79"/>
          <w:sz w:val="44"/>
          <w:szCs w:val="44"/>
          <w:rtl/>
        </w:rPr>
        <w:t xml:space="preserve">حقوق المساهمين الأقلية وحمايتهم</w:t>
      </w:r>
    </w:p>
    <w:p>
      <w:pPr>
        <w:bidi/>
        <w:spacing w:after="400"/>
        <w:jc w:val="center"/>
      </w:pPr>
      <w:r>
        <w:rPr>
          <w:rFonts w:ascii="Arial" w:cs="Arial" w:eastAsia="Arial" w:hAnsi="Arial"/>
          <w:i/>
          <w:iCs/>
          <w:color w:val="2E75B6"/>
          <w:sz w:val="26"/>
          <w:szCs w:val="26"/>
          <w:rtl/>
        </w:rPr>
        <w:t xml:space="preserve">الإطار القانوني، الضمانات، وأفضل الممارسات الدولية</w:t>
      </w:r>
    </w:p>
    <w:p>
      <w:pPr>
        <w:pBdr>
          <w:bottom w:val="single" w:color="1F4E79" w:sz="12" w:space="4"/>
        </w:pBdr>
        <w:spacing w:after="300"/>
      </w:pPr>
    </w:p>
    <w:p>
      <w:pPr>
        <w:pStyle w:val="Heading1"/>
        <w:bidi/>
        <w:spacing w:after="200" w:before="360"/>
        <w:jc w:val="right"/>
      </w:pPr>
      <w:r>
        <w:rPr>
          <w:rFonts w:ascii="Arial" w:cs="Arial" w:eastAsia="Arial" w:hAnsi="Arial"/>
          <w:b/>
          <w:bCs/>
          <w:color w:val="1F4E79"/>
          <w:sz w:val="36"/>
          <w:szCs w:val="36"/>
          <w:rtl/>
        </w:rPr>
        <w:t xml:space="preserve">مقدمة</w:t>
      </w:r>
    </w:p>
    <w:p>
      <w:pPr>
        <w:bidi/>
        <w:spacing w:after="140" w:line="320"/>
        <w:jc w:val="both"/>
      </w:pPr>
      <w:r>
        <w:rPr>
          <w:rFonts w:ascii="Arial" w:cs="Arial" w:eastAsia="Arial" w:hAnsi="Arial"/>
          <w:sz w:val="24"/>
          <w:szCs w:val="24"/>
          <w:rtl/>
        </w:rPr>
        <w:t xml:space="preserve">تُعدّ حماية حقوق المساهمين الأقلية من أبرز معايير الحوكمة الرشيدة في الشركات المساهمة، وأحد المؤشرات الرئيسية التي تقيس بها المؤسسات الدولية تنافسية الأسواق المالية وجاذبيتها للاستثمار. فالشركات التي تطبق مبادئ صارمة لحماية الأقلية تستقطب رؤوس الأموال بأسعار أفضل، وتبني ثقة طويلة الأمد مع المستثمرين.</w:t>
      </w:r>
    </w:p>
    <w:p>
      <w:pPr>
        <w:bidi/>
        <w:spacing w:after="140" w:line="320"/>
        <w:jc w:val="both"/>
      </w:pPr>
      <w:r>
        <w:rPr>
          <w:rFonts w:ascii="Arial" w:cs="Arial" w:eastAsia="Arial" w:hAnsi="Arial"/>
          <w:sz w:val="24"/>
          <w:szCs w:val="24"/>
          <w:rtl/>
        </w:rPr>
        <w:t xml:space="preserve">في طبيعة الشركات المساهمة، يحوز عدد محدود من المساهمين النسبة الأكبر من الأسهم وحقوق التصويت، مما يمنحهم القدرة على التأثير في القرارات الاستراتيجية. وعلى الجانب الآخر، يمتلك المساهمون الأقلية - الذين قد يصلون إلى آلاف الأشخاص - حصصاً أصغر تفقدهم القدرة على التأثير المباشر، مما يجعلهم في وضع تفاوضي ضعيف ومعرضين لخطر تجاوزات الأغلبية أو الإدارة.</w:t>
      </w:r>
    </w:p>
    <w:p>
      <w:pPr>
        <w:bidi/>
        <w:spacing w:after="140" w:line="320"/>
        <w:jc w:val="both"/>
      </w:pPr>
      <w:r>
        <w:rPr>
          <w:rFonts w:ascii="Arial" w:cs="Arial" w:eastAsia="Arial" w:hAnsi="Arial"/>
          <w:sz w:val="24"/>
          <w:szCs w:val="24"/>
          <w:rtl/>
        </w:rPr>
        <w:t xml:space="preserve">لذلك، طوّرت التشريعات الحديثة - ومنها التشريعات السعودية - منظومة متكاملة من الضمانات والحقوق التي تحمي مصالح المساهمين الأقلية، وتمكنهم من المشاركة الفعّالة في حوكمة الشركة. في هذا المقال، نستعرض هذه المنظومة بشكل تفصيلي، مع التركيز على دور سجل المساهمين في تفعيل هذه الحماية.</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أولاً: من هو المساهم الأقلية؟</w:t>
      </w:r>
    </w:p>
    <w:p>
      <w:pPr>
        <w:bidi/>
        <w:spacing w:after="140" w:line="320"/>
        <w:jc w:val="both"/>
      </w:pPr>
      <w:r>
        <w:rPr>
          <w:rFonts w:ascii="Arial" w:cs="Arial" w:eastAsia="Arial" w:hAnsi="Arial"/>
          <w:sz w:val="24"/>
          <w:szCs w:val="24"/>
          <w:rtl/>
        </w:rPr>
        <w:t xml:space="preserve">لا يوجد تعريف نظامي محدد للمساهم الأقلية، لكن يمكن تعريفه عمومياً بأنه المساهم الذي لا يملك من الأسهم ما يمكّنه من السيطرة على قرارات الشركة، سواء انفرادياً أو بالتحالف مع آخرين. ويُقاس ذلك بنسبة حقوق التصويت التي يحوزها، ومدى قدرته على التأثير في تكوين مجلس الإدارة أو في القرارات المهمة.</w:t>
      </w:r>
    </w:p>
    <w:p>
      <w:pPr>
        <w:pStyle w:val="Heading2"/>
        <w:bidi/>
        <w:spacing w:after="160" w:before="280"/>
        <w:jc w:val="right"/>
      </w:pPr>
      <w:r>
        <w:rPr>
          <w:rFonts w:ascii="Arial" w:cs="Arial" w:eastAsia="Arial" w:hAnsi="Arial"/>
          <w:b/>
          <w:bCs/>
          <w:color w:val="2E75B6"/>
          <w:sz w:val="30"/>
          <w:szCs w:val="30"/>
          <w:rtl/>
        </w:rPr>
        <w:t xml:space="preserve">الفئات الرئيسية للمساهمين الأقلية</w:t>
      </w:r>
    </w:p>
    <w:p>
      <w:pPr>
        <w:pStyle w:val="Heading3"/>
        <w:bidi/>
        <w:spacing w:after="120" w:before="200"/>
        <w:jc w:val="right"/>
      </w:pPr>
      <w:r>
        <w:rPr>
          <w:rFonts w:ascii="Arial" w:cs="Arial" w:eastAsia="Arial" w:hAnsi="Arial"/>
          <w:b/>
          <w:bCs/>
          <w:color w:val="1F4E79"/>
          <w:sz w:val="26"/>
          <w:szCs w:val="26"/>
          <w:rtl/>
        </w:rPr>
        <w:t xml:space="preserve">1. المساهمون الأفراد (الصغار)</w:t>
      </w:r>
    </w:p>
    <w:p>
      <w:pPr>
        <w:bidi/>
        <w:spacing w:after="140" w:line="320"/>
        <w:jc w:val="both"/>
      </w:pPr>
      <w:r>
        <w:rPr>
          <w:rFonts w:ascii="Arial" w:cs="Arial" w:eastAsia="Arial" w:hAnsi="Arial"/>
          <w:sz w:val="24"/>
          <w:szCs w:val="24"/>
          <w:rtl/>
        </w:rPr>
        <w:t xml:space="preserve">هم المساهمون من الأشخاص الطبيعيين الذين يستثمرون مبالغ صغيرة نسبياً، ويملكون نسبة ضئيلة جداً من رأس مال الشركة. عادةً ما يكونون الأكثر عرضةً للإضرار، ولا يملكون الوقت أو الموارد للمتابعة الفاعلة.</w:t>
      </w:r>
    </w:p>
    <w:p>
      <w:pPr>
        <w:pStyle w:val="Heading3"/>
        <w:bidi/>
        <w:spacing w:after="120" w:before="200"/>
        <w:jc w:val="right"/>
      </w:pPr>
      <w:r>
        <w:rPr>
          <w:rFonts w:ascii="Arial" w:cs="Arial" w:eastAsia="Arial" w:hAnsi="Arial"/>
          <w:b/>
          <w:bCs/>
          <w:color w:val="1F4E79"/>
          <w:sz w:val="26"/>
          <w:szCs w:val="26"/>
          <w:rtl/>
        </w:rPr>
        <w:t xml:space="preserve">2. المستثمرون المؤسسيون الصغار</w:t>
      </w:r>
    </w:p>
    <w:p>
      <w:pPr>
        <w:bidi/>
        <w:spacing w:after="140" w:line="320"/>
        <w:jc w:val="both"/>
      </w:pPr>
      <w:r>
        <w:rPr>
          <w:rFonts w:ascii="Arial" w:cs="Arial" w:eastAsia="Arial" w:hAnsi="Arial"/>
          <w:sz w:val="24"/>
          <w:szCs w:val="24"/>
          <w:rtl/>
        </w:rPr>
        <w:t xml:space="preserve">صناديق الاستثمار وشركات إدارة الأصول التي قد تملك حصصاً متوسطة، لكنها لا تصل إلى حد السيطرة. هؤلاء عادةً أكثر تنظيماً وقدرة على المتابعة.</w:t>
      </w:r>
    </w:p>
    <w:p>
      <w:pPr>
        <w:pStyle w:val="Heading3"/>
        <w:bidi/>
        <w:spacing w:after="120" w:before="200"/>
        <w:jc w:val="right"/>
      </w:pPr>
      <w:r>
        <w:rPr>
          <w:rFonts w:ascii="Arial" w:cs="Arial" w:eastAsia="Arial" w:hAnsi="Arial"/>
          <w:b/>
          <w:bCs/>
          <w:color w:val="1F4E79"/>
          <w:sz w:val="26"/>
          <w:szCs w:val="26"/>
          <w:rtl/>
        </w:rPr>
        <w:t xml:space="preserve">3. مساهمو الأقلية في الشركات العائلية</w:t>
      </w:r>
    </w:p>
    <w:p>
      <w:pPr>
        <w:bidi/>
        <w:spacing w:after="140" w:line="320"/>
        <w:jc w:val="both"/>
      </w:pPr>
      <w:r>
        <w:rPr>
          <w:rFonts w:ascii="Arial" w:cs="Arial" w:eastAsia="Arial" w:hAnsi="Arial"/>
          <w:sz w:val="24"/>
          <w:szCs w:val="24"/>
          <w:rtl/>
        </w:rPr>
        <w:t xml:space="preserve">في الشركات ذات الطابع العائلي، قد يكون هناك أقلية من الورثة أو الشركاء الذين لا يملكون نسبة السيطرة، رغم أنهم قد يملكون حصصاً معتبرة.</w:t>
      </w:r>
    </w:p>
    <w:p>
      <w:pPr>
        <w:pStyle w:val="Heading3"/>
        <w:bidi/>
        <w:spacing w:after="120" w:before="200"/>
        <w:jc w:val="right"/>
      </w:pPr>
      <w:r>
        <w:rPr>
          <w:rFonts w:ascii="Arial" w:cs="Arial" w:eastAsia="Arial" w:hAnsi="Arial"/>
          <w:b/>
          <w:bCs/>
          <w:color w:val="1F4E79"/>
          <w:sz w:val="26"/>
          <w:szCs w:val="26"/>
          <w:rtl/>
        </w:rPr>
        <w:t xml:space="preserve">4. المستثمرون الأجانب</w:t>
      </w:r>
    </w:p>
    <w:p>
      <w:pPr>
        <w:bidi/>
        <w:spacing w:after="140" w:line="320"/>
        <w:jc w:val="both"/>
      </w:pPr>
      <w:r>
        <w:rPr>
          <w:rFonts w:ascii="Arial" w:cs="Arial" w:eastAsia="Arial" w:hAnsi="Arial"/>
          <w:sz w:val="24"/>
          <w:szCs w:val="24"/>
          <w:rtl/>
        </w:rPr>
        <w:t xml:space="preserve">في بعض الحالات، يكون المستثمرون الأجانب أقلية من الناحية العملية بسبب الفروق الثقافية أو القانونية، حتى وإن كانت حصصهم كبيرة نسبياً.</w:t>
      </w:r>
    </w:p>
    <w:p>
      <w:pPr>
        <w:pStyle w:val="Heading2"/>
        <w:bidi/>
        <w:spacing w:after="160" w:before="280"/>
        <w:jc w:val="right"/>
      </w:pPr>
      <w:r>
        <w:rPr>
          <w:rFonts w:ascii="Arial" w:cs="Arial" w:eastAsia="Arial" w:hAnsi="Arial"/>
          <w:b/>
          <w:bCs/>
          <w:color w:val="2E75B6"/>
          <w:sz w:val="30"/>
          <w:szCs w:val="30"/>
          <w:rtl/>
        </w:rPr>
        <w:t xml:space="preserve">معايير قياس "الأقلية"</w:t>
      </w:r>
    </w:p>
    <w:p>
      <w:pPr>
        <w:bidi/>
        <w:spacing w:after="140" w:line="320"/>
        <w:jc w:val="both"/>
      </w:pPr>
      <w:r>
        <w:rPr>
          <w:rFonts w:ascii="Arial" w:cs="Arial" w:eastAsia="Arial" w:hAnsi="Arial"/>
          <w:sz w:val="24"/>
          <w:szCs w:val="24"/>
          <w:rtl/>
        </w:rPr>
        <w:t xml:space="preserve">يمكن النظر إلى مفهوم الأقلية من زوايا متعددة:</w:t>
      </w:r>
    </w:p>
    <w:p>
      <w:pPr>
        <w:pStyle w:val="ListParagraph"/>
        <w:numPr>
          <w:ilvl w:val="0"/>
          <w:numId w:val="2"/>
        </w:numPr>
        <w:bidi/>
        <w:spacing w:after="100" w:line="300"/>
        <w:jc w:val="right"/>
      </w:pPr>
      <w:r>
        <w:rPr>
          <w:rFonts w:ascii="Arial" w:cs="Arial" w:eastAsia="Arial" w:hAnsi="Arial"/>
          <w:sz w:val="24"/>
          <w:szCs w:val="24"/>
          <w:rtl/>
        </w:rPr>
        <w:t xml:space="preserve">الزاوية الكمية: المساهم الذي يملك أقل من 50% من الأسهم ذات حق التصويت.</w:t>
      </w:r>
    </w:p>
    <w:p>
      <w:pPr>
        <w:pStyle w:val="ListParagraph"/>
        <w:numPr>
          <w:ilvl w:val="0"/>
          <w:numId w:val="2"/>
        </w:numPr>
        <w:bidi/>
        <w:spacing w:after="100" w:line="300"/>
        <w:jc w:val="right"/>
      </w:pPr>
      <w:r>
        <w:rPr>
          <w:rFonts w:ascii="Arial" w:cs="Arial" w:eastAsia="Arial" w:hAnsi="Arial"/>
          <w:sz w:val="24"/>
          <w:szCs w:val="24"/>
          <w:rtl/>
        </w:rPr>
        <w:t xml:space="preserve">الزاوية النوعية: المساهم الذي لا يستطيع التأثير في القرارات حتى لو تحالف مع المساهمين الآخرين من نفس الفئة.</w:t>
      </w:r>
    </w:p>
    <w:p>
      <w:pPr>
        <w:pStyle w:val="ListParagraph"/>
        <w:numPr>
          <w:ilvl w:val="0"/>
          <w:numId w:val="2"/>
        </w:numPr>
        <w:bidi/>
        <w:spacing w:after="100" w:line="300"/>
        <w:jc w:val="right"/>
      </w:pPr>
      <w:r>
        <w:rPr>
          <w:rFonts w:ascii="Arial" w:cs="Arial" w:eastAsia="Arial" w:hAnsi="Arial"/>
          <w:sz w:val="24"/>
          <w:szCs w:val="24"/>
          <w:rtl/>
        </w:rPr>
        <w:t xml:space="preserve">الزاوية النظامية: المساهم الذي يملك أقل من النسب التي تخوّله ممارسة حقوق محددة بمفرده (5%، 10%، ... إلخ).</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ثانياً: المخاطر التي يتعرض لها المساهمون الأقلية</w:t>
      </w:r>
    </w:p>
    <w:p>
      <w:pPr>
        <w:bidi/>
        <w:spacing w:after="140" w:line="320"/>
        <w:jc w:val="both"/>
      </w:pPr>
      <w:r>
        <w:rPr>
          <w:rFonts w:ascii="Arial" w:cs="Arial" w:eastAsia="Arial" w:hAnsi="Arial"/>
          <w:sz w:val="24"/>
          <w:szCs w:val="24"/>
          <w:rtl/>
        </w:rPr>
        <w:t xml:space="preserve">قبل استعراض الحماية، من المفيد فهم المخاطر التي تستوجب هذه الحماية، لأن فهم المخاطر يُسهّل تقدير قيمة الضمانات:</w:t>
      </w:r>
    </w:p>
    <w:p>
      <w:pPr>
        <w:pStyle w:val="Heading2"/>
        <w:bidi/>
        <w:spacing w:after="160" w:before="280"/>
        <w:jc w:val="right"/>
      </w:pPr>
      <w:r>
        <w:rPr>
          <w:rFonts w:ascii="Arial" w:cs="Arial" w:eastAsia="Arial" w:hAnsi="Arial"/>
          <w:b/>
          <w:bCs/>
          <w:color w:val="2E75B6"/>
          <w:sz w:val="30"/>
          <w:szCs w:val="30"/>
          <w:rtl/>
        </w:rPr>
        <w:t xml:space="preserve">1. تضارب المصالح</w:t>
      </w:r>
    </w:p>
    <w:p>
      <w:pPr>
        <w:bidi/>
        <w:spacing w:after="140" w:line="320"/>
        <w:jc w:val="both"/>
      </w:pPr>
      <w:r>
        <w:rPr>
          <w:rFonts w:ascii="Arial" w:cs="Arial" w:eastAsia="Arial" w:hAnsi="Arial"/>
          <w:sz w:val="24"/>
          <w:szCs w:val="24"/>
          <w:rtl/>
        </w:rPr>
        <w:t xml:space="preserve">قد تتخذ الأغلبية أو الإدارة قرارات تخدم مصالحها الخاصة على حساب مصالح الأقلية والشركة، مثل:</w:t>
      </w:r>
    </w:p>
    <w:p>
      <w:pPr>
        <w:pStyle w:val="ListParagraph"/>
        <w:numPr>
          <w:ilvl w:val="0"/>
          <w:numId w:val="2"/>
        </w:numPr>
        <w:bidi/>
        <w:spacing w:after="100" w:line="300"/>
        <w:jc w:val="right"/>
      </w:pPr>
      <w:r>
        <w:rPr>
          <w:rFonts w:ascii="Arial" w:cs="Arial" w:eastAsia="Arial" w:hAnsi="Arial"/>
          <w:sz w:val="24"/>
          <w:szCs w:val="24"/>
          <w:rtl/>
        </w:rPr>
        <w:t xml:space="preserve">تعاملات مع أطراف ذات علاقة بأسعار غير سوقية.</w:t>
      </w:r>
    </w:p>
    <w:p>
      <w:pPr>
        <w:pStyle w:val="ListParagraph"/>
        <w:numPr>
          <w:ilvl w:val="0"/>
          <w:numId w:val="2"/>
        </w:numPr>
        <w:bidi/>
        <w:spacing w:after="100" w:line="300"/>
        <w:jc w:val="right"/>
      </w:pPr>
      <w:r>
        <w:rPr>
          <w:rFonts w:ascii="Arial" w:cs="Arial" w:eastAsia="Arial" w:hAnsi="Arial"/>
          <w:sz w:val="24"/>
          <w:szCs w:val="24"/>
          <w:rtl/>
        </w:rPr>
        <w:t xml:space="preserve">منح عقود وامتيازات لشركات يملكها الأغلبية.</w:t>
      </w:r>
    </w:p>
    <w:p>
      <w:pPr>
        <w:pStyle w:val="ListParagraph"/>
        <w:numPr>
          <w:ilvl w:val="0"/>
          <w:numId w:val="2"/>
        </w:numPr>
        <w:bidi/>
        <w:spacing w:after="100" w:line="300"/>
        <w:jc w:val="right"/>
      </w:pPr>
      <w:r>
        <w:rPr>
          <w:rFonts w:ascii="Arial" w:cs="Arial" w:eastAsia="Arial" w:hAnsi="Arial"/>
          <w:sz w:val="24"/>
          <w:szCs w:val="24"/>
          <w:rtl/>
        </w:rPr>
        <w:t xml:space="preserve">مكافآت مفرطة للإدارة على حساب الأرباح الموزعة.</w:t>
      </w:r>
    </w:p>
    <w:p>
      <w:pPr>
        <w:pStyle w:val="ListParagraph"/>
        <w:numPr>
          <w:ilvl w:val="0"/>
          <w:numId w:val="2"/>
        </w:numPr>
        <w:bidi/>
        <w:spacing w:after="100" w:line="300"/>
        <w:jc w:val="right"/>
      </w:pPr>
      <w:r>
        <w:rPr>
          <w:rFonts w:ascii="Arial" w:cs="Arial" w:eastAsia="Arial" w:hAnsi="Arial"/>
          <w:sz w:val="24"/>
          <w:szCs w:val="24"/>
          <w:rtl/>
        </w:rPr>
        <w:t xml:space="preserve">استخدام أصول الشركة لأغراض شخصية.</w:t>
      </w:r>
    </w:p>
    <w:p>
      <w:pPr>
        <w:pStyle w:val="Heading2"/>
        <w:bidi/>
        <w:spacing w:after="160" w:before="280"/>
        <w:jc w:val="right"/>
      </w:pPr>
      <w:r>
        <w:rPr>
          <w:rFonts w:ascii="Arial" w:cs="Arial" w:eastAsia="Arial" w:hAnsi="Arial"/>
          <w:b/>
          <w:bCs/>
          <w:color w:val="2E75B6"/>
          <w:sz w:val="30"/>
          <w:szCs w:val="30"/>
          <w:rtl/>
        </w:rPr>
        <w:t xml:space="preserve">2. الحرمان من توزيعات الأرباح</w:t>
      </w:r>
    </w:p>
    <w:p>
      <w:pPr>
        <w:bidi/>
        <w:spacing w:after="140" w:line="320"/>
        <w:jc w:val="both"/>
      </w:pPr>
      <w:r>
        <w:rPr>
          <w:rFonts w:ascii="Arial" w:cs="Arial" w:eastAsia="Arial" w:hAnsi="Arial"/>
          <w:sz w:val="24"/>
          <w:szCs w:val="24"/>
          <w:rtl/>
        </w:rPr>
        <w:t xml:space="preserve">قد تتجنب الأغلبية توزيع الأرباح وتُعيد استثمارها بطرق تخدم مصالحها، مما يحرم الأقلية من العائد المتوقع من استثمارهم.</w:t>
      </w:r>
    </w:p>
    <w:p>
      <w:pPr>
        <w:pStyle w:val="Heading2"/>
        <w:bidi/>
        <w:spacing w:after="160" w:before="280"/>
        <w:jc w:val="right"/>
      </w:pPr>
      <w:r>
        <w:rPr>
          <w:rFonts w:ascii="Arial" w:cs="Arial" w:eastAsia="Arial" w:hAnsi="Arial"/>
          <w:b/>
          <w:bCs/>
          <w:color w:val="2E75B6"/>
          <w:sz w:val="30"/>
          <w:szCs w:val="30"/>
          <w:rtl/>
        </w:rPr>
        <w:t xml:space="preserve">3. التخفيف غير المبرر للحصص (Dilution)</w:t>
      </w:r>
    </w:p>
    <w:p>
      <w:pPr>
        <w:bidi/>
        <w:spacing w:after="140" w:line="320"/>
        <w:jc w:val="both"/>
      </w:pPr>
      <w:r>
        <w:rPr>
          <w:rFonts w:ascii="Arial" w:cs="Arial" w:eastAsia="Arial" w:hAnsi="Arial"/>
          <w:sz w:val="24"/>
          <w:szCs w:val="24"/>
          <w:rtl/>
        </w:rPr>
        <w:t xml:space="preserve">إصدار أسهم جديدة بأسعار منخفضة أو لأطراف معينة يُخفّض من نسبة ملكية الأقلية ومن قيمة أسهمهم.</w:t>
      </w:r>
    </w:p>
    <w:p>
      <w:pPr>
        <w:pStyle w:val="Heading2"/>
        <w:bidi/>
        <w:spacing w:after="160" w:before="280"/>
        <w:jc w:val="right"/>
      </w:pPr>
      <w:r>
        <w:rPr>
          <w:rFonts w:ascii="Arial" w:cs="Arial" w:eastAsia="Arial" w:hAnsi="Arial"/>
          <w:b/>
          <w:bCs/>
          <w:color w:val="2E75B6"/>
          <w:sz w:val="30"/>
          <w:szCs w:val="30"/>
          <w:rtl/>
        </w:rPr>
        <w:t xml:space="preserve">4. سوء استخدام المعلومات الداخلية</w:t>
      </w:r>
    </w:p>
    <w:p>
      <w:pPr>
        <w:bidi/>
        <w:spacing w:after="140" w:line="320"/>
        <w:jc w:val="both"/>
      </w:pPr>
      <w:r>
        <w:rPr>
          <w:rFonts w:ascii="Arial" w:cs="Arial" w:eastAsia="Arial" w:hAnsi="Arial"/>
          <w:sz w:val="24"/>
          <w:szCs w:val="24"/>
          <w:rtl/>
        </w:rPr>
        <w:t xml:space="preserve">استفادة الأغلبية أو الإدارة من معلومات غير متاحة للجمهور للتأثير على أسعار الأسهم، أو لتنفيذ صفقات لصالحهم.</w:t>
      </w:r>
    </w:p>
    <w:p>
      <w:pPr>
        <w:pStyle w:val="Heading2"/>
        <w:bidi/>
        <w:spacing w:after="160" w:before="280"/>
        <w:jc w:val="right"/>
      </w:pPr>
      <w:r>
        <w:rPr>
          <w:rFonts w:ascii="Arial" w:cs="Arial" w:eastAsia="Arial" w:hAnsi="Arial"/>
          <w:b/>
          <w:bCs/>
          <w:color w:val="2E75B6"/>
          <w:sz w:val="30"/>
          <w:szCs w:val="30"/>
          <w:rtl/>
        </w:rPr>
        <w:t xml:space="preserve">5. صفقات الاستحواذ غير العادلة</w:t>
      </w:r>
    </w:p>
    <w:p>
      <w:pPr>
        <w:bidi/>
        <w:spacing w:after="140" w:line="320"/>
        <w:jc w:val="both"/>
      </w:pPr>
      <w:r>
        <w:rPr>
          <w:rFonts w:ascii="Arial" w:cs="Arial" w:eastAsia="Arial" w:hAnsi="Arial"/>
          <w:sz w:val="24"/>
          <w:szCs w:val="24"/>
          <w:rtl/>
        </w:rPr>
        <w:t xml:space="preserve">في حالات الاستحواذ، قد تُجرى الصفقات بشروط غير عادلة للأقلية، أو بأسعار أقل من القيمة الحقيقية.</w:t>
      </w:r>
    </w:p>
    <w:p>
      <w:pPr>
        <w:pStyle w:val="Heading2"/>
        <w:bidi/>
        <w:spacing w:after="160" w:before="280"/>
        <w:jc w:val="right"/>
      </w:pPr>
      <w:r>
        <w:rPr>
          <w:rFonts w:ascii="Arial" w:cs="Arial" w:eastAsia="Arial" w:hAnsi="Arial"/>
          <w:b/>
          <w:bCs/>
          <w:color w:val="2E75B6"/>
          <w:sz w:val="30"/>
          <w:szCs w:val="30"/>
          <w:rtl/>
        </w:rPr>
        <w:t xml:space="preserve">6. عدم الشفافية</w:t>
      </w:r>
    </w:p>
    <w:p>
      <w:pPr>
        <w:bidi/>
        <w:spacing w:after="140" w:line="320"/>
        <w:jc w:val="both"/>
      </w:pPr>
      <w:r>
        <w:rPr>
          <w:rFonts w:ascii="Arial" w:cs="Arial" w:eastAsia="Arial" w:hAnsi="Arial"/>
          <w:sz w:val="24"/>
          <w:szCs w:val="24"/>
          <w:rtl/>
        </w:rPr>
        <w:t xml:space="preserve">حجب المعلومات الجوهرية عن الأقلية يحرمهم من القدرة على اتخاذ قرارات استثمارية مدروسة، أو ممارسة حقوقهم.</w:t>
      </w:r>
    </w:p>
    <w:p>
      <w:pPr>
        <w:pStyle w:val="Heading2"/>
        <w:bidi/>
        <w:spacing w:after="160" w:before="280"/>
        <w:jc w:val="right"/>
      </w:pPr>
      <w:r>
        <w:rPr>
          <w:rFonts w:ascii="Arial" w:cs="Arial" w:eastAsia="Arial" w:hAnsi="Arial"/>
          <w:b/>
          <w:bCs/>
          <w:color w:val="2E75B6"/>
          <w:sz w:val="30"/>
          <w:szCs w:val="30"/>
          <w:rtl/>
        </w:rPr>
        <w:t xml:space="preserve">7. التهميش في القرارات</w:t>
      </w:r>
    </w:p>
    <w:p>
      <w:pPr>
        <w:bidi/>
        <w:spacing w:after="140" w:line="320"/>
        <w:jc w:val="both"/>
      </w:pPr>
      <w:r>
        <w:rPr>
          <w:rFonts w:ascii="Arial" w:cs="Arial" w:eastAsia="Arial" w:hAnsi="Arial"/>
          <w:sz w:val="24"/>
          <w:szCs w:val="24"/>
          <w:rtl/>
        </w:rPr>
        <w:t xml:space="preserve">قد تُتخذ قرارات استراتيجية مهمة دون إشراك حقيقي للأقلية، أو بإجراءات شكلية لا تتيح لهم التأثير الفعلي.</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D9E2F3" w:val="clear"/>
            <w:tcMar>
              <w:top w:type="dxa" w:w="160"/>
              <w:left w:type="dxa" w:w="200"/>
              <w:bottom w:type="dxa" w:w="160"/>
              <w:right w:type="dxa" w:w="200"/>
            </w:tcMar>
          </w:tcPr>
          <w:p>
            <w:pPr>
              <w:bidi/>
              <w:spacing w:after="100"/>
              <w:jc w:val="right"/>
            </w:pPr>
            <w:r>
              <w:rPr>
                <w:rFonts w:ascii="Arial" w:cs="Arial" w:eastAsia="Arial" w:hAnsi="Arial"/>
                <w:b/>
                <w:bCs/>
                <w:color w:val="1F4E79"/>
                <w:sz w:val="26"/>
                <w:szCs w:val="26"/>
                <w:rtl/>
              </w:rPr>
              <w:t xml:space="preserve">🔍 ملاحظة محورية</w:t>
            </w:r>
          </w:p>
          <w:p>
            <w:pPr>
              <w:bidi/>
              <w:spacing w:line="300"/>
              <w:jc w:val="both"/>
            </w:pPr>
            <w:r>
              <w:rPr>
                <w:rFonts w:ascii="Arial" w:cs="Arial" w:eastAsia="Arial" w:hAnsi="Arial"/>
                <w:sz w:val="24"/>
                <w:szCs w:val="24"/>
                <w:rtl/>
              </w:rPr>
              <w:t xml:space="preserve">وفقاً لمؤشر حماية المستثمرين الأقلية الذي يصدره البنك الدولي، تُقاس قوة حماية المساهمين الأقلية بثلاثة أبعاد رئيسية: نطاق تضارب المصالح، قوة هيكل الإدارة، ونطاق حقوق المساهمين. وقد تقدمت المملكة العربية السعودية بشكل ملحوظ في هذا المؤشر خلال السنوات الأخيرة بفضل الإصلاحات التشريعية المتعاقبة.</w:t>
            </w:r>
          </w:p>
        </w:tc>
      </w:tr>
    </w:tbl>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ثالثاً: الإطار التشريعي لحماية الأقلية في المملكة العربية السعودية</w:t>
      </w:r>
    </w:p>
    <w:p>
      <w:pPr>
        <w:bidi/>
        <w:spacing w:after="140" w:line="320"/>
        <w:jc w:val="both"/>
      </w:pPr>
      <w:r>
        <w:rPr>
          <w:rFonts w:ascii="Arial" w:cs="Arial" w:eastAsia="Arial" w:hAnsi="Arial"/>
          <w:sz w:val="24"/>
          <w:szCs w:val="24"/>
          <w:rtl/>
        </w:rPr>
        <w:t xml:space="preserve">طوّرت المملكة العربية السعودية إطاراً تشريعياً متكاملاً لحماية المساهمين الأقلية، يتدرج من النظام العام إلى اللوائح التطبيقية، ويغطي جميع جوانب العلاقة بين الشركة ومساهميها.</w:t>
      </w:r>
    </w:p>
    <w:p>
      <w:pPr>
        <w:pStyle w:val="Heading2"/>
        <w:bidi/>
        <w:spacing w:after="160" w:before="280"/>
        <w:jc w:val="right"/>
      </w:pPr>
      <w:r>
        <w:rPr>
          <w:rFonts w:ascii="Arial" w:cs="Arial" w:eastAsia="Arial" w:hAnsi="Arial"/>
          <w:b/>
          <w:bCs/>
          <w:color w:val="2E75B6"/>
          <w:sz w:val="30"/>
          <w:szCs w:val="30"/>
          <w:rtl/>
        </w:rPr>
        <w:t xml:space="preserve">1. نظام الشركات ولائحته التنفيذية</w:t>
      </w:r>
    </w:p>
    <w:p>
      <w:pPr>
        <w:bidi/>
        <w:spacing w:after="140" w:line="320"/>
        <w:jc w:val="both"/>
      </w:pPr>
      <w:r>
        <w:rPr>
          <w:rFonts w:ascii="Arial" w:cs="Arial" w:eastAsia="Arial" w:hAnsi="Arial"/>
          <w:sz w:val="24"/>
          <w:szCs w:val="24"/>
          <w:rtl/>
        </w:rPr>
        <w:t xml:space="preserve">يحتوي نظام الشركات السعودي الصادر بالمرسوم الملكي رقم (م/132) ولائحته التنفيذية على عدة أحكام تحمي الأقلية، منها:</w:t>
      </w:r>
    </w:p>
    <w:p>
      <w:pPr>
        <w:pStyle w:val="ListParagraph"/>
        <w:numPr>
          <w:ilvl w:val="0"/>
          <w:numId w:val="2"/>
        </w:numPr>
        <w:bidi/>
        <w:spacing w:after="100" w:line="300"/>
        <w:jc w:val="right"/>
      </w:pPr>
      <w:r>
        <w:rPr>
          <w:rFonts w:ascii="Arial" w:cs="Arial" w:eastAsia="Arial" w:hAnsi="Arial"/>
          <w:sz w:val="24"/>
          <w:szCs w:val="24"/>
          <w:rtl/>
        </w:rPr>
        <w:t xml:space="preserve">حق الاطلاع على وثائق الشركة وقوائمها المالية.</w:t>
      </w:r>
    </w:p>
    <w:p>
      <w:pPr>
        <w:pStyle w:val="ListParagraph"/>
        <w:numPr>
          <w:ilvl w:val="0"/>
          <w:numId w:val="2"/>
        </w:numPr>
        <w:bidi/>
        <w:spacing w:after="100" w:line="300"/>
        <w:jc w:val="right"/>
      </w:pPr>
      <w:r>
        <w:rPr>
          <w:rFonts w:ascii="Arial" w:cs="Arial" w:eastAsia="Arial" w:hAnsi="Arial"/>
          <w:sz w:val="24"/>
          <w:szCs w:val="24"/>
          <w:rtl/>
        </w:rPr>
        <w:t xml:space="preserve">حق الترشح والتصويت لعضوية مجلس الإدارة بآلية التصويت التراكمي.</w:t>
      </w:r>
    </w:p>
    <w:p>
      <w:pPr>
        <w:pStyle w:val="ListParagraph"/>
        <w:numPr>
          <w:ilvl w:val="0"/>
          <w:numId w:val="2"/>
        </w:numPr>
        <w:bidi/>
        <w:spacing w:after="100" w:line="300"/>
        <w:jc w:val="right"/>
      </w:pPr>
      <w:r>
        <w:rPr>
          <w:rFonts w:ascii="Arial" w:cs="Arial" w:eastAsia="Arial" w:hAnsi="Arial"/>
          <w:sz w:val="24"/>
          <w:szCs w:val="24"/>
          <w:rtl/>
        </w:rPr>
        <w:t xml:space="preserve">الحق في حصة من الأرباح.</w:t>
      </w:r>
    </w:p>
    <w:p>
      <w:pPr>
        <w:pStyle w:val="ListParagraph"/>
        <w:numPr>
          <w:ilvl w:val="0"/>
          <w:numId w:val="2"/>
        </w:numPr>
        <w:bidi/>
        <w:spacing w:after="100" w:line="300"/>
        <w:jc w:val="right"/>
      </w:pPr>
      <w:r>
        <w:rPr>
          <w:rFonts w:ascii="Arial" w:cs="Arial" w:eastAsia="Arial" w:hAnsi="Arial"/>
          <w:sz w:val="24"/>
          <w:szCs w:val="24"/>
          <w:rtl/>
        </w:rPr>
        <w:t xml:space="preserve">الحق في الأولوية في الاكتتاب عند زيادة رأس المال.</w:t>
      </w:r>
    </w:p>
    <w:p>
      <w:pPr>
        <w:pStyle w:val="ListParagraph"/>
        <w:numPr>
          <w:ilvl w:val="0"/>
          <w:numId w:val="2"/>
        </w:numPr>
        <w:bidi/>
        <w:spacing w:after="100" w:line="300"/>
        <w:jc w:val="right"/>
      </w:pPr>
      <w:r>
        <w:rPr>
          <w:rFonts w:ascii="Arial" w:cs="Arial" w:eastAsia="Arial" w:hAnsi="Arial"/>
          <w:sz w:val="24"/>
          <w:szCs w:val="24"/>
          <w:rtl/>
        </w:rPr>
        <w:t xml:space="preserve">حق رفع دعوى البطلان على قرارات الجمعية المخالفة للنظام.</w:t>
      </w:r>
    </w:p>
    <w:p>
      <w:pPr>
        <w:pStyle w:val="ListParagraph"/>
        <w:numPr>
          <w:ilvl w:val="0"/>
          <w:numId w:val="2"/>
        </w:numPr>
        <w:bidi/>
        <w:spacing w:after="100" w:line="300"/>
        <w:jc w:val="right"/>
      </w:pPr>
      <w:r>
        <w:rPr>
          <w:rFonts w:ascii="Arial" w:cs="Arial" w:eastAsia="Arial" w:hAnsi="Arial"/>
          <w:sz w:val="24"/>
          <w:szCs w:val="24"/>
          <w:rtl/>
        </w:rPr>
        <w:t xml:space="preserve">حق رفع دعوى المسؤولية ضد أعضاء مجلس الإدارة.</w:t>
      </w:r>
    </w:p>
    <w:p>
      <w:pPr>
        <w:pStyle w:val="Heading2"/>
        <w:bidi/>
        <w:spacing w:after="160" w:before="280"/>
        <w:jc w:val="right"/>
      </w:pPr>
      <w:r>
        <w:rPr>
          <w:rFonts w:ascii="Arial" w:cs="Arial" w:eastAsia="Arial" w:hAnsi="Arial"/>
          <w:b/>
          <w:bCs/>
          <w:color w:val="2E75B6"/>
          <w:sz w:val="30"/>
          <w:szCs w:val="30"/>
          <w:rtl/>
        </w:rPr>
        <w:t xml:space="preserve">2. لائحة حوكمة الشركات</w:t>
      </w:r>
    </w:p>
    <w:p>
      <w:pPr>
        <w:bidi/>
        <w:spacing w:after="140" w:line="320"/>
        <w:jc w:val="both"/>
      </w:pPr>
      <w:r>
        <w:rPr>
          <w:rFonts w:ascii="Arial" w:cs="Arial" w:eastAsia="Arial" w:hAnsi="Arial"/>
          <w:sz w:val="24"/>
          <w:szCs w:val="24"/>
          <w:rtl/>
        </w:rPr>
        <w:t xml:space="preserve">تُعدّ لائحة حوكمة الشركات الصادرة عن هيئة السوق المالية المرجع الأساسي لحماية المساهمين في الشركات المدرجة. وتتضمن أحكاماً تفصيلية حول:</w:t>
      </w:r>
    </w:p>
    <w:p>
      <w:pPr>
        <w:pStyle w:val="ListParagraph"/>
        <w:numPr>
          <w:ilvl w:val="0"/>
          <w:numId w:val="2"/>
        </w:numPr>
        <w:bidi/>
        <w:spacing w:after="100" w:line="300"/>
        <w:jc w:val="right"/>
      </w:pPr>
      <w:r>
        <w:rPr>
          <w:rFonts w:ascii="Arial" w:cs="Arial" w:eastAsia="Arial" w:hAnsi="Arial"/>
          <w:sz w:val="24"/>
          <w:szCs w:val="24"/>
          <w:rtl/>
        </w:rPr>
        <w:t xml:space="preserve">التنظيم الداخلي لمجلس الإدارة واستقلاليته.</w:t>
      </w:r>
    </w:p>
    <w:p>
      <w:pPr>
        <w:pStyle w:val="ListParagraph"/>
        <w:numPr>
          <w:ilvl w:val="0"/>
          <w:numId w:val="2"/>
        </w:numPr>
        <w:bidi/>
        <w:spacing w:after="100" w:line="300"/>
        <w:jc w:val="right"/>
      </w:pPr>
      <w:r>
        <w:rPr>
          <w:rFonts w:ascii="Arial" w:cs="Arial" w:eastAsia="Arial" w:hAnsi="Arial"/>
          <w:sz w:val="24"/>
          <w:szCs w:val="24"/>
          <w:rtl/>
        </w:rPr>
        <w:t xml:space="preserve">المعاملات مع الأطراف ذات العلاقة.</w:t>
      </w:r>
    </w:p>
    <w:p>
      <w:pPr>
        <w:pStyle w:val="ListParagraph"/>
        <w:numPr>
          <w:ilvl w:val="0"/>
          <w:numId w:val="2"/>
        </w:numPr>
        <w:bidi/>
        <w:spacing w:after="100" w:line="300"/>
        <w:jc w:val="right"/>
      </w:pPr>
      <w:r>
        <w:rPr>
          <w:rFonts w:ascii="Arial" w:cs="Arial" w:eastAsia="Arial" w:hAnsi="Arial"/>
          <w:sz w:val="24"/>
          <w:szCs w:val="24"/>
          <w:rtl/>
        </w:rPr>
        <w:t xml:space="preserve">الإفصاح والشفافية.</w:t>
      </w:r>
    </w:p>
    <w:p>
      <w:pPr>
        <w:pStyle w:val="ListParagraph"/>
        <w:numPr>
          <w:ilvl w:val="0"/>
          <w:numId w:val="2"/>
        </w:numPr>
        <w:bidi/>
        <w:spacing w:after="100" w:line="300"/>
        <w:jc w:val="right"/>
      </w:pPr>
      <w:r>
        <w:rPr>
          <w:rFonts w:ascii="Arial" w:cs="Arial" w:eastAsia="Arial" w:hAnsi="Arial"/>
          <w:sz w:val="24"/>
          <w:szCs w:val="24"/>
          <w:rtl/>
        </w:rPr>
        <w:t xml:space="preserve">حقوق المساهمين في الجمعيات العمومية.</w:t>
      </w:r>
    </w:p>
    <w:p>
      <w:pPr>
        <w:pStyle w:val="ListParagraph"/>
        <w:numPr>
          <w:ilvl w:val="0"/>
          <w:numId w:val="2"/>
        </w:numPr>
        <w:bidi/>
        <w:spacing w:after="100" w:line="300"/>
        <w:jc w:val="right"/>
      </w:pPr>
      <w:r>
        <w:rPr>
          <w:rFonts w:ascii="Arial" w:cs="Arial" w:eastAsia="Arial" w:hAnsi="Arial"/>
          <w:sz w:val="24"/>
          <w:szCs w:val="24"/>
          <w:rtl/>
        </w:rPr>
        <w:t xml:space="preserve">معايير المراجعة الداخلية والخارجية.</w:t>
      </w:r>
    </w:p>
    <w:p>
      <w:pPr>
        <w:pStyle w:val="Heading2"/>
        <w:bidi/>
        <w:spacing w:after="160" w:before="280"/>
        <w:jc w:val="right"/>
      </w:pPr>
      <w:r>
        <w:rPr>
          <w:rFonts w:ascii="Arial" w:cs="Arial" w:eastAsia="Arial" w:hAnsi="Arial"/>
          <w:b/>
          <w:bCs/>
          <w:color w:val="2E75B6"/>
          <w:sz w:val="30"/>
          <w:szCs w:val="30"/>
          <w:rtl/>
        </w:rPr>
        <w:t xml:space="preserve">3. نظام السوق المالية ولوائحه</w:t>
      </w:r>
    </w:p>
    <w:p>
      <w:pPr>
        <w:bidi/>
        <w:spacing w:after="140" w:line="320"/>
        <w:jc w:val="both"/>
      </w:pPr>
      <w:r>
        <w:rPr>
          <w:rFonts w:ascii="Arial" w:cs="Arial" w:eastAsia="Arial" w:hAnsi="Arial"/>
          <w:sz w:val="24"/>
          <w:szCs w:val="24"/>
          <w:rtl/>
        </w:rPr>
        <w:t xml:space="preserve">ينظم نظام السوق المالية ولوائحه التنفيذية مجموعة واسعة من جوانب حماية المستثمرين، خاصةً:</w:t>
      </w:r>
    </w:p>
    <w:p>
      <w:pPr>
        <w:pStyle w:val="ListParagraph"/>
        <w:numPr>
          <w:ilvl w:val="0"/>
          <w:numId w:val="2"/>
        </w:numPr>
        <w:bidi/>
        <w:spacing w:after="100" w:line="300"/>
        <w:jc w:val="right"/>
      </w:pPr>
      <w:r>
        <w:rPr>
          <w:rFonts w:ascii="Arial" w:cs="Arial" w:eastAsia="Arial" w:hAnsi="Arial"/>
          <w:sz w:val="24"/>
          <w:szCs w:val="24"/>
          <w:rtl/>
        </w:rPr>
        <w:t xml:space="preserve">لوائح الإفصاح والشفافية.</w:t>
      </w:r>
    </w:p>
    <w:p>
      <w:pPr>
        <w:pStyle w:val="ListParagraph"/>
        <w:numPr>
          <w:ilvl w:val="0"/>
          <w:numId w:val="2"/>
        </w:numPr>
        <w:bidi/>
        <w:spacing w:after="100" w:line="300"/>
        <w:jc w:val="right"/>
      </w:pPr>
      <w:r>
        <w:rPr>
          <w:rFonts w:ascii="Arial" w:cs="Arial" w:eastAsia="Arial" w:hAnsi="Arial"/>
          <w:sz w:val="24"/>
          <w:szCs w:val="24"/>
          <w:rtl/>
        </w:rPr>
        <w:t xml:space="preserve">قواعد طرح الأوراق المالية والالتزامات المستمرة.</w:t>
      </w:r>
    </w:p>
    <w:p>
      <w:pPr>
        <w:pStyle w:val="ListParagraph"/>
        <w:numPr>
          <w:ilvl w:val="0"/>
          <w:numId w:val="2"/>
        </w:numPr>
        <w:bidi/>
        <w:spacing w:after="100" w:line="300"/>
        <w:jc w:val="right"/>
      </w:pPr>
      <w:r>
        <w:rPr>
          <w:rFonts w:ascii="Arial" w:cs="Arial" w:eastAsia="Arial" w:hAnsi="Arial"/>
          <w:sz w:val="24"/>
          <w:szCs w:val="24"/>
          <w:rtl/>
        </w:rPr>
        <w:t xml:space="preserve">قواعد الاستحواذ والاندماج.</w:t>
      </w:r>
    </w:p>
    <w:p>
      <w:pPr>
        <w:pStyle w:val="ListParagraph"/>
        <w:numPr>
          <w:ilvl w:val="0"/>
          <w:numId w:val="2"/>
        </w:numPr>
        <w:bidi/>
        <w:spacing w:after="100" w:line="300"/>
        <w:jc w:val="right"/>
      </w:pPr>
      <w:r>
        <w:rPr>
          <w:rFonts w:ascii="Arial" w:cs="Arial" w:eastAsia="Arial" w:hAnsi="Arial"/>
          <w:sz w:val="24"/>
          <w:szCs w:val="24"/>
          <w:rtl/>
        </w:rPr>
        <w:t xml:space="preserve">الإجراءات ضد التداول بناءً على المعلومات الداخلية.</w:t>
      </w:r>
    </w:p>
    <w:p>
      <w:pPr>
        <w:pStyle w:val="ListParagraph"/>
        <w:numPr>
          <w:ilvl w:val="0"/>
          <w:numId w:val="2"/>
        </w:numPr>
        <w:bidi/>
        <w:spacing w:after="100" w:line="300"/>
        <w:jc w:val="right"/>
      </w:pPr>
      <w:r>
        <w:rPr>
          <w:rFonts w:ascii="Arial" w:cs="Arial" w:eastAsia="Arial" w:hAnsi="Arial"/>
          <w:sz w:val="24"/>
          <w:szCs w:val="24"/>
          <w:rtl/>
        </w:rPr>
        <w:t xml:space="preserve">التعامل مع التلاعب في السوق.</w:t>
      </w:r>
    </w:p>
    <w:p>
      <w:pPr>
        <w:pStyle w:val="Heading2"/>
        <w:bidi/>
        <w:spacing w:after="160" w:before="280"/>
        <w:jc w:val="right"/>
      </w:pPr>
      <w:r>
        <w:rPr>
          <w:rFonts w:ascii="Arial" w:cs="Arial" w:eastAsia="Arial" w:hAnsi="Arial"/>
          <w:b/>
          <w:bCs/>
          <w:color w:val="2E75B6"/>
          <w:sz w:val="30"/>
          <w:szCs w:val="30"/>
          <w:rtl/>
        </w:rPr>
        <w:t xml:space="preserve">4. القرار الوزاري لحماية حقوق أقلية المساهمين</w:t>
      </w:r>
    </w:p>
    <w:p>
      <w:pPr>
        <w:bidi/>
        <w:spacing w:after="140" w:line="320"/>
        <w:jc w:val="both"/>
      </w:pPr>
      <w:r>
        <w:rPr>
          <w:rFonts w:ascii="Arial" w:cs="Arial" w:eastAsia="Arial" w:hAnsi="Arial"/>
          <w:sz w:val="24"/>
          <w:szCs w:val="24"/>
          <w:rtl/>
        </w:rPr>
        <w:t xml:space="preserve">أصدر وزير التجارة قراراً وزارياً يستهدف تعزيز حماية حقوق أقلية المساهمين بشكل خاص، ويتضمن:</w:t>
      </w:r>
    </w:p>
    <w:p>
      <w:pPr>
        <w:pStyle w:val="ListParagraph"/>
        <w:numPr>
          <w:ilvl w:val="0"/>
          <w:numId w:val="2"/>
        </w:numPr>
        <w:bidi/>
        <w:spacing w:after="100" w:line="300"/>
        <w:jc w:val="right"/>
      </w:pPr>
      <w:r>
        <w:rPr>
          <w:rFonts w:ascii="Arial" w:cs="Arial" w:eastAsia="Arial" w:hAnsi="Arial"/>
          <w:sz w:val="24"/>
          <w:szCs w:val="24"/>
          <w:rtl/>
        </w:rPr>
        <w:t xml:space="preserve">وجوب موافقة الجمعية العامة العادية على الأعمال والعقود التي تتم لحساب الشركة ويكون لأحد أعضاء مجلس الإدارة مصلحة فيها.</w:t>
      </w:r>
    </w:p>
    <w:p>
      <w:pPr>
        <w:pStyle w:val="ListParagraph"/>
        <w:numPr>
          <w:ilvl w:val="0"/>
          <w:numId w:val="2"/>
        </w:numPr>
        <w:bidi/>
        <w:spacing w:after="100" w:line="300"/>
        <w:jc w:val="right"/>
      </w:pPr>
      <w:r>
        <w:rPr>
          <w:rFonts w:ascii="Arial" w:cs="Arial" w:eastAsia="Arial" w:hAnsi="Arial"/>
          <w:sz w:val="24"/>
          <w:szCs w:val="24"/>
          <w:rtl/>
        </w:rPr>
        <w:t xml:space="preserve">ترتيب المسؤولية عن الأضرار التي تلحق بالشركة بسبب الأعمال غير العادلة أو التي تنطوي على تعارض مصالح.</w:t>
      </w:r>
    </w:p>
    <w:p>
      <w:pPr>
        <w:pStyle w:val="ListParagraph"/>
        <w:numPr>
          <w:ilvl w:val="0"/>
          <w:numId w:val="2"/>
        </w:numPr>
        <w:bidi/>
        <w:spacing w:after="100" w:line="300"/>
        <w:jc w:val="right"/>
      </w:pPr>
      <w:r>
        <w:rPr>
          <w:rFonts w:ascii="Arial" w:cs="Arial" w:eastAsia="Arial" w:hAnsi="Arial"/>
          <w:sz w:val="24"/>
          <w:szCs w:val="24"/>
          <w:rtl/>
        </w:rPr>
        <w:t xml:space="preserve">اشتراط عدم الجمع بين منصب رئيس مجلس الإدارة وأي منصب تنفيذي.</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رابعاً: الحقوق المرتبطة بنسب محددة من الملكية</w:t>
      </w:r>
    </w:p>
    <w:p>
      <w:pPr>
        <w:bidi/>
        <w:spacing w:after="140" w:line="320"/>
        <w:jc w:val="both"/>
      </w:pPr>
      <w:r>
        <w:rPr>
          <w:rFonts w:ascii="Arial" w:cs="Arial" w:eastAsia="Arial" w:hAnsi="Arial"/>
          <w:sz w:val="24"/>
          <w:szCs w:val="24"/>
          <w:rtl/>
        </w:rPr>
        <w:t xml:space="preserve">منح النظام السعودي حقوقاً محددة للمساهمين الأقلية مرتبطة بنسب معينة من رأس المال. وهذه النسب هي عتبات تخوّل صاحبها ممارسة حقوق أوسع. ومن أبرز هذه النسب:</w:t>
      </w:r>
    </w:p>
    <w:p>
      <w:pPr>
        <w:pStyle w:val="Heading2"/>
        <w:bidi/>
        <w:spacing w:after="160" w:before="280"/>
        <w:jc w:val="right"/>
      </w:pPr>
      <w:r>
        <w:rPr>
          <w:rFonts w:ascii="Arial" w:cs="Arial" w:eastAsia="Arial" w:hAnsi="Arial"/>
          <w:b/>
          <w:bCs/>
          <w:color w:val="2E75B6"/>
          <w:sz w:val="30"/>
          <w:szCs w:val="30"/>
          <w:rtl/>
        </w:rPr>
        <w:t xml:space="preserve">النسبة 5% فأكثر</w:t>
      </w:r>
    </w:p>
    <w:p>
      <w:pPr>
        <w:bidi/>
        <w:spacing w:after="140" w:line="320"/>
        <w:jc w:val="both"/>
      </w:pPr>
      <w:r>
        <w:rPr>
          <w:rFonts w:ascii="Arial" w:cs="Arial" w:eastAsia="Arial" w:hAnsi="Arial"/>
          <w:sz w:val="24"/>
          <w:szCs w:val="24"/>
          <w:rtl/>
        </w:rPr>
        <w:t xml:space="preserve">هذه النسبة هي العتبة الأهم لممارسة كثير من الحقوق:</w:t>
      </w:r>
    </w:p>
    <w:p>
      <w:pPr>
        <w:pStyle w:val="ListParagraph"/>
        <w:numPr>
          <w:ilvl w:val="0"/>
          <w:numId w:val="2"/>
        </w:numPr>
        <w:bidi/>
        <w:spacing w:after="100" w:line="300"/>
        <w:jc w:val="right"/>
      </w:pPr>
      <w:r>
        <w:rPr>
          <w:rFonts w:ascii="Arial" w:cs="Arial" w:eastAsia="Arial" w:hAnsi="Arial"/>
          <w:sz w:val="24"/>
          <w:szCs w:val="24"/>
          <w:rtl/>
        </w:rPr>
        <w:t xml:space="preserve">حق طلب تعيين مراجع حسابات إضافي.</w:t>
      </w:r>
    </w:p>
    <w:p>
      <w:pPr>
        <w:pStyle w:val="ListParagraph"/>
        <w:numPr>
          <w:ilvl w:val="0"/>
          <w:numId w:val="2"/>
        </w:numPr>
        <w:bidi/>
        <w:spacing w:after="100" w:line="300"/>
        <w:jc w:val="right"/>
      </w:pPr>
      <w:r>
        <w:rPr>
          <w:rFonts w:ascii="Arial" w:cs="Arial" w:eastAsia="Arial" w:hAnsi="Arial"/>
          <w:sz w:val="24"/>
          <w:szCs w:val="24"/>
          <w:rtl/>
        </w:rPr>
        <w:t xml:space="preserve">حق رفع دعوى مسؤولية على أعضاء مجلس الإدارة.</w:t>
      </w:r>
    </w:p>
    <w:p>
      <w:pPr>
        <w:pStyle w:val="ListParagraph"/>
        <w:numPr>
          <w:ilvl w:val="0"/>
          <w:numId w:val="2"/>
        </w:numPr>
        <w:bidi/>
        <w:spacing w:after="100" w:line="300"/>
        <w:jc w:val="right"/>
      </w:pPr>
      <w:r>
        <w:rPr>
          <w:rFonts w:ascii="Arial" w:cs="Arial" w:eastAsia="Arial" w:hAnsi="Arial"/>
          <w:sz w:val="24"/>
          <w:szCs w:val="24"/>
          <w:rtl/>
        </w:rPr>
        <w:t xml:space="preserve">حق طلب وقف قرارات الجمعية العامة المخالفة للنظام.</w:t>
      </w:r>
    </w:p>
    <w:p>
      <w:pPr>
        <w:pStyle w:val="ListParagraph"/>
        <w:numPr>
          <w:ilvl w:val="0"/>
          <w:numId w:val="2"/>
        </w:numPr>
        <w:bidi/>
        <w:spacing w:after="100" w:line="300"/>
        <w:jc w:val="right"/>
      </w:pPr>
      <w:r>
        <w:rPr>
          <w:rFonts w:ascii="Arial" w:cs="Arial" w:eastAsia="Arial" w:hAnsi="Arial"/>
          <w:sz w:val="24"/>
          <w:szCs w:val="24"/>
          <w:rtl/>
        </w:rPr>
        <w:t xml:space="preserve">حق طلب إدراج موضوعات في جدول أعمال الجمعية العامة.</w:t>
      </w:r>
    </w:p>
    <w:p>
      <w:pPr>
        <w:pStyle w:val="ListParagraph"/>
        <w:numPr>
          <w:ilvl w:val="0"/>
          <w:numId w:val="2"/>
        </w:numPr>
        <w:bidi/>
        <w:spacing w:after="100" w:line="300"/>
        <w:jc w:val="right"/>
      </w:pPr>
      <w:r>
        <w:rPr>
          <w:rFonts w:ascii="Arial" w:cs="Arial" w:eastAsia="Arial" w:hAnsi="Arial"/>
          <w:sz w:val="24"/>
          <w:szCs w:val="24"/>
          <w:rtl/>
        </w:rPr>
        <w:t xml:space="preserve">حق الاطلاع على بعض الوثائق الإضافية.</w:t>
      </w:r>
    </w:p>
    <w:p>
      <w:pPr>
        <w:pStyle w:val="ListParagraph"/>
        <w:numPr>
          <w:ilvl w:val="0"/>
          <w:numId w:val="2"/>
        </w:numPr>
        <w:bidi/>
        <w:spacing w:after="100" w:line="300"/>
        <w:jc w:val="right"/>
      </w:pPr>
      <w:r>
        <w:rPr>
          <w:rFonts w:ascii="Arial" w:cs="Arial" w:eastAsia="Arial" w:hAnsi="Arial"/>
          <w:sz w:val="24"/>
          <w:szCs w:val="24"/>
          <w:rtl/>
        </w:rPr>
        <w:t xml:space="preserve">وجوب الإفصاح عن نسبة الملكية للجهات التنظيمية.</w:t>
      </w:r>
    </w:p>
    <w:p>
      <w:pPr>
        <w:pStyle w:val="Heading2"/>
        <w:bidi/>
        <w:spacing w:after="160" w:before="280"/>
        <w:jc w:val="right"/>
      </w:pPr>
      <w:r>
        <w:rPr>
          <w:rFonts w:ascii="Arial" w:cs="Arial" w:eastAsia="Arial" w:hAnsi="Arial"/>
          <w:b/>
          <w:bCs/>
          <w:color w:val="2E75B6"/>
          <w:sz w:val="30"/>
          <w:szCs w:val="30"/>
          <w:rtl/>
        </w:rPr>
        <w:t xml:space="preserve">النسبة 10% فأكثر</w:t>
      </w:r>
    </w:p>
    <w:p>
      <w:pPr>
        <w:pStyle w:val="ListParagraph"/>
        <w:numPr>
          <w:ilvl w:val="0"/>
          <w:numId w:val="2"/>
        </w:numPr>
        <w:bidi/>
        <w:spacing w:after="100" w:line="300"/>
        <w:jc w:val="right"/>
      </w:pPr>
      <w:r>
        <w:rPr>
          <w:rFonts w:ascii="Arial" w:cs="Arial" w:eastAsia="Arial" w:hAnsi="Arial"/>
          <w:sz w:val="24"/>
          <w:szCs w:val="24"/>
          <w:rtl/>
        </w:rPr>
        <w:t xml:space="preserve">في الشركات الصغيرة، حق طلب تعيين مراجع حسابات.</w:t>
      </w:r>
    </w:p>
    <w:p>
      <w:pPr>
        <w:pStyle w:val="ListParagraph"/>
        <w:numPr>
          <w:ilvl w:val="0"/>
          <w:numId w:val="2"/>
        </w:numPr>
        <w:bidi/>
        <w:spacing w:after="100" w:line="300"/>
        <w:jc w:val="right"/>
      </w:pPr>
      <w:r>
        <w:rPr>
          <w:rFonts w:ascii="Arial" w:cs="Arial" w:eastAsia="Arial" w:hAnsi="Arial"/>
          <w:sz w:val="24"/>
          <w:szCs w:val="24"/>
          <w:rtl/>
        </w:rPr>
        <w:t xml:space="preserve">حقوق إضافية في طلب دعوة الجمعية العامة في حالات معينة.</w:t>
      </w:r>
    </w:p>
    <w:p>
      <w:pPr>
        <w:pStyle w:val="ListParagraph"/>
        <w:numPr>
          <w:ilvl w:val="0"/>
          <w:numId w:val="2"/>
        </w:numPr>
        <w:bidi/>
        <w:spacing w:after="100" w:line="300"/>
        <w:jc w:val="right"/>
      </w:pPr>
      <w:r>
        <w:rPr>
          <w:rFonts w:ascii="Arial" w:cs="Arial" w:eastAsia="Arial" w:hAnsi="Arial"/>
          <w:sz w:val="24"/>
          <w:szCs w:val="24"/>
          <w:rtl/>
        </w:rPr>
        <w:t xml:space="preserve">في بعض الحالات، حقوق إضافية في الترشح والتصويت.</w:t>
      </w:r>
    </w:p>
    <w:p>
      <w:pPr>
        <w:pStyle w:val="Heading2"/>
        <w:bidi/>
        <w:spacing w:after="160" w:before="280"/>
        <w:jc w:val="right"/>
      </w:pPr>
      <w:r>
        <w:rPr>
          <w:rFonts w:ascii="Arial" w:cs="Arial" w:eastAsia="Arial" w:hAnsi="Arial"/>
          <w:b/>
          <w:bCs/>
          <w:color w:val="2E75B6"/>
          <w:sz w:val="30"/>
          <w:szCs w:val="30"/>
          <w:rtl/>
        </w:rPr>
        <w:t xml:space="preserve">النسبة 20% فأكثر</w:t>
      </w:r>
    </w:p>
    <w:p>
      <w:pPr>
        <w:pStyle w:val="ListParagraph"/>
        <w:numPr>
          <w:ilvl w:val="0"/>
          <w:numId w:val="2"/>
        </w:numPr>
        <w:bidi/>
        <w:spacing w:after="100" w:line="300"/>
        <w:jc w:val="right"/>
      </w:pPr>
      <w:r>
        <w:rPr>
          <w:rFonts w:ascii="Arial" w:cs="Arial" w:eastAsia="Arial" w:hAnsi="Arial"/>
          <w:sz w:val="24"/>
          <w:szCs w:val="24"/>
          <w:rtl/>
        </w:rPr>
        <w:t xml:space="preserve">في بعض الحالات، يُمكّن المساهم من المشاركة الفاعلة في مجلس الإدارة.</w:t>
      </w:r>
    </w:p>
    <w:p>
      <w:pPr>
        <w:pStyle w:val="ListParagraph"/>
        <w:numPr>
          <w:ilvl w:val="0"/>
          <w:numId w:val="2"/>
        </w:numPr>
        <w:bidi/>
        <w:spacing w:after="100" w:line="300"/>
        <w:jc w:val="right"/>
      </w:pPr>
      <w:r>
        <w:rPr>
          <w:rFonts w:ascii="Arial" w:cs="Arial" w:eastAsia="Arial" w:hAnsi="Arial"/>
          <w:sz w:val="24"/>
          <w:szCs w:val="24"/>
          <w:rtl/>
        </w:rPr>
        <w:t xml:space="preserve">حقوق إضافية في التأثير على قرارات الجمعيات غير العادية.</w:t>
      </w:r>
    </w:p>
    <w:p>
      <w:pPr>
        <w:pStyle w:val="Heading2"/>
        <w:bidi/>
        <w:spacing w:after="160" w:before="280"/>
        <w:jc w:val="right"/>
      </w:pPr>
      <w:r>
        <w:rPr>
          <w:rFonts w:ascii="Arial" w:cs="Arial" w:eastAsia="Arial" w:hAnsi="Arial"/>
          <w:b/>
          <w:bCs/>
          <w:color w:val="2E75B6"/>
          <w:sz w:val="30"/>
          <w:szCs w:val="30"/>
          <w:rtl/>
        </w:rPr>
        <w:t xml:space="preserve">النسبة 25% فأكثر</w:t>
      </w:r>
    </w:p>
    <w:p>
      <w:pPr>
        <w:pStyle w:val="ListParagraph"/>
        <w:numPr>
          <w:ilvl w:val="0"/>
          <w:numId w:val="2"/>
        </w:numPr>
        <w:bidi/>
        <w:spacing w:after="100" w:line="300"/>
        <w:jc w:val="right"/>
      </w:pPr>
      <w:r>
        <w:rPr>
          <w:rFonts w:ascii="Arial" w:cs="Arial" w:eastAsia="Arial" w:hAnsi="Arial"/>
          <w:sz w:val="24"/>
          <w:szCs w:val="24"/>
          <w:rtl/>
        </w:rPr>
        <w:t xml:space="preserve">حق منع تمرير قرارات الجمعية العامة غير العادية (التي تتطلب موافقة 75%).</w:t>
      </w:r>
    </w:p>
    <w:p>
      <w:pPr>
        <w:pStyle w:val="ListParagraph"/>
        <w:numPr>
          <w:ilvl w:val="0"/>
          <w:numId w:val="2"/>
        </w:numPr>
        <w:bidi/>
        <w:spacing w:after="100" w:line="300"/>
        <w:jc w:val="right"/>
      </w:pPr>
      <w:r>
        <w:rPr>
          <w:rFonts w:ascii="Arial" w:cs="Arial" w:eastAsia="Arial" w:hAnsi="Arial"/>
          <w:sz w:val="24"/>
          <w:szCs w:val="24"/>
          <w:rtl/>
        </w:rPr>
        <w:t xml:space="preserve">القدرة على التأثير في تعديل النظام الأساس.</w:t>
      </w:r>
    </w:p>
    <w:p>
      <w:pPr>
        <w:pStyle w:val="ListParagraph"/>
        <w:numPr>
          <w:ilvl w:val="0"/>
          <w:numId w:val="2"/>
        </w:numPr>
        <w:bidi/>
        <w:spacing w:after="100" w:line="300"/>
        <w:jc w:val="right"/>
      </w:pPr>
      <w:r>
        <w:rPr>
          <w:rFonts w:ascii="Arial" w:cs="Arial" w:eastAsia="Arial" w:hAnsi="Arial"/>
          <w:sz w:val="24"/>
          <w:szCs w:val="24"/>
          <w:rtl/>
        </w:rPr>
        <w:t xml:space="preserve">التأثير في قرارات اندماج الشركة وتصفيتها.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tcPr>
          <w:p>
            <w:pPr>
              <w:bidi/>
              <w:jc w:val="center"/>
            </w:pPr>
            <w:r>
              <w:rPr>
                <w:rFonts w:ascii="Arial" w:cs="Arial" w:eastAsia="Arial" w:hAnsi="Arial"/>
                <w:b/>
                <w:bCs/>
                <w:color w:val="FFFFFF"/>
                <w:sz w:val="24"/>
                <w:szCs w:val="24"/>
                <w:rtl/>
              </w:rPr>
              <w:t xml:space="preserve">نسبة الملكية</w:t>
            </w:r>
          </w:p>
        </w:tc>
        <w:tc>
          <w:tcPr>
            <w:tcW w:type="dxa" w:w="6526"/>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tcPr>
          <w:p>
            <w:pPr>
              <w:bidi/>
              <w:jc w:val="center"/>
            </w:pPr>
            <w:r>
              <w:rPr>
                <w:rFonts w:ascii="Arial" w:cs="Arial" w:eastAsia="Arial" w:hAnsi="Arial"/>
                <w:b/>
                <w:bCs/>
                <w:color w:val="FFFFFF"/>
                <w:sz w:val="24"/>
                <w:szCs w:val="24"/>
                <w:rtl/>
              </w:rPr>
              <w:t xml:space="preserve">أبرز الحقوق المرتبطة</w:t>
            </w:r>
          </w:p>
        </w:tc>
      </w:tr>
      <w:tr>
        <w:tc>
          <w:tcPr>
            <w:tcW w:type="dxa" w:w="25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أقل من 5%</w:t>
            </w:r>
          </w:p>
        </w:tc>
        <w:tc>
          <w:tcPr>
            <w:tcW w:type="dxa" w:w="6526"/>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الحقوق الأساسية (التصويت، الأرباح، الأولوية، الاطلاع)</w:t>
            </w:r>
          </w:p>
        </w:tc>
      </w:tr>
      <w:tr>
        <w:tc>
          <w:tcPr>
            <w:tcW w:type="dxa" w:w="25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5% فأكثر</w:t>
            </w:r>
          </w:p>
        </w:tc>
        <w:tc>
          <w:tcPr>
            <w:tcW w:type="dxa" w:w="6526"/>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طلب مراجع حسابات إضافي، رفع دعوى مسؤولية، وقف قرارات مخالفة، إدراج بنود في الجمعية</w:t>
            </w:r>
          </w:p>
        </w:tc>
      </w:tr>
      <w:tr>
        <w:tc>
          <w:tcPr>
            <w:tcW w:type="dxa" w:w="25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10% فأكثر</w:t>
            </w:r>
          </w:p>
        </w:tc>
        <w:tc>
          <w:tcPr>
            <w:tcW w:type="dxa" w:w="6526"/>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حقوق إضافية في الشركات الصغيرة، طلب دعوة الجمعية</w:t>
            </w:r>
          </w:p>
        </w:tc>
      </w:tr>
      <w:tr>
        <w:tc>
          <w:tcPr>
            <w:tcW w:type="dxa" w:w="25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20% فأكثر</w:t>
            </w:r>
          </w:p>
        </w:tc>
        <w:tc>
          <w:tcPr>
            <w:tcW w:type="dxa" w:w="6526"/>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تأثير فعّال في مجلس الإدارة والقرارات الكبرى</w:t>
            </w:r>
          </w:p>
        </w:tc>
      </w:tr>
      <w:tr>
        <w:tc>
          <w:tcPr>
            <w:tcW w:type="dxa" w:w="25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25% فأكثر</w:t>
            </w:r>
          </w:p>
        </w:tc>
        <w:tc>
          <w:tcPr>
            <w:tcW w:type="dxa" w:w="6526"/>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منع قرارات الجمعية غير العادية (Veto)</w:t>
            </w:r>
          </w:p>
        </w:tc>
      </w:tr>
      <w:tr>
        <w:tc>
          <w:tcPr>
            <w:tcW w:type="dxa" w:w="25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50% + 1</w:t>
            </w:r>
          </w:p>
        </w:tc>
        <w:tc>
          <w:tcPr>
            <w:tcW w:type="dxa" w:w="6526"/>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السيطرة على الجمعية العامة العادية</w:t>
            </w:r>
          </w:p>
        </w:tc>
      </w:tr>
      <w:tr>
        <w:tc>
          <w:tcPr>
            <w:tcW w:type="dxa" w:w="25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75% فأكثر</w:t>
            </w:r>
          </w:p>
        </w:tc>
        <w:tc>
          <w:tcPr>
            <w:tcW w:type="dxa" w:w="6526"/>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السيطرة الكاملة على الجمعية غير العادية</w:t>
            </w:r>
          </w:p>
        </w:tc>
      </w:tr>
    </w:tbl>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خامساً: آليات الحماية الرئيسية</w:t>
      </w:r>
    </w:p>
    <w:p>
      <w:pPr>
        <w:bidi/>
        <w:spacing w:after="140" w:line="320"/>
        <w:jc w:val="both"/>
      </w:pPr>
      <w:r>
        <w:rPr>
          <w:rFonts w:ascii="Arial" w:cs="Arial" w:eastAsia="Arial" w:hAnsi="Arial"/>
          <w:sz w:val="24"/>
          <w:szCs w:val="24"/>
          <w:rtl/>
        </w:rPr>
        <w:t xml:space="preserve">توفر التشريعات السعودية عدة آليات لحماية الأقلية، تتنوع بين الحماية الإجرائية، الحماية الموضوعية، وحماية الإفصاح:</w:t>
      </w:r>
    </w:p>
    <w:p>
      <w:pPr>
        <w:pStyle w:val="Heading2"/>
        <w:bidi/>
        <w:spacing w:after="160" w:before="280"/>
        <w:jc w:val="right"/>
      </w:pPr>
      <w:r>
        <w:rPr>
          <w:rFonts w:ascii="Arial" w:cs="Arial" w:eastAsia="Arial" w:hAnsi="Arial"/>
          <w:b/>
          <w:bCs/>
          <w:color w:val="2E75B6"/>
          <w:sz w:val="30"/>
          <w:szCs w:val="30"/>
          <w:rtl/>
        </w:rPr>
        <w:t xml:space="preserve">1. التصويت التراكمي (Cumulative Voting)</w:t>
      </w:r>
    </w:p>
    <w:p>
      <w:pPr>
        <w:bidi/>
        <w:spacing w:after="140" w:line="320"/>
        <w:jc w:val="both"/>
      </w:pPr>
      <w:r>
        <w:rPr>
          <w:rFonts w:ascii="Arial" w:cs="Arial" w:eastAsia="Arial" w:hAnsi="Arial"/>
          <w:sz w:val="24"/>
          <w:szCs w:val="24"/>
          <w:rtl/>
        </w:rPr>
        <w:t xml:space="preserve">هي آلية تصويت خاصة لانتخاب أعضاء مجلس الإدارة، تمكّن الأقلية من تجميع أصواتها على مرشح واحد أو أكثر، بدلاً من توزيعها على جميع المقاعد.</w:t>
      </w:r>
    </w:p>
    <w:p>
      <w:pPr>
        <w:pStyle w:val="Heading3"/>
        <w:bidi/>
        <w:spacing w:after="120" w:before="200"/>
        <w:jc w:val="right"/>
      </w:pPr>
      <w:r>
        <w:rPr>
          <w:rFonts w:ascii="Arial" w:cs="Arial" w:eastAsia="Arial" w:hAnsi="Arial"/>
          <w:b/>
          <w:bCs/>
          <w:color w:val="1F4E79"/>
          <w:sz w:val="26"/>
          <w:szCs w:val="26"/>
          <w:rtl/>
        </w:rPr>
        <w:t xml:space="preserve">كيف يعمل التصويت التراكمي؟</w:t>
      </w:r>
    </w:p>
    <w:p>
      <w:pPr>
        <w:bidi/>
        <w:spacing w:after="140" w:line="320"/>
        <w:jc w:val="both"/>
      </w:pPr>
      <w:r>
        <w:rPr>
          <w:rFonts w:ascii="Arial" w:cs="Arial" w:eastAsia="Arial" w:hAnsi="Arial"/>
          <w:sz w:val="24"/>
          <w:szCs w:val="24"/>
          <w:rtl/>
        </w:rPr>
        <w:t xml:space="preserve">في النظام التقليدي، إذا كان لدى المساهم 100 سهم وكان يجب انتخاب 5 أعضاء، فيمكنه التصويت بـ 100 صوت لكل مقعد. في التصويت التراكمي، يحصل على 500 صوت (100 × 5) يمكنه تركيزها على مرشح واحد، مما يزيد فرص الأقلية في إيصال ممثل لهم في المجلس.</w:t>
      </w:r>
    </w:p>
    <w:p>
      <w:pPr>
        <w:pStyle w:val="Heading3"/>
        <w:bidi/>
        <w:spacing w:after="120" w:before="200"/>
        <w:jc w:val="right"/>
      </w:pPr>
      <w:r>
        <w:rPr>
          <w:rFonts w:ascii="Arial" w:cs="Arial" w:eastAsia="Arial" w:hAnsi="Arial"/>
          <w:b/>
          <w:bCs/>
          <w:color w:val="1F4E79"/>
          <w:sz w:val="26"/>
          <w:szCs w:val="26"/>
          <w:rtl/>
        </w:rPr>
        <w:t xml:space="preserve">أهمية التصويت التراكمي</w:t>
      </w:r>
    </w:p>
    <w:p>
      <w:pPr>
        <w:pStyle w:val="ListParagraph"/>
        <w:numPr>
          <w:ilvl w:val="0"/>
          <w:numId w:val="2"/>
        </w:numPr>
        <w:bidi/>
        <w:spacing w:after="100" w:line="300"/>
        <w:jc w:val="right"/>
      </w:pPr>
      <w:r>
        <w:rPr>
          <w:rFonts w:ascii="Arial" w:cs="Arial" w:eastAsia="Arial" w:hAnsi="Arial"/>
          <w:sz w:val="24"/>
          <w:szCs w:val="24"/>
          <w:rtl/>
        </w:rPr>
        <w:t xml:space="preserve">يضمن تمثيل الأقلية في مجلس الإدارة.</w:t>
      </w:r>
    </w:p>
    <w:p>
      <w:pPr>
        <w:pStyle w:val="ListParagraph"/>
        <w:numPr>
          <w:ilvl w:val="0"/>
          <w:numId w:val="2"/>
        </w:numPr>
        <w:bidi/>
        <w:spacing w:after="100" w:line="300"/>
        <w:jc w:val="right"/>
      </w:pPr>
      <w:r>
        <w:rPr>
          <w:rFonts w:ascii="Arial" w:cs="Arial" w:eastAsia="Arial" w:hAnsi="Arial"/>
          <w:sz w:val="24"/>
          <w:szCs w:val="24"/>
          <w:rtl/>
        </w:rPr>
        <w:t xml:space="preserve">يُمكّنهم من المتابعة الفاعلة لعمل الإدارة.</w:t>
      </w:r>
    </w:p>
    <w:p>
      <w:pPr>
        <w:pStyle w:val="ListParagraph"/>
        <w:numPr>
          <w:ilvl w:val="0"/>
          <w:numId w:val="2"/>
        </w:numPr>
        <w:bidi/>
        <w:spacing w:after="100" w:line="300"/>
        <w:jc w:val="right"/>
      </w:pPr>
      <w:r>
        <w:rPr>
          <w:rFonts w:ascii="Arial" w:cs="Arial" w:eastAsia="Arial" w:hAnsi="Arial"/>
          <w:sz w:val="24"/>
          <w:szCs w:val="24"/>
          <w:rtl/>
        </w:rPr>
        <w:t xml:space="preserve">يُحقق توازناً بين مصالح الأغلبية والأقلية.</w:t>
      </w:r>
    </w:p>
    <w:p>
      <w:pPr>
        <w:pStyle w:val="ListParagraph"/>
        <w:numPr>
          <w:ilvl w:val="0"/>
          <w:numId w:val="2"/>
        </w:numPr>
        <w:bidi/>
        <w:spacing w:after="100" w:line="300"/>
        <w:jc w:val="right"/>
      </w:pPr>
      <w:r>
        <w:rPr>
          <w:rFonts w:ascii="Arial" w:cs="Arial" w:eastAsia="Arial" w:hAnsi="Arial"/>
          <w:sz w:val="24"/>
          <w:szCs w:val="24"/>
          <w:rtl/>
        </w:rPr>
        <w:t xml:space="preserve">يُعزز شفافية اتخاذ القرارات.</w:t>
      </w:r>
    </w:p>
    <w:p>
      <w:pPr>
        <w:pStyle w:val="Heading2"/>
        <w:bidi/>
        <w:spacing w:after="160" w:before="280"/>
        <w:jc w:val="right"/>
      </w:pPr>
      <w:r>
        <w:rPr>
          <w:rFonts w:ascii="Arial" w:cs="Arial" w:eastAsia="Arial" w:hAnsi="Arial"/>
          <w:b/>
          <w:bCs/>
          <w:color w:val="2E75B6"/>
          <w:sz w:val="30"/>
          <w:szCs w:val="30"/>
          <w:rtl/>
        </w:rPr>
        <w:t xml:space="preserve">2. الموافقة على معاملات الأطراف ذات العلاقة</w:t>
      </w:r>
    </w:p>
    <w:p>
      <w:pPr>
        <w:bidi/>
        <w:spacing w:after="140" w:line="320"/>
        <w:jc w:val="both"/>
      </w:pPr>
      <w:r>
        <w:rPr>
          <w:rFonts w:ascii="Arial" w:cs="Arial" w:eastAsia="Arial" w:hAnsi="Arial"/>
          <w:sz w:val="24"/>
          <w:szCs w:val="24"/>
          <w:rtl/>
        </w:rPr>
        <w:t xml:space="preserve">تستوجب التشريعات السعودية موافقة الجمعية العامة على الأعمال والعقود التي تتم لحساب الشركة ويكون لأحد أعضاء مجلس الإدارة مصلحة فيها. وتشمل هذه الموافقة:</w:t>
      </w:r>
    </w:p>
    <w:p>
      <w:pPr>
        <w:pStyle w:val="ListParagraph"/>
        <w:numPr>
          <w:ilvl w:val="0"/>
          <w:numId w:val="2"/>
        </w:numPr>
        <w:bidi/>
        <w:spacing w:after="100" w:line="300"/>
        <w:jc w:val="right"/>
      </w:pPr>
      <w:r>
        <w:rPr>
          <w:rFonts w:ascii="Arial" w:cs="Arial" w:eastAsia="Arial" w:hAnsi="Arial"/>
          <w:sz w:val="24"/>
          <w:szCs w:val="24"/>
          <w:rtl/>
        </w:rPr>
        <w:t xml:space="preserve">تحديد المعاملات الواجب عرضها.</w:t>
      </w:r>
    </w:p>
    <w:p>
      <w:pPr>
        <w:pStyle w:val="ListParagraph"/>
        <w:numPr>
          <w:ilvl w:val="0"/>
          <w:numId w:val="2"/>
        </w:numPr>
        <w:bidi/>
        <w:spacing w:after="100" w:line="300"/>
        <w:jc w:val="right"/>
      </w:pPr>
      <w:r>
        <w:rPr>
          <w:rFonts w:ascii="Arial" w:cs="Arial" w:eastAsia="Arial" w:hAnsi="Arial"/>
          <w:sz w:val="24"/>
          <w:szCs w:val="24"/>
          <w:rtl/>
        </w:rPr>
        <w:t xml:space="preserve">الإفصاح عن طبيعة المصلحة.</w:t>
      </w:r>
    </w:p>
    <w:p>
      <w:pPr>
        <w:pStyle w:val="ListParagraph"/>
        <w:numPr>
          <w:ilvl w:val="0"/>
          <w:numId w:val="2"/>
        </w:numPr>
        <w:bidi/>
        <w:spacing w:after="100" w:line="300"/>
        <w:jc w:val="right"/>
      </w:pPr>
      <w:r>
        <w:rPr>
          <w:rFonts w:ascii="Arial" w:cs="Arial" w:eastAsia="Arial" w:hAnsi="Arial"/>
          <w:sz w:val="24"/>
          <w:szCs w:val="24"/>
          <w:rtl/>
        </w:rPr>
        <w:t xml:space="preserve">عدم تصويت العضو ذي المصلحة.</w:t>
      </w:r>
    </w:p>
    <w:p>
      <w:pPr>
        <w:pStyle w:val="ListParagraph"/>
        <w:numPr>
          <w:ilvl w:val="0"/>
          <w:numId w:val="2"/>
        </w:numPr>
        <w:bidi/>
        <w:spacing w:after="100" w:line="300"/>
        <w:jc w:val="right"/>
      </w:pPr>
      <w:r>
        <w:rPr>
          <w:rFonts w:ascii="Arial" w:cs="Arial" w:eastAsia="Arial" w:hAnsi="Arial"/>
          <w:sz w:val="24"/>
          <w:szCs w:val="24"/>
          <w:rtl/>
        </w:rPr>
        <w:t xml:space="preserve">مراجعة العقد من جهات مستقلة.</w:t>
      </w:r>
    </w:p>
    <w:p>
      <w:pPr>
        <w:pStyle w:val="ListParagraph"/>
        <w:numPr>
          <w:ilvl w:val="0"/>
          <w:numId w:val="2"/>
        </w:numPr>
        <w:bidi/>
        <w:spacing w:after="100" w:line="300"/>
        <w:jc w:val="right"/>
      </w:pPr>
      <w:r>
        <w:rPr>
          <w:rFonts w:ascii="Arial" w:cs="Arial" w:eastAsia="Arial" w:hAnsi="Arial"/>
          <w:sz w:val="24"/>
          <w:szCs w:val="24"/>
          <w:rtl/>
        </w:rPr>
        <w:t xml:space="preserve">ترتيب المسؤولية في حالة المخالفة.</w:t>
      </w:r>
    </w:p>
    <w:p>
      <w:pPr>
        <w:pStyle w:val="Heading2"/>
        <w:bidi/>
        <w:spacing w:after="160" w:before="280"/>
        <w:jc w:val="right"/>
      </w:pPr>
      <w:r>
        <w:rPr>
          <w:rFonts w:ascii="Arial" w:cs="Arial" w:eastAsia="Arial" w:hAnsi="Arial"/>
          <w:b/>
          <w:bCs/>
          <w:color w:val="2E75B6"/>
          <w:sz w:val="30"/>
          <w:szCs w:val="30"/>
          <w:rtl/>
        </w:rPr>
        <w:t xml:space="preserve">3. حق الاطلاع على المعلومات</w:t>
      </w:r>
    </w:p>
    <w:p>
      <w:pPr>
        <w:bidi/>
        <w:spacing w:after="140" w:line="320"/>
        <w:jc w:val="both"/>
      </w:pPr>
      <w:r>
        <w:rPr>
          <w:rFonts w:ascii="Arial" w:cs="Arial" w:eastAsia="Arial" w:hAnsi="Arial"/>
          <w:sz w:val="24"/>
          <w:szCs w:val="24"/>
          <w:rtl/>
        </w:rPr>
        <w:t xml:space="preserve">يحق للمساهم الحصول على معلومات شاملة عن الشركة، تشمل:</w:t>
      </w:r>
    </w:p>
    <w:p>
      <w:pPr>
        <w:pStyle w:val="ListParagraph"/>
        <w:numPr>
          <w:ilvl w:val="0"/>
          <w:numId w:val="2"/>
        </w:numPr>
        <w:bidi/>
        <w:spacing w:after="100" w:line="300"/>
        <w:jc w:val="right"/>
      </w:pPr>
      <w:r>
        <w:rPr>
          <w:rFonts w:ascii="Arial" w:cs="Arial" w:eastAsia="Arial" w:hAnsi="Arial"/>
          <w:sz w:val="24"/>
          <w:szCs w:val="24"/>
          <w:rtl/>
        </w:rPr>
        <w:t xml:space="preserve">القوائم المالية المدققة.</w:t>
      </w:r>
    </w:p>
    <w:p>
      <w:pPr>
        <w:pStyle w:val="ListParagraph"/>
        <w:numPr>
          <w:ilvl w:val="0"/>
          <w:numId w:val="2"/>
        </w:numPr>
        <w:bidi/>
        <w:spacing w:after="100" w:line="300"/>
        <w:jc w:val="right"/>
      </w:pPr>
      <w:r>
        <w:rPr>
          <w:rFonts w:ascii="Arial" w:cs="Arial" w:eastAsia="Arial" w:hAnsi="Arial"/>
          <w:sz w:val="24"/>
          <w:szCs w:val="24"/>
          <w:rtl/>
        </w:rPr>
        <w:t xml:space="preserve">تقرير مجلس الإدارة السنوي.</w:t>
      </w:r>
    </w:p>
    <w:p>
      <w:pPr>
        <w:pStyle w:val="ListParagraph"/>
        <w:numPr>
          <w:ilvl w:val="0"/>
          <w:numId w:val="2"/>
        </w:numPr>
        <w:bidi/>
        <w:spacing w:after="100" w:line="300"/>
        <w:jc w:val="right"/>
      </w:pPr>
      <w:r>
        <w:rPr>
          <w:rFonts w:ascii="Arial" w:cs="Arial" w:eastAsia="Arial" w:hAnsi="Arial"/>
          <w:sz w:val="24"/>
          <w:szCs w:val="24"/>
          <w:rtl/>
        </w:rPr>
        <w:t xml:space="preserve">تقرير المراجع الخارجي.</w:t>
      </w:r>
    </w:p>
    <w:p>
      <w:pPr>
        <w:pStyle w:val="ListParagraph"/>
        <w:numPr>
          <w:ilvl w:val="0"/>
          <w:numId w:val="2"/>
        </w:numPr>
        <w:bidi/>
        <w:spacing w:after="100" w:line="300"/>
        <w:jc w:val="right"/>
      </w:pPr>
      <w:r>
        <w:rPr>
          <w:rFonts w:ascii="Arial" w:cs="Arial" w:eastAsia="Arial" w:hAnsi="Arial"/>
          <w:sz w:val="24"/>
          <w:szCs w:val="24"/>
          <w:rtl/>
        </w:rPr>
        <w:t xml:space="preserve">النظام الأساس للشركة.</w:t>
      </w:r>
    </w:p>
    <w:p>
      <w:pPr>
        <w:pStyle w:val="ListParagraph"/>
        <w:numPr>
          <w:ilvl w:val="0"/>
          <w:numId w:val="2"/>
        </w:numPr>
        <w:bidi/>
        <w:spacing w:after="100" w:line="300"/>
        <w:jc w:val="right"/>
      </w:pPr>
      <w:r>
        <w:rPr>
          <w:rFonts w:ascii="Arial" w:cs="Arial" w:eastAsia="Arial" w:hAnsi="Arial"/>
          <w:sz w:val="24"/>
          <w:szCs w:val="24"/>
          <w:rtl/>
        </w:rPr>
        <w:t xml:space="preserve">محاضر الجمعيات العمومية.</w:t>
      </w:r>
    </w:p>
    <w:p>
      <w:pPr>
        <w:pStyle w:val="ListParagraph"/>
        <w:numPr>
          <w:ilvl w:val="0"/>
          <w:numId w:val="2"/>
        </w:numPr>
        <w:bidi/>
        <w:spacing w:after="100" w:line="300"/>
        <w:jc w:val="right"/>
      </w:pPr>
      <w:r>
        <w:rPr>
          <w:rFonts w:ascii="Arial" w:cs="Arial" w:eastAsia="Arial" w:hAnsi="Arial"/>
          <w:sz w:val="24"/>
          <w:szCs w:val="24"/>
          <w:rtl/>
        </w:rPr>
        <w:t xml:space="preserve">سياسات الشركة الجوهرية.</w:t>
      </w:r>
    </w:p>
    <w:p>
      <w:pPr>
        <w:pStyle w:val="Heading2"/>
        <w:bidi/>
        <w:spacing w:after="160" w:before="280"/>
        <w:jc w:val="right"/>
      </w:pPr>
      <w:r>
        <w:rPr>
          <w:rFonts w:ascii="Arial" w:cs="Arial" w:eastAsia="Arial" w:hAnsi="Arial"/>
          <w:b/>
          <w:bCs/>
          <w:color w:val="2E75B6"/>
          <w:sz w:val="30"/>
          <w:szCs w:val="30"/>
          <w:rtl/>
        </w:rPr>
        <w:t xml:space="preserve">4. حق المشاركة في الجمعيات</w:t>
      </w:r>
    </w:p>
    <w:p>
      <w:pPr>
        <w:pStyle w:val="ListParagraph"/>
        <w:numPr>
          <w:ilvl w:val="0"/>
          <w:numId w:val="2"/>
        </w:numPr>
        <w:bidi/>
        <w:spacing w:after="100" w:line="300"/>
        <w:jc w:val="right"/>
      </w:pPr>
      <w:r>
        <w:rPr>
          <w:rFonts w:ascii="Arial" w:cs="Arial" w:eastAsia="Arial" w:hAnsi="Arial"/>
          <w:sz w:val="24"/>
          <w:szCs w:val="24"/>
          <w:rtl/>
        </w:rPr>
        <w:t xml:space="preserve">حق حضور الجمعيات العمومية شخصياً أو بالوكالة.</w:t>
      </w:r>
    </w:p>
    <w:p>
      <w:pPr>
        <w:pStyle w:val="ListParagraph"/>
        <w:numPr>
          <w:ilvl w:val="0"/>
          <w:numId w:val="2"/>
        </w:numPr>
        <w:bidi/>
        <w:spacing w:after="100" w:line="300"/>
        <w:jc w:val="right"/>
      </w:pPr>
      <w:r>
        <w:rPr>
          <w:rFonts w:ascii="Arial" w:cs="Arial" w:eastAsia="Arial" w:hAnsi="Arial"/>
          <w:sz w:val="24"/>
          <w:szCs w:val="24"/>
          <w:rtl/>
        </w:rPr>
        <w:t xml:space="preserve">حق المناقشة وتوجيه الأسئلة لأعضاء مجلس الإدارة والمراجع.</w:t>
      </w:r>
    </w:p>
    <w:p>
      <w:pPr>
        <w:pStyle w:val="ListParagraph"/>
        <w:numPr>
          <w:ilvl w:val="0"/>
          <w:numId w:val="2"/>
        </w:numPr>
        <w:bidi/>
        <w:spacing w:after="100" w:line="300"/>
        <w:jc w:val="right"/>
      </w:pPr>
      <w:r>
        <w:rPr>
          <w:rFonts w:ascii="Arial" w:cs="Arial" w:eastAsia="Arial" w:hAnsi="Arial"/>
          <w:sz w:val="24"/>
          <w:szCs w:val="24"/>
          <w:rtl/>
        </w:rPr>
        <w:t xml:space="preserve">حق التصويت على القرارات بحسب عدد الأسهم.</w:t>
      </w:r>
    </w:p>
    <w:p>
      <w:pPr>
        <w:pStyle w:val="ListParagraph"/>
        <w:numPr>
          <w:ilvl w:val="0"/>
          <w:numId w:val="2"/>
        </w:numPr>
        <w:bidi/>
        <w:spacing w:after="100" w:line="300"/>
        <w:jc w:val="right"/>
      </w:pPr>
      <w:r>
        <w:rPr>
          <w:rFonts w:ascii="Arial" w:cs="Arial" w:eastAsia="Arial" w:hAnsi="Arial"/>
          <w:sz w:val="24"/>
          <w:szCs w:val="24"/>
          <w:rtl/>
        </w:rPr>
        <w:t xml:space="preserve">حق الاعتراض وتسجيل التحفظات في المحضر.</w:t>
      </w:r>
    </w:p>
    <w:p>
      <w:pPr>
        <w:pStyle w:val="Heading2"/>
        <w:bidi/>
        <w:spacing w:after="160" w:before="280"/>
        <w:jc w:val="right"/>
      </w:pPr>
      <w:r>
        <w:rPr>
          <w:rFonts w:ascii="Arial" w:cs="Arial" w:eastAsia="Arial" w:hAnsi="Arial"/>
          <w:b/>
          <w:bCs/>
          <w:color w:val="2E75B6"/>
          <w:sz w:val="30"/>
          <w:szCs w:val="30"/>
          <w:rtl/>
        </w:rPr>
        <w:t xml:space="preserve">5. الحماية القضائية</w:t>
      </w:r>
    </w:p>
    <w:p>
      <w:pPr>
        <w:bidi/>
        <w:spacing w:after="140" w:line="320"/>
        <w:jc w:val="both"/>
      </w:pPr>
      <w:r>
        <w:rPr>
          <w:rFonts w:ascii="Arial" w:cs="Arial" w:eastAsia="Arial" w:hAnsi="Arial"/>
          <w:sz w:val="24"/>
          <w:szCs w:val="24"/>
          <w:rtl/>
        </w:rPr>
        <w:t xml:space="preserve">يحق للمساهم الأقلية اللجوء للقضاء في عدة حالات:</w:t>
      </w:r>
    </w:p>
    <w:p>
      <w:pPr>
        <w:pStyle w:val="ListParagraph"/>
        <w:numPr>
          <w:ilvl w:val="0"/>
          <w:numId w:val="2"/>
        </w:numPr>
        <w:bidi/>
        <w:spacing w:after="100" w:line="300"/>
        <w:jc w:val="right"/>
      </w:pPr>
      <w:r>
        <w:rPr>
          <w:rFonts w:ascii="Arial" w:cs="Arial" w:eastAsia="Arial" w:hAnsi="Arial"/>
          <w:sz w:val="24"/>
          <w:szCs w:val="24"/>
          <w:rtl/>
        </w:rPr>
        <w:t xml:space="preserve">رفع دعوى بطلان لقرارات الجمعية المخالفة.</w:t>
      </w:r>
    </w:p>
    <w:p>
      <w:pPr>
        <w:pStyle w:val="ListParagraph"/>
        <w:numPr>
          <w:ilvl w:val="0"/>
          <w:numId w:val="2"/>
        </w:numPr>
        <w:bidi/>
        <w:spacing w:after="100" w:line="300"/>
        <w:jc w:val="right"/>
      </w:pPr>
      <w:r>
        <w:rPr>
          <w:rFonts w:ascii="Arial" w:cs="Arial" w:eastAsia="Arial" w:hAnsi="Arial"/>
          <w:sz w:val="24"/>
          <w:szCs w:val="24"/>
          <w:rtl/>
        </w:rPr>
        <w:t xml:space="preserve">رفع دعوى مسؤولية ضد أعضاء مجلس الإدارة.</w:t>
      </w:r>
    </w:p>
    <w:p>
      <w:pPr>
        <w:pStyle w:val="ListParagraph"/>
        <w:numPr>
          <w:ilvl w:val="0"/>
          <w:numId w:val="2"/>
        </w:numPr>
        <w:bidi/>
        <w:spacing w:after="100" w:line="300"/>
        <w:jc w:val="right"/>
      </w:pPr>
      <w:r>
        <w:rPr>
          <w:rFonts w:ascii="Arial" w:cs="Arial" w:eastAsia="Arial" w:hAnsi="Arial"/>
          <w:sz w:val="24"/>
          <w:szCs w:val="24"/>
          <w:rtl/>
        </w:rPr>
        <w:t xml:space="preserve">طلب التحقيق في تجاوزات الإدارة.</w:t>
      </w:r>
    </w:p>
    <w:p>
      <w:pPr>
        <w:pStyle w:val="ListParagraph"/>
        <w:numPr>
          <w:ilvl w:val="0"/>
          <w:numId w:val="2"/>
        </w:numPr>
        <w:bidi/>
        <w:spacing w:after="100" w:line="300"/>
        <w:jc w:val="right"/>
      </w:pPr>
      <w:r>
        <w:rPr>
          <w:rFonts w:ascii="Arial" w:cs="Arial" w:eastAsia="Arial" w:hAnsi="Arial"/>
          <w:sz w:val="24"/>
          <w:szCs w:val="24"/>
          <w:rtl/>
        </w:rPr>
        <w:t xml:space="preserve">طلب تعيين مراقب على الشركة في حالات محددة.</w:t>
      </w:r>
    </w:p>
    <w:p>
      <w:pPr>
        <w:pStyle w:val="Heading2"/>
        <w:bidi/>
        <w:spacing w:after="160" w:before="280"/>
        <w:jc w:val="right"/>
      </w:pPr>
      <w:r>
        <w:rPr>
          <w:rFonts w:ascii="Arial" w:cs="Arial" w:eastAsia="Arial" w:hAnsi="Arial"/>
          <w:b/>
          <w:bCs/>
          <w:color w:val="2E75B6"/>
          <w:sz w:val="30"/>
          <w:szCs w:val="30"/>
          <w:rtl/>
        </w:rPr>
        <w:t xml:space="preserve">6. حماية الإفصاح</w:t>
      </w:r>
    </w:p>
    <w:p>
      <w:pPr>
        <w:bidi/>
        <w:spacing w:after="140" w:line="320"/>
        <w:jc w:val="both"/>
      </w:pPr>
      <w:r>
        <w:rPr>
          <w:rFonts w:ascii="Arial" w:cs="Arial" w:eastAsia="Arial" w:hAnsi="Arial"/>
          <w:sz w:val="24"/>
          <w:szCs w:val="24"/>
          <w:rtl/>
        </w:rPr>
        <w:t xml:space="preserve">الإفصاح هو السلاح الأقوى للأقلية لمواجهة التلاعب وعدم الشفافية:</w:t>
      </w:r>
    </w:p>
    <w:p>
      <w:pPr>
        <w:pStyle w:val="ListParagraph"/>
        <w:numPr>
          <w:ilvl w:val="0"/>
          <w:numId w:val="2"/>
        </w:numPr>
        <w:bidi/>
        <w:spacing w:after="100" w:line="300"/>
        <w:jc w:val="right"/>
      </w:pPr>
      <w:r>
        <w:rPr>
          <w:rFonts w:ascii="Arial" w:cs="Arial" w:eastAsia="Arial" w:hAnsi="Arial"/>
          <w:sz w:val="24"/>
          <w:szCs w:val="24"/>
          <w:rtl/>
        </w:rPr>
        <w:t xml:space="preserve">الإفصاحات الدورية (الربعية، السنوية).</w:t>
      </w:r>
    </w:p>
    <w:p>
      <w:pPr>
        <w:pStyle w:val="ListParagraph"/>
        <w:numPr>
          <w:ilvl w:val="0"/>
          <w:numId w:val="2"/>
        </w:numPr>
        <w:bidi/>
        <w:spacing w:after="100" w:line="300"/>
        <w:jc w:val="right"/>
      </w:pPr>
      <w:r>
        <w:rPr>
          <w:rFonts w:ascii="Arial" w:cs="Arial" w:eastAsia="Arial" w:hAnsi="Arial"/>
          <w:sz w:val="24"/>
          <w:szCs w:val="24"/>
          <w:rtl/>
        </w:rPr>
        <w:t xml:space="preserve">الإفصاحات الجوهرية الفورية.</w:t>
      </w:r>
    </w:p>
    <w:p>
      <w:pPr>
        <w:pStyle w:val="ListParagraph"/>
        <w:numPr>
          <w:ilvl w:val="0"/>
          <w:numId w:val="2"/>
        </w:numPr>
        <w:bidi/>
        <w:spacing w:after="100" w:line="300"/>
        <w:jc w:val="right"/>
      </w:pPr>
      <w:r>
        <w:rPr>
          <w:rFonts w:ascii="Arial" w:cs="Arial" w:eastAsia="Arial" w:hAnsi="Arial"/>
          <w:sz w:val="24"/>
          <w:szCs w:val="24"/>
          <w:rtl/>
        </w:rPr>
        <w:t xml:space="preserve">الإفصاح عن المعاملات الكبيرة.</w:t>
      </w:r>
    </w:p>
    <w:p>
      <w:pPr>
        <w:pStyle w:val="ListParagraph"/>
        <w:numPr>
          <w:ilvl w:val="0"/>
          <w:numId w:val="2"/>
        </w:numPr>
        <w:bidi/>
        <w:spacing w:after="100" w:line="300"/>
        <w:jc w:val="right"/>
      </w:pPr>
      <w:r>
        <w:rPr>
          <w:rFonts w:ascii="Arial" w:cs="Arial" w:eastAsia="Arial" w:hAnsi="Arial"/>
          <w:sz w:val="24"/>
          <w:szCs w:val="24"/>
          <w:rtl/>
        </w:rPr>
        <w:t xml:space="preserve">الإفصاح عن تغيرات الملكية الجوهرية.</w:t>
      </w:r>
    </w:p>
    <w:p>
      <w:pPr>
        <w:pStyle w:val="ListParagraph"/>
        <w:numPr>
          <w:ilvl w:val="0"/>
          <w:numId w:val="2"/>
        </w:numPr>
        <w:bidi/>
        <w:spacing w:after="100" w:line="300"/>
        <w:jc w:val="right"/>
      </w:pPr>
      <w:r>
        <w:rPr>
          <w:rFonts w:ascii="Arial" w:cs="Arial" w:eastAsia="Arial" w:hAnsi="Arial"/>
          <w:sz w:val="24"/>
          <w:szCs w:val="24"/>
          <w:rtl/>
        </w:rPr>
        <w:t xml:space="preserve">الإفصاح عن مكافآت الإدارة.</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سادساً: دور سجل المساهمين في حماية الأقلية</w:t>
      </w:r>
    </w:p>
    <w:p>
      <w:pPr>
        <w:bidi/>
        <w:spacing w:after="140" w:line="320"/>
        <w:jc w:val="both"/>
      </w:pPr>
      <w:r>
        <w:rPr>
          <w:rFonts w:ascii="Arial" w:cs="Arial" w:eastAsia="Arial" w:hAnsi="Arial"/>
          <w:sz w:val="24"/>
          <w:szCs w:val="24"/>
          <w:rtl/>
        </w:rPr>
        <w:t xml:space="preserve">يلعب سجل المساهمين دوراً محورياً في تفعيل آليات حماية الأقلية، وهو المرجع الأساسي لعدة عمليات تتعلق بهذه الحماية:</w:t>
      </w:r>
    </w:p>
    <w:p>
      <w:pPr>
        <w:pStyle w:val="Heading2"/>
        <w:bidi/>
        <w:spacing w:after="160" w:before="280"/>
        <w:jc w:val="right"/>
      </w:pPr>
      <w:r>
        <w:rPr>
          <w:rFonts w:ascii="Arial" w:cs="Arial" w:eastAsia="Arial" w:hAnsi="Arial"/>
          <w:b/>
          <w:bCs/>
          <w:color w:val="2E75B6"/>
          <w:sz w:val="30"/>
          <w:szCs w:val="30"/>
          <w:rtl/>
        </w:rPr>
        <w:t xml:space="preserve">1. التحقق من النسب المخوّلة للحقوق</w:t>
      </w:r>
    </w:p>
    <w:p>
      <w:pPr>
        <w:bidi/>
        <w:spacing w:after="140" w:line="320"/>
        <w:jc w:val="both"/>
      </w:pPr>
      <w:r>
        <w:rPr>
          <w:rFonts w:ascii="Arial" w:cs="Arial" w:eastAsia="Arial" w:hAnsi="Arial"/>
          <w:sz w:val="24"/>
          <w:szCs w:val="24"/>
          <w:rtl/>
        </w:rPr>
        <w:t xml:space="preserve">لممارسة الحقوق المرتبطة بنسب محددة (5%، 10%، إلخ)، يجب التحقق من السجل من نسبة ملكية المساهم. والسجل الدقيق يضمن أن المساهم الذي يستحق ممارسة هذه الحقوق يتمكن من ذلك بدون عوائق.</w:t>
      </w:r>
    </w:p>
    <w:p>
      <w:pPr>
        <w:pStyle w:val="Heading2"/>
        <w:bidi/>
        <w:spacing w:after="160" w:before="280"/>
        <w:jc w:val="right"/>
      </w:pPr>
      <w:r>
        <w:rPr>
          <w:rFonts w:ascii="Arial" w:cs="Arial" w:eastAsia="Arial" w:hAnsi="Arial"/>
          <w:b/>
          <w:bCs/>
          <w:color w:val="2E75B6"/>
          <w:sz w:val="30"/>
          <w:szCs w:val="30"/>
          <w:rtl/>
        </w:rPr>
        <w:t xml:space="preserve">2. توفير قائمة المساهمين للجمعيات</w:t>
      </w:r>
    </w:p>
    <w:p>
      <w:pPr>
        <w:bidi/>
        <w:spacing w:after="140" w:line="320"/>
        <w:jc w:val="both"/>
      </w:pPr>
      <w:r>
        <w:rPr>
          <w:rFonts w:ascii="Arial" w:cs="Arial" w:eastAsia="Arial" w:hAnsi="Arial"/>
          <w:sz w:val="24"/>
          <w:szCs w:val="24"/>
          <w:rtl/>
        </w:rPr>
        <w:t xml:space="preserve">لعقد الجمعيات العمومية بشكل صحيح، يجب توفير قائمة دقيقة من السجل لجميع المساهمين، مع نسب ملكيتهم. وأي خلل في هذه القائمة قد يحرم الأقلية من حق الحضور والتصويت.</w:t>
      </w:r>
    </w:p>
    <w:p>
      <w:pPr>
        <w:pStyle w:val="Heading2"/>
        <w:bidi/>
        <w:spacing w:after="160" w:before="280"/>
        <w:jc w:val="right"/>
      </w:pPr>
      <w:r>
        <w:rPr>
          <w:rFonts w:ascii="Arial" w:cs="Arial" w:eastAsia="Arial" w:hAnsi="Arial"/>
          <w:b/>
          <w:bCs/>
          <w:color w:val="2E75B6"/>
          <w:sz w:val="30"/>
          <w:szCs w:val="30"/>
          <w:rtl/>
        </w:rPr>
        <w:t xml:space="preserve">3. تنفيذ التصويت التراكمي</w:t>
      </w:r>
    </w:p>
    <w:p>
      <w:pPr>
        <w:bidi/>
        <w:spacing w:after="140" w:line="320"/>
        <w:jc w:val="both"/>
      </w:pPr>
      <w:r>
        <w:rPr>
          <w:rFonts w:ascii="Arial" w:cs="Arial" w:eastAsia="Arial" w:hAnsi="Arial"/>
          <w:sz w:val="24"/>
          <w:szCs w:val="24"/>
          <w:rtl/>
        </w:rPr>
        <w:t xml:space="preserve">لتطبيق التصويت التراكمي بشكل صحيح، يجب أن يستند إلى بيانات السجل الدقيقة في تاريخ الأحقية. أي خطأ في احتساب الأصوات قد يحرم الأقلية من تحقيق فائدة هذه الآلية.</w:t>
      </w:r>
    </w:p>
    <w:p>
      <w:pPr>
        <w:pStyle w:val="Heading2"/>
        <w:bidi/>
        <w:spacing w:after="160" w:before="280"/>
        <w:jc w:val="right"/>
      </w:pPr>
      <w:r>
        <w:rPr>
          <w:rFonts w:ascii="Arial" w:cs="Arial" w:eastAsia="Arial" w:hAnsi="Arial"/>
          <w:b/>
          <w:bCs/>
          <w:color w:val="2E75B6"/>
          <w:sz w:val="30"/>
          <w:szCs w:val="30"/>
          <w:rtl/>
        </w:rPr>
        <w:t xml:space="preserve">4. صرف توزيعات الأرباح</w:t>
      </w:r>
    </w:p>
    <w:p>
      <w:pPr>
        <w:bidi/>
        <w:spacing w:after="140" w:line="320"/>
        <w:jc w:val="both"/>
      </w:pPr>
      <w:r>
        <w:rPr>
          <w:rFonts w:ascii="Arial" w:cs="Arial" w:eastAsia="Arial" w:hAnsi="Arial"/>
          <w:sz w:val="24"/>
          <w:szCs w:val="24"/>
          <w:rtl/>
        </w:rPr>
        <w:t xml:space="preserve">ضمان وصول التوزيعات إلى جميع المستحقين - بما فيهم الأقلية - يستوجب سجلاً دقيقاً وبيانات اتصال محدّثة. والإهمال في ذلك يحرم الأقلية من حقوقهم المالية.</w:t>
      </w:r>
    </w:p>
    <w:p>
      <w:pPr>
        <w:pStyle w:val="Heading2"/>
        <w:bidi/>
        <w:spacing w:after="160" w:before="280"/>
        <w:jc w:val="right"/>
      </w:pPr>
      <w:r>
        <w:rPr>
          <w:rFonts w:ascii="Arial" w:cs="Arial" w:eastAsia="Arial" w:hAnsi="Arial"/>
          <w:b/>
          <w:bCs/>
          <w:color w:val="2E75B6"/>
          <w:sz w:val="30"/>
          <w:szCs w:val="30"/>
          <w:rtl/>
        </w:rPr>
        <w:t xml:space="preserve">5. التواصل مع المساهمين</w:t>
      </w:r>
    </w:p>
    <w:p>
      <w:pPr>
        <w:bidi/>
        <w:spacing w:after="140" w:line="320"/>
        <w:jc w:val="both"/>
      </w:pPr>
      <w:r>
        <w:rPr>
          <w:rFonts w:ascii="Arial" w:cs="Arial" w:eastAsia="Arial" w:hAnsi="Arial"/>
          <w:sz w:val="24"/>
          <w:szCs w:val="24"/>
          <w:rtl/>
        </w:rPr>
        <w:t xml:space="preserve">التواصل الفعّال مع المساهمين الأقلية - الذين قد لا يحضرون الجمعيات بانتظام - يستوجب بيانات تواصل دقيقة في السجل، وقنوات تواصل متعددة.</w:t>
      </w:r>
    </w:p>
    <w:p>
      <w:pPr>
        <w:pStyle w:val="Heading2"/>
        <w:bidi/>
        <w:spacing w:after="160" w:before="280"/>
        <w:jc w:val="right"/>
      </w:pPr>
      <w:r>
        <w:rPr>
          <w:rFonts w:ascii="Arial" w:cs="Arial" w:eastAsia="Arial" w:hAnsi="Arial"/>
          <w:b/>
          <w:bCs/>
          <w:color w:val="2E75B6"/>
          <w:sz w:val="30"/>
          <w:szCs w:val="30"/>
          <w:rtl/>
        </w:rPr>
        <w:t xml:space="preserve">6. توثيق الاعتراضات والتحفظات</w:t>
      </w:r>
    </w:p>
    <w:p>
      <w:pPr>
        <w:bidi/>
        <w:spacing w:after="140" w:line="320"/>
        <w:jc w:val="both"/>
      </w:pPr>
      <w:r>
        <w:rPr>
          <w:rFonts w:ascii="Arial" w:cs="Arial" w:eastAsia="Arial" w:hAnsi="Arial"/>
          <w:sz w:val="24"/>
          <w:szCs w:val="24"/>
          <w:rtl/>
        </w:rPr>
        <w:t xml:space="preserve">في الجمعيات العمومية، قد يرغب مساهمو الأقلية في تسجيل اعتراضاتهم على قرارات معينة. ويُعدّ سجل المحاضر - المرتبط بالسجل الرئيسي - مرجعاً مهماً لإثبات هذه الاعتراضات.</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سابعاً: أفضل الممارسات الدولية</w:t>
      </w:r>
    </w:p>
    <w:p>
      <w:pPr>
        <w:bidi/>
        <w:spacing w:after="140" w:line="320"/>
        <w:jc w:val="both"/>
      </w:pPr>
      <w:r>
        <w:rPr>
          <w:rFonts w:ascii="Arial" w:cs="Arial" w:eastAsia="Arial" w:hAnsi="Arial"/>
          <w:sz w:val="24"/>
          <w:szCs w:val="24"/>
          <w:rtl/>
        </w:rPr>
        <w:t xml:space="preserve">على المستوى الدولي، طُورت مبادئ وممارسات متقدمة لحماية الأقلية يمكن للشركات السعودية الاستفادة منها:</w:t>
      </w:r>
    </w:p>
    <w:p>
      <w:pPr>
        <w:pStyle w:val="Heading2"/>
        <w:bidi/>
        <w:spacing w:after="160" w:before="280"/>
        <w:jc w:val="right"/>
      </w:pPr>
      <w:r>
        <w:rPr>
          <w:rFonts w:ascii="Arial" w:cs="Arial" w:eastAsia="Arial" w:hAnsi="Arial"/>
          <w:b/>
          <w:bCs/>
          <w:color w:val="2E75B6"/>
          <w:sz w:val="30"/>
          <w:szCs w:val="30"/>
          <w:rtl/>
        </w:rPr>
        <w:t xml:space="preserve">1. مبادئ OECD لحوكمة الشركات</w:t>
      </w:r>
    </w:p>
    <w:p>
      <w:pPr>
        <w:bidi/>
        <w:spacing w:after="140" w:line="320"/>
        <w:jc w:val="both"/>
      </w:pPr>
      <w:r>
        <w:rPr>
          <w:rFonts w:ascii="Arial" w:cs="Arial" w:eastAsia="Arial" w:hAnsi="Arial"/>
          <w:sz w:val="24"/>
          <w:szCs w:val="24"/>
          <w:rtl/>
        </w:rPr>
        <w:t xml:space="preserve">تُعدّ مبادئ منظمة التعاون الاقتصادي والتنمية المرجعية الأبرز عالمياً، وتتضمن خمسة محاور أساسية:</w:t>
      </w:r>
    </w:p>
    <w:p>
      <w:pPr>
        <w:pStyle w:val="ListParagraph"/>
        <w:numPr>
          <w:ilvl w:val="0"/>
          <w:numId w:val="2"/>
        </w:numPr>
        <w:bidi/>
        <w:spacing w:after="100" w:line="300"/>
        <w:jc w:val="right"/>
      </w:pPr>
      <w:r>
        <w:rPr>
          <w:rFonts w:ascii="Arial" w:cs="Arial" w:eastAsia="Arial" w:hAnsi="Arial"/>
          <w:sz w:val="24"/>
          <w:szCs w:val="24"/>
          <w:rtl/>
        </w:rPr>
        <w:t xml:space="preserve">ضمان أساس قوي للحوكمة الفعّالة.</w:t>
      </w:r>
    </w:p>
    <w:p>
      <w:pPr>
        <w:pStyle w:val="ListParagraph"/>
        <w:numPr>
          <w:ilvl w:val="0"/>
          <w:numId w:val="2"/>
        </w:numPr>
        <w:bidi/>
        <w:spacing w:after="100" w:line="300"/>
        <w:jc w:val="right"/>
      </w:pPr>
      <w:r>
        <w:rPr>
          <w:rFonts w:ascii="Arial" w:cs="Arial" w:eastAsia="Arial" w:hAnsi="Arial"/>
          <w:sz w:val="24"/>
          <w:szCs w:val="24"/>
          <w:rtl/>
        </w:rPr>
        <w:t xml:space="preserve">حقوق المساهمين والمعاملة المتساوية.</w:t>
      </w:r>
    </w:p>
    <w:p>
      <w:pPr>
        <w:pStyle w:val="ListParagraph"/>
        <w:numPr>
          <w:ilvl w:val="0"/>
          <w:numId w:val="2"/>
        </w:numPr>
        <w:bidi/>
        <w:spacing w:after="100" w:line="300"/>
        <w:jc w:val="right"/>
      </w:pPr>
      <w:r>
        <w:rPr>
          <w:rFonts w:ascii="Arial" w:cs="Arial" w:eastAsia="Arial" w:hAnsi="Arial"/>
          <w:sz w:val="24"/>
          <w:szCs w:val="24"/>
          <w:rtl/>
        </w:rPr>
        <w:t xml:space="preserve">دور أصحاب المصالح.</w:t>
      </w:r>
    </w:p>
    <w:p>
      <w:pPr>
        <w:pStyle w:val="ListParagraph"/>
        <w:numPr>
          <w:ilvl w:val="0"/>
          <w:numId w:val="2"/>
        </w:numPr>
        <w:bidi/>
        <w:spacing w:after="100" w:line="300"/>
        <w:jc w:val="right"/>
      </w:pPr>
      <w:r>
        <w:rPr>
          <w:rFonts w:ascii="Arial" w:cs="Arial" w:eastAsia="Arial" w:hAnsi="Arial"/>
          <w:sz w:val="24"/>
          <w:szCs w:val="24"/>
          <w:rtl/>
        </w:rPr>
        <w:t xml:space="preserve">الإفصاح والشفافية.</w:t>
      </w:r>
    </w:p>
    <w:p>
      <w:pPr>
        <w:pStyle w:val="ListParagraph"/>
        <w:numPr>
          <w:ilvl w:val="0"/>
          <w:numId w:val="2"/>
        </w:numPr>
        <w:bidi/>
        <w:spacing w:after="100" w:line="300"/>
        <w:jc w:val="right"/>
      </w:pPr>
      <w:r>
        <w:rPr>
          <w:rFonts w:ascii="Arial" w:cs="Arial" w:eastAsia="Arial" w:hAnsi="Arial"/>
          <w:sz w:val="24"/>
          <w:szCs w:val="24"/>
          <w:rtl/>
        </w:rPr>
        <w:t xml:space="preserve">مسؤوليات مجلس الإدارة.</w:t>
      </w:r>
    </w:p>
    <w:p>
      <w:pPr>
        <w:pStyle w:val="Heading2"/>
        <w:bidi/>
        <w:spacing w:after="160" w:before="280"/>
        <w:jc w:val="right"/>
      </w:pPr>
      <w:r>
        <w:rPr>
          <w:rFonts w:ascii="Arial" w:cs="Arial" w:eastAsia="Arial" w:hAnsi="Arial"/>
          <w:b/>
          <w:bCs/>
          <w:color w:val="2E75B6"/>
          <w:sz w:val="30"/>
          <w:szCs w:val="30"/>
          <w:rtl/>
        </w:rPr>
        <w:t xml:space="preserve">2. المعايير الأمريكية SEC</w:t>
      </w:r>
    </w:p>
    <w:p>
      <w:pPr>
        <w:bidi/>
        <w:spacing w:after="140" w:line="320"/>
        <w:jc w:val="both"/>
      </w:pPr>
      <w:r>
        <w:rPr>
          <w:rFonts w:ascii="Arial" w:cs="Arial" w:eastAsia="Arial" w:hAnsi="Arial"/>
          <w:sz w:val="24"/>
          <w:szCs w:val="24"/>
          <w:rtl/>
        </w:rPr>
        <w:t xml:space="preserve">توفر هيئة الأوراق المالية الأمريكية معايير صارمة للإفصاح وحماية المستثمرين، تشمل:</w:t>
      </w:r>
    </w:p>
    <w:p>
      <w:pPr>
        <w:pStyle w:val="ListParagraph"/>
        <w:numPr>
          <w:ilvl w:val="0"/>
          <w:numId w:val="2"/>
        </w:numPr>
        <w:bidi/>
        <w:spacing w:after="100" w:line="300"/>
        <w:jc w:val="right"/>
      </w:pPr>
      <w:r>
        <w:rPr>
          <w:rFonts w:ascii="Arial" w:cs="Arial" w:eastAsia="Arial" w:hAnsi="Arial"/>
          <w:sz w:val="24"/>
          <w:szCs w:val="24"/>
          <w:rtl/>
        </w:rPr>
        <w:t xml:space="preserve">إفصاحات تفصيلية عن المخاطر.</w:t>
      </w:r>
    </w:p>
    <w:p>
      <w:pPr>
        <w:pStyle w:val="ListParagraph"/>
        <w:numPr>
          <w:ilvl w:val="0"/>
          <w:numId w:val="2"/>
        </w:numPr>
        <w:bidi/>
        <w:spacing w:after="100" w:line="300"/>
        <w:jc w:val="right"/>
      </w:pPr>
      <w:r>
        <w:rPr>
          <w:rFonts w:ascii="Arial" w:cs="Arial" w:eastAsia="Arial" w:hAnsi="Arial"/>
          <w:sz w:val="24"/>
          <w:szCs w:val="24"/>
          <w:rtl/>
        </w:rPr>
        <w:t xml:space="preserve">ضوابط التداول بناءً على المعلومات الداخلية.</w:t>
      </w:r>
    </w:p>
    <w:p>
      <w:pPr>
        <w:pStyle w:val="ListParagraph"/>
        <w:numPr>
          <w:ilvl w:val="0"/>
          <w:numId w:val="2"/>
        </w:numPr>
        <w:bidi/>
        <w:spacing w:after="100" w:line="300"/>
        <w:jc w:val="right"/>
      </w:pPr>
      <w:r>
        <w:rPr>
          <w:rFonts w:ascii="Arial" w:cs="Arial" w:eastAsia="Arial" w:hAnsi="Arial"/>
          <w:sz w:val="24"/>
          <w:szCs w:val="24"/>
          <w:rtl/>
        </w:rPr>
        <w:t xml:space="preserve">التحقق المستقل من القوائم المالية.</w:t>
      </w:r>
    </w:p>
    <w:p>
      <w:pPr>
        <w:pStyle w:val="ListParagraph"/>
        <w:numPr>
          <w:ilvl w:val="0"/>
          <w:numId w:val="2"/>
        </w:numPr>
        <w:bidi/>
        <w:spacing w:after="100" w:line="300"/>
        <w:jc w:val="right"/>
      </w:pPr>
      <w:r>
        <w:rPr>
          <w:rFonts w:ascii="Arial" w:cs="Arial" w:eastAsia="Arial" w:hAnsi="Arial"/>
          <w:sz w:val="24"/>
          <w:szCs w:val="24"/>
          <w:rtl/>
        </w:rPr>
        <w:t xml:space="preserve">الإفصاح عن المكافآت بتفصيل.</w:t>
      </w:r>
    </w:p>
    <w:p>
      <w:pPr>
        <w:pStyle w:val="Heading2"/>
        <w:bidi/>
        <w:spacing w:after="160" w:before="280"/>
        <w:jc w:val="right"/>
      </w:pPr>
      <w:r>
        <w:rPr>
          <w:rFonts w:ascii="Arial" w:cs="Arial" w:eastAsia="Arial" w:hAnsi="Arial"/>
          <w:b/>
          <w:bCs/>
          <w:color w:val="2E75B6"/>
          <w:sz w:val="30"/>
          <w:szCs w:val="30"/>
          <w:rtl/>
        </w:rPr>
        <w:t xml:space="preserve">3. النموذج البريطاني UK Corporate Governance Code</w:t>
      </w:r>
    </w:p>
    <w:p>
      <w:pPr>
        <w:pStyle w:val="ListParagraph"/>
        <w:numPr>
          <w:ilvl w:val="0"/>
          <w:numId w:val="2"/>
        </w:numPr>
        <w:bidi/>
        <w:spacing w:after="100" w:line="300"/>
        <w:jc w:val="right"/>
      </w:pPr>
      <w:r>
        <w:rPr>
          <w:rFonts w:ascii="Arial" w:cs="Arial" w:eastAsia="Arial" w:hAnsi="Arial"/>
          <w:sz w:val="24"/>
          <w:szCs w:val="24"/>
          <w:rtl/>
        </w:rPr>
        <w:t xml:space="preserve">الفصل بين رئيس مجلس الإدارة والرئيس التنفيذي.</w:t>
      </w:r>
    </w:p>
    <w:p>
      <w:pPr>
        <w:pStyle w:val="ListParagraph"/>
        <w:numPr>
          <w:ilvl w:val="0"/>
          <w:numId w:val="2"/>
        </w:numPr>
        <w:bidi/>
        <w:spacing w:after="100" w:line="300"/>
        <w:jc w:val="right"/>
      </w:pPr>
      <w:r>
        <w:rPr>
          <w:rFonts w:ascii="Arial" w:cs="Arial" w:eastAsia="Arial" w:hAnsi="Arial"/>
          <w:sz w:val="24"/>
          <w:szCs w:val="24"/>
          <w:rtl/>
        </w:rPr>
        <w:t xml:space="preserve">الأعضاء المستقلين كأغلبية في المجلس.</w:t>
      </w:r>
    </w:p>
    <w:p>
      <w:pPr>
        <w:pStyle w:val="ListParagraph"/>
        <w:numPr>
          <w:ilvl w:val="0"/>
          <w:numId w:val="2"/>
        </w:numPr>
        <w:bidi/>
        <w:spacing w:after="100" w:line="300"/>
        <w:jc w:val="right"/>
      </w:pPr>
      <w:r>
        <w:rPr>
          <w:rFonts w:ascii="Arial" w:cs="Arial" w:eastAsia="Arial" w:hAnsi="Arial"/>
          <w:sz w:val="24"/>
          <w:szCs w:val="24"/>
          <w:rtl/>
        </w:rPr>
        <w:t xml:space="preserve">لجان متخصصة (مراجعة، ترشيحات ومكافآت، حوكمة).</w:t>
      </w:r>
    </w:p>
    <w:p>
      <w:pPr>
        <w:pStyle w:val="ListParagraph"/>
        <w:numPr>
          <w:ilvl w:val="0"/>
          <w:numId w:val="2"/>
        </w:numPr>
        <w:bidi/>
        <w:spacing w:after="100" w:line="300"/>
        <w:jc w:val="right"/>
      </w:pPr>
      <w:r>
        <w:rPr>
          <w:rFonts w:ascii="Arial" w:cs="Arial" w:eastAsia="Arial" w:hAnsi="Arial"/>
          <w:sz w:val="24"/>
          <w:szCs w:val="24"/>
          <w:rtl/>
        </w:rPr>
        <w:t xml:space="preserve">تقييم دوري لأداء المجلس.</w:t>
      </w:r>
    </w:p>
    <w:p>
      <w:pPr>
        <w:pStyle w:val="Heading2"/>
        <w:bidi/>
        <w:spacing w:after="160" w:before="280"/>
        <w:jc w:val="right"/>
      </w:pPr>
      <w:r>
        <w:rPr>
          <w:rFonts w:ascii="Arial" w:cs="Arial" w:eastAsia="Arial" w:hAnsi="Arial"/>
          <w:b/>
          <w:bCs/>
          <w:color w:val="2E75B6"/>
          <w:sz w:val="30"/>
          <w:szCs w:val="30"/>
          <w:rtl/>
        </w:rPr>
        <w:t xml:space="preserve">4. الممارسات في الأسواق الناشئة</w:t>
      </w:r>
    </w:p>
    <w:p>
      <w:pPr>
        <w:pStyle w:val="ListParagraph"/>
        <w:numPr>
          <w:ilvl w:val="0"/>
          <w:numId w:val="2"/>
        </w:numPr>
        <w:bidi/>
        <w:spacing w:after="100" w:line="300"/>
        <w:jc w:val="right"/>
      </w:pPr>
      <w:r>
        <w:rPr>
          <w:rFonts w:ascii="Arial" w:cs="Arial" w:eastAsia="Arial" w:hAnsi="Arial"/>
          <w:sz w:val="24"/>
          <w:szCs w:val="24"/>
          <w:rtl/>
        </w:rPr>
        <w:t xml:space="preserve">معايير الإفصاح المعزز للمستثمرين الأجانب.</w:t>
      </w:r>
    </w:p>
    <w:p>
      <w:pPr>
        <w:pStyle w:val="ListParagraph"/>
        <w:numPr>
          <w:ilvl w:val="0"/>
          <w:numId w:val="2"/>
        </w:numPr>
        <w:bidi/>
        <w:spacing w:after="100" w:line="300"/>
        <w:jc w:val="right"/>
      </w:pPr>
      <w:r>
        <w:rPr>
          <w:rFonts w:ascii="Arial" w:cs="Arial" w:eastAsia="Arial" w:hAnsi="Arial"/>
          <w:sz w:val="24"/>
          <w:szCs w:val="24"/>
          <w:rtl/>
        </w:rPr>
        <w:t xml:space="preserve">آليات حل النزاعات المتخصصة.</w:t>
      </w:r>
    </w:p>
    <w:p>
      <w:pPr>
        <w:pStyle w:val="ListParagraph"/>
        <w:numPr>
          <w:ilvl w:val="0"/>
          <w:numId w:val="2"/>
        </w:numPr>
        <w:bidi/>
        <w:spacing w:after="100" w:line="300"/>
        <w:jc w:val="right"/>
      </w:pPr>
      <w:r>
        <w:rPr>
          <w:rFonts w:ascii="Arial" w:cs="Arial" w:eastAsia="Arial" w:hAnsi="Arial"/>
          <w:sz w:val="24"/>
          <w:szCs w:val="24"/>
          <w:rtl/>
        </w:rPr>
        <w:t xml:space="preserve">هيئات حماية المستثمرين المستقلة.</w:t>
      </w:r>
    </w:p>
    <w:p>
      <w:pPr>
        <w:pStyle w:val="ListParagraph"/>
        <w:numPr>
          <w:ilvl w:val="0"/>
          <w:numId w:val="2"/>
        </w:numPr>
        <w:bidi/>
        <w:spacing w:after="100" w:line="300"/>
        <w:jc w:val="right"/>
      </w:pPr>
      <w:r>
        <w:rPr>
          <w:rFonts w:ascii="Arial" w:cs="Arial" w:eastAsia="Arial" w:hAnsi="Arial"/>
          <w:sz w:val="24"/>
          <w:szCs w:val="24"/>
          <w:rtl/>
        </w:rPr>
        <w:t xml:space="preserve">برامج تثقيف المستثمرين.</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ثامناً: التحديات في حماية الأقلية</w:t>
      </w:r>
    </w:p>
    <w:p>
      <w:pPr>
        <w:pStyle w:val="Heading2"/>
        <w:bidi/>
        <w:spacing w:after="160" w:before="280"/>
        <w:jc w:val="right"/>
      </w:pPr>
      <w:r>
        <w:rPr>
          <w:rFonts w:ascii="Arial" w:cs="Arial" w:eastAsia="Arial" w:hAnsi="Arial"/>
          <w:b/>
          <w:bCs/>
          <w:color w:val="2E75B6"/>
          <w:sz w:val="30"/>
          <w:szCs w:val="30"/>
          <w:rtl/>
        </w:rPr>
        <w:t xml:space="preserve">1. تكاليف ممارسة الحقوق</w:t>
      </w:r>
    </w:p>
    <w:p>
      <w:pPr>
        <w:bidi/>
        <w:spacing w:after="140" w:line="320"/>
        <w:jc w:val="both"/>
      </w:pPr>
      <w:r>
        <w:rPr>
          <w:rFonts w:ascii="Arial" w:cs="Arial" w:eastAsia="Arial" w:hAnsi="Arial"/>
          <w:sz w:val="24"/>
          <w:szCs w:val="24"/>
          <w:rtl/>
        </w:rPr>
        <w:t xml:space="preserve">التحدي: قد تكون تكلفة ممارسة بعض الحقوق (كرفع الدعاوى) أكبر من قيمة الضرر، مما يثبط الأقلية.</w:t>
      </w:r>
    </w:p>
    <w:p>
      <w:pPr>
        <w:bidi/>
        <w:spacing w:after="140" w:line="320"/>
        <w:jc w:val="both"/>
      </w:pPr>
      <w:r>
        <w:rPr>
          <w:rFonts w:ascii="Arial" w:cs="Arial" w:eastAsia="Arial" w:hAnsi="Arial"/>
          <w:sz w:val="24"/>
          <w:szCs w:val="24"/>
          <w:rtl/>
        </w:rPr>
        <w:t xml:space="preserve">الحلول: تطوير آليات بديلة لحل النزاعات، الدعاوى الجماعية (Class Actions)، توفير دعم قانوني للمستثمرين الأقلية.</w:t>
      </w:r>
    </w:p>
    <w:p>
      <w:pPr>
        <w:pStyle w:val="Heading2"/>
        <w:bidi/>
        <w:spacing w:after="160" w:before="280"/>
        <w:jc w:val="right"/>
      </w:pPr>
      <w:r>
        <w:rPr>
          <w:rFonts w:ascii="Arial" w:cs="Arial" w:eastAsia="Arial" w:hAnsi="Arial"/>
          <w:b/>
          <w:bCs/>
          <w:color w:val="2E75B6"/>
          <w:sz w:val="30"/>
          <w:szCs w:val="30"/>
          <w:rtl/>
        </w:rPr>
        <w:t xml:space="preserve">2. غياب الوعي</w:t>
      </w:r>
    </w:p>
    <w:p>
      <w:pPr>
        <w:bidi/>
        <w:spacing w:after="140" w:line="320"/>
        <w:jc w:val="both"/>
      </w:pPr>
      <w:r>
        <w:rPr>
          <w:rFonts w:ascii="Arial" w:cs="Arial" w:eastAsia="Arial" w:hAnsi="Arial"/>
          <w:sz w:val="24"/>
          <w:szCs w:val="24"/>
          <w:rtl/>
        </w:rPr>
        <w:t xml:space="preserve">التحدي: كثير من المساهمين الأقلية لا يعرفون حقوقهم أو كيفية ممارستها.</w:t>
      </w:r>
    </w:p>
    <w:p>
      <w:pPr>
        <w:bidi/>
        <w:spacing w:after="140" w:line="320"/>
        <w:jc w:val="both"/>
      </w:pPr>
      <w:r>
        <w:rPr>
          <w:rFonts w:ascii="Arial" w:cs="Arial" w:eastAsia="Arial" w:hAnsi="Arial"/>
          <w:sz w:val="24"/>
          <w:szCs w:val="24"/>
          <w:rtl/>
        </w:rPr>
        <w:t xml:space="preserve">الحلول: حملات توعية من الجهات التنظيمية، نشرات تثقيفية، تيسير الوصول للمعلومات.</w:t>
      </w:r>
    </w:p>
    <w:p>
      <w:pPr>
        <w:pStyle w:val="Heading2"/>
        <w:bidi/>
        <w:spacing w:after="160" w:before="280"/>
        <w:jc w:val="right"/>
      </w:pPr>
      <w:r>
        <w:rPr>
          <w:rFonts w:ascii="Arial" w:cs="Arial" w:eastAsia="Arial" w:hAnsi="Arial"/>
          <w:b/>
          <w:bCs/>
          <w:color w:val="2E75B6"/>
          <w:sz w:val="30"/>
          <w:szCs w:val="30"/>
          <w:rtl/>
        </w:rPr>
        <w:t xml:space="preserve">3. تعقيد الإجراءات</w:t>
      </w:r>
    </w:p>
    <w:p>
      <w:pPr>
        <w:bidi/>
        <w:spacing w:after="140" w:line="320"/>
        <w:jc w:val="both"/>
      </w:pPr>
      <w:r>
        <w:rPr>
          <w:rFonts w:ascii="Arial" w:cs="Arial" w:eastAsia="Arial" w:hAnsi="Arial"/>
          <w:sz w:val="24"/>
          <w:szCs w:val="24"/>
          <w:rtl/>
        </w:rPr>
        <w:t xml:space="preserve">التحدي: الإجراءات النظامية قد تكون معقدة وتستغرق وقتاً طويلاً.</w:t>
      </w:r>
    </w:p>
    <w:p>
      <w:pPr>
        <w:bidi/>
        <w:spacing w:after="140" w:line="320"/>
        <w:jc w:val="both"/>
      </w:pPr>
      <w:r>
        <w:rPr>
          <w:rFonts w:ascii="Arial" w:cs="Arial" w:eastAsia="Arial" w:hAnsi="Arial"/>
          <w:sz w:val="24"/>
          <w:szCs w:val="24"/>
          <w:rtl/>
        </w:rPr>
        <w:t xml:space="preserve">الحلول: تبسيط الإجراءات، رقمنة العمليات، وضع جداول زمنية واضحة.</w:t>
      </w:r>
    </w:p>
    <w:p>
      <w:pPr>
        <w:pStyle w:val="Heading2"/>
        <w:bidi/>
        <w:spacing w:after="160" w:before="280"/>
        <w:jc w:val="right"/>
      </w:pPr>
      <w:r>
        <w:rPr>
          <w:rFonts w:ascii="Arial" w:cs="Arial" w:eastAsia="Arial" w:hAnsi="Arial"/>
          <w:b/>
          <w:bCs/>
          <w:color w:val="2E75B6"/>
          <w:sz w:val="30"/>
          <w:szCs w:val="30"/>
          <w:rtl/>
        </w:rPr>
        <w:t xml:space="preserve">4. صعوبة إثبات الضرر</w:t>
      </w:r>
    </w:p>
    <w:p>
      <w:pPr>
        <w:bidi/>
        <w:spacing w:after="140" w:line="320"/>
        <w:jc w:val="both"/>
      </w:pPr>
      <w:r>
        <w:rPr>
          <w:rFonts w:ascii="Arial" w:cs="Arial" w:eastAsia="Arial" w:hAnsi="Arial"/>
          <w:sz w:val="24"/>
          <w:szCs w:val="24"/>
          <w:rtl/>
        </w:rPr>
        <w:t xml:space="preserve">التحدي: في كثير من الحالات، يصعب على الأقلية إثبات الضرر اللاحق بهم من تصرفات الإدارة.</w:t>
      </w:r>
    </w:p>
    <w:p>
      <w:pPr>
        <w:bidi/>
        <w:spacing w:after="140" w:line="320"/>
        <w:jc w:val="both"/>
      </w:pPr>
      <w:r>
        <w:rPr>
          <w:rFonts w:ascii="Arial" w:cs="Arial" w:eastAsia="Arial" w:hAnsi="Arial"/>
          <w:sz w:val="24"/>
          <w:szCs w:val="24"/>
          <w:rtl/>
        </w:rPr>
        <w:t xml:space="preserve">الحلول: تحميل العبء على الإدارة في حالات تضارب المصالح، اشتراط الإفصاح المسبق.</w:t>
      </w:r>
    </w:p>
    <w:p>
      <w:pPr>
        <w:pStyle w:val="Heading2"/>
        <w:bidi/>
        <w:spacing w:after="160" w:before="280"/>
        <w:jc w:val="right"/>
      </w:pPr>
      <w:r>
        <w:rPr>
          <w:rFonts w:ascii="Arial" w:cs="Arial" w:eastAsia="Arial" w:hAnsi="Arial"/>
          <w:b/>
          <w:bCs/>
          <w:color w:val="2E75B6"/>
          <w:sz w:val="30"/>
          <w:szCs w:val="30"/>
          <w:rtl/>
        </w:rPr>
        <w:t xml:space="preserve">5. التشتت الجغرافي</w:t>
      </w:r>
    </w:p>
    <w:p>
      <w:pPr>
        <w:bidi/>
        <w:spacing w:after="140" w:line="320"/>
        <w:jc w:val="both"/>
      </w:pPr>
      <w:r>
        <w:rPr>
          <w:rFonts w:ascii="Arial" w:cs="Arial" w:eastAsia="Arial" w:hAnsi="Arial"/>
          <w:sz w:val="24"/>
          <w:szCs w:val="24"/>
          <w:rtl/>
        </w:rPr>
        <w:t xml:space="preserve">التحدي: المساهمون الأقلية قد يكونون متوزعين جغرافياً، مما يصعّب تنظيمهم.</w:t>
      </w:r>
    </w:p>
    <w:p>
      <w:pPr>
        <w:bidi/>
        <w:spacing w:after="140" w:line="320"/>
        <w:jc w:val="both"/>
      </w:pPr>
      <w:r>
        <w:rPr>
          <w:rFonts w:ascii="Arial" w:cs="Arial" w:eastAsia="Arial" w:hAnsi="Arial"/>
          <w:sz w:val="24"/>
          <w:szCs w:val="24"/>
          <w:rtl/>
        </w:rPr>
        <w:t xml:space="preserve">الحلول: منصات إلكترونية للتواصل، إمكانية التصويت عن بُعد، الجمعيات الافتراضية.</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تاسعاً: أفضل الممارسات للشركات في حماية الأقلية</w:t>
      </w:r>
    </w:p>
    <w:p>
      <w:pPr>
        <w:pStyle w:val="ListParagraph"/>
        <w:numPr>
          <w:ilvl w:val="0"/>
          <w:numId w:val="3"/>
        </w:numPr>
        <w:bidi/>
        <w:spacing w:after="100" w:line="300"/>
        <w:jc w:val="right"/>
      </w:pPr>
      <w:r>
        <w:rPr>
          <w:rFonts w:ascii="Arial" w:cs="Arial" w:eastAsia="Arial" w:hAnsi="Arial"/>
          <w:sz w:val="24"/>
          <w:szCs w:val="24"/>
          <w:rtl/>
        </w:rPr>
        <w:t xml:space="preserve">الشفافية الكاملة: نشر معلومات شاملة ودقيقة بشكل منتظم، وليس مجرد الالتزام بالحد الأدنى من المتطلبات.</w:t>
      </w:r>
    </w:p>
    <w:p>
      <w:pPr>
        <w:pStyle w:val="ListParagraph"/>
        <w:numPr>
          <w:ilvl w:val="0"/>
          <w:numId w:val="3"/>
        </w:numPr>
        <w:bidi/>
        <w:spacing w:after="100" w:line="300"/>
        <w:jc w:val="right"/>
      </w:pPr>
      <w:r>
        <w:rPr>
          <w:rFonts w:ascii="Arial" w:cs="Arial" w:eastAsia="Arial" w:hAnsi="Arial"/>
          <w:sz w:val="24"/>
          <w:szCs w:val="24"/>
          <w:rtl/>
        </w:rPr>
        <w:t xml:space="preserve">التواصل الفعّال: قنوات تواصل متعددة وفعّالة مع المساهمين الأقلية.</w:t>
      </w:r>
    </w:p>
    <w:p>
      <w:pPr>
        <w:pStyle w:val="ListParagraph"/>
        <w:numPr>
          <w:ilvl w:val="0"/>
          <w:numId w:val="3"/>
        </w:numPr>
        <w:bidi/>
        <w:spacing w:after="100" w:line="300"/>
        <w:jc w:val="right"/>
      </w:pPr>
      <w:r>
        <w:rPr>
          <w:rFonts w:ascii="Arial" w:cs="Arial" w:eastAsia="Arial" w:hAnsi="Arial"/>
          <w:sz w:val="24"/>
          <w:szCs w:val="24"/>
          <w:rtl/>
        </w:rPr>
        <w:t xml:space="preserve">الإصغاء للأقلية: عقد لقاءات دورية مع ممثلي المساهمين الأقلية للاستماع لمخاوفهم.</w:t>
      </w:r>
    </w:p>
    <w:p>
      <w:pPr>
        <w:pStyle w:val="ListParagraph"/>
        <w:numPr>
          <w:ilvl w:val="0"/>
          <w:numId w:val="3"/>
        </w:numPr>
        <w:bidi/>
        <w:spacing w:after="100" w:line="300"/>
        <w:jc w:val="right"/>
      </w:pPr>
      <w:r>
        <w:rPr>
          <w:rFonts w:ascii="Arial" w:cs="Arial" w:eastAsia="Arial" w:hAnsi="Arial"/>
          <w:sz w:val="24"/>
          <w:szCs w:val="24"/>
          <w:rtl/>
        </w:rPr>
        <w:t xml:space="preserve">استقلالية مجلس الإدارة: ضمان وجود أعضاء مستقلين بنسبة كافية يمكنهم تمثيل مصالح الأقلية.</w:t>
      </w:r>
    </w:p>
    <w:p>
      <w:pPr>
        <w:pStyle w:val="ListParagraph"/>
        <w:numPr>
          <w:ilvl w:val="0"/>
          <w:numId w:val="3"/>
        </w:numPr>
        <w:bidi/>
        <w:spacing w:after="100" w:line="300"/>
        <w:jc w:val="right"/>
      </w:pPr>
      <w:r>
        <w:rPr>
          <w:rFonts w:ascii="Arial" w:cs="Arial" w:eastAsia="Arial" w:hAnsi="Arial"/>
          <w:sz w:val="24"/>
          <w:szCs w:val="24"/>
          <w:rtl/>
        </w:rPr>
        <w:t xml:space="preserve">لجان متخصصة فعّالة: لجان المراجعة والترشيحات والمكافآت يجب أن تعمل بشكل مستقل.</w:t>
      </w:r>
    </w:p>
    <w:p>
      <w:pPr>
        <w:pStyle w:val="ListParagraph"/>
        <w:numPr>
          <w:ilvl w:val="0"/>
          <w:numId w:val="3"/>
        </w:numPr>
        <w:bidi/>
        <w:spacing w:after="100" w:line="300"/>
        <w:jc w:val="right"/>
      </w:pPr>
      <w:r>
        <w:rPr>
          <w:rFonts w:ascii="Arial" w:cs="Arial" w:eastAsia="Arial" w:hAnsi="Arial"/>
          <w:sz w:val="24"/>
          <w:szCs w:val="24"/>
          <w:rtl/>
        </w:rPr>
        <w:t xml:space="preserve">سياسات صارمة لتعارض المصالح: سياسات مكتوبة وواضحة لإدارة المعاملات مع الأطراف ذات العلاقة.</w:t>
      </w:r>
    </w:p>
    <w:p>
      <w:pPr>
        <w:pStyle w:val="ListParagraph"/>
        <w:numPr>
          <w:ilvl w:val="0"/>
          <w:numId w:val="3"/>
        </w:numPr>
        <w:bidi/>
        <w:spacing w:after="100" w:line="300"/>
        <w:jc w:val="right"/>
      </w:pPr>
      <w:r>
        <w:rPr>
          <w:rFonts w:ascii="Arial" w:cs="Arial" w:eastAsia="Arial" w:hAnsi="Arial"/>
          <w:sz w:val="24"/>
          <w:szCs w:val="24"/>
          <w:rtl/>
        </w:rPr>
        <w:t xml:space="preserve">توزيعات أرباح منتظمة: سياسة توزيع أرباح واضحة ومستقرة قدر الإمكان.</w:t>
      </w:r>
    </w:p>
    <w:p>
      <w:pPr>
        <w:pStyle w:val="ListParagraph"/>
        <w:numPr>
          <w:ilvl w:val="0"/>
          <w:numId w:val="3"/>
        </w:numPr>
        <w:bidi/>
        <w:spacing w:after="100" w:line="300"/>
        <w:jc w:val="right"/>
      </w:pPr>
      <w:r>
        <w:rPr>
          <w:rFonts w:ascii="Arial" w:cs="Arial" w:eastAsia="Arial" w:hAnsi="Arial"/>
          <w:sz w:val="24"/>
          <w:szCs w:val="24"/>
          <w:rtl/>
        </w:rPr>
        <w:t xml:space="preserve">تيسير ممارسة الحقوق: تسهيل ممارسة الأقلية لحقوقهم بدلاً من تعقيد الإجراءات.</w:t>
      </w:r>
    </w:p>
    <w:p>
      <w:pPr>
        <w:pStyle w:val="ListParagraph"/>
        <w:numPr>
          <w:ilvl w:val="0"/>
          <w:numId w:val="3"/>
        </w:numPr>
        <w:bidi/>
        <w:spacing w:after="100" w:line="300"/>
        <w:jc w:val="right"/>
      </w:pPr>
      <w:r>
        <w:rPr>
          <w:rFonts w:ascii="Arial" w:cs="Arial" w:eastAsia="Arial" w:hAnsi="Arial"/>
          <w:sz w:val="24"/>
          <w:szCs w:val="24"/>
          <w:rtl/>
        </w:rPr>
        <w:t xml:space="preserve">التدريب والتثقيف: مساعدة المساهمين على فهم حقوقهم ودورهم.</w:t>
      </w:r>
    </w:p>
    <w:p>
      <w:pPr>
        <w:pStyle w:val="ListParagraph"/>
        <w:numPr>
          <w:ilvl w:val="0"/>
          <w:numId w:val="3"/>
        </w:numPr>
        <w:bidi/>
        <w:spacing w:after="100" w:line="300"/>
        <w:jc w:val="right"/>
      </w:pPr>
      <w:r>
        <w:rPr>
          <w:rFonts w:ascii="Arial" w:cs="Arial" w:eastAsia="Arial" w:hAnsi="Arial"/>
          <w:sz w:val="24"/>
          <w:szCs w:val="24"/>
          <w:rtl/>
        </w:rPr>
        <w:t xml:space="preserve">الاستجابة السريعة: الرد السريع على استفسارات المساهمين ومعالجة شكاواهم.</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عاشراً: قائمة مراجعة لحماية الأقلية</w:t>
      </w:r>
    </w:p>
    <w:p>
      <w:pPr>
        <w:pStyle w:val="Heading3"/>
        <w:bidi/>
        <w:spacing w:after="120" w:before="200"/>
        <w:jc w:val="right"/>
      </w:pPr>
      <w:r>
        <w:rPr>
          <w:rFonts w:ascii="Arial" w:cs="Arial" w:eastAsia="Arial" w:hAnsi="Arial"/>
          <w:b/>
          <w:bCs/>
          <w:color w:val="1F4E79"/>
          <w:sz w:val="26"/>
          <w:szCs w:val="26"/>
          <w:rtl/>
        </w:rPr>
        <w:t xml:space="preserve">على المستوى المؤسسي</w:t>
      </w:r>
    </w:p>
    <w:p>
      <w:pPr>
        <w:pStyle w:val="ListParagraph"/>
        <w:numPr>
          <w:ilvl w:val="0"/>
          <w:numId w:val="2"/>
        </w:numPr>
        <w:bidi/>
        <w:spacing w:after="100" w:line="300"/>
        <w:jc w:val="right"/>
      </w:pPr>
      <w:r>
        <w:rPr>
          <w:rFonts w:ascii="Arial" w:cs="Arial" w:eastAsia="Arial" w:hAnsi="Arial"/>
          <w:sz w:val="24"/>
          <w:szCs w:val="24"/>
          <w:rtl/>
        </w:rPr>
        <w:t xml:space="preserve">سياسات مكتوبة لحوكمة الشركة معتمدة من الجمعية.</w:t>
      </w:r>
    </w:p>
    <w:p>
      <w:pPr>
        <w:pStyle w:val="ListParagraph"/>
        <w:numPr>
          <w:ilvl w:val="0"/>
          <w:numId w:val="2"/>
        </w:numPr>
        <w:bidi/>
        <w:spacing w:after="100" w:line="300"/>
        <w:jc w:val="right"/>
      </w:pPr>
      <w:r>
        <w:rPr>
          <w:rFonts w:ascii="Arial" w:cs="Arial" w:eastAsia="Arial" w:hAnsi="Arial"/>
          <w:sz w:val="24"/>
          <w:szCs w:val="24"/>
          <w:rtl/>
        </w:rPr>
        <w:t xml:space="preserve">استقلالية كافية لمجلس الإدارة (نسبة أعضاء مستقلين).</w:t>
      </w:r>
    </w:p>
    <w:p>
      <w:pPr>
        <w:pStyle w:val="ListParagraph"/>
        <w:numPr>
          <w:ilvl w:val="0"/>
          <w:numId w:val="2"/>
        </w:numPr>
        <w:bidi/>
        <w:spacing w:after="100" w:line="300"/>
        <w:jc w:val="right"/>
      </w:pPr>
      <w:r>
        <w:rPr>
          <w:rFonts w:ascii="Arial" w:cs="Arial" w:eastAsia="Arial" w:hAnsi="Arial"/>
          <w:sz w:val="24"/>
          <w:szCs w:val="24"/>
          <w:rtl/>
        </w:rPr>
        <w:t xml:space="preserve">لجان متخصصة (مراجعة، ترشيحات ومكافآت، إلخ).</w:t>
      </w:r>
    </w:p>
    <w:p>
      <w:pPr>
        <w:pStyle w:val="ListParagraph"/>
        <w:numPr>
          <w:ilvl w:val="0"/>
          <w:numId w:val="2"/>
        </w:numPr>
        <w:bidi/>
        <w:spacing w:after="100" w:line="300"/>
        <w:jc w:val="right"/>
      </w:pPr>
      <w:r>
        <w:rPr>
          <w:rFonts w:ascii="Arial" w:cs="Arial" w:eastAsia="Arial" w:hAnsi="Arial"/>
          <w:sz w:val="24"/>
          <w:szCs w:val="24"/>
          <w:rtl/>
        </w:rPr>
        <w:t xml:space="preserve">ميثاق أخلاقي للشركة.</w:t>
      </w:r>
    </w:p>
    <w:p>
      <w:pPr>
        <w:pStyle w:val="ListParagraph"/>
        <w:numPr>
          <w:ilvl w:val="0"/>
          <w:numId w:val="2"/>
        </w:numPr>
        <w:bidi/>
        <w:spacing w:after="100" w:line="300"/>
        <w:jc w:val="right"/>
      </w:pPr>
      <w:r>
        <w:rPr>
          <w:rFonts w:ascii="Arial" w:cs="Arial" w:eastAsia="Arial" w:hAnsi="Arial"/>
          <w:sz w:val="24"/>
          <w:szCs w:val="24"/>
          <w:rtl/>
        </w:rPr>
        <w:t xml:space="preserve">سياسات لإدارة تعارض المصالح.</w:t>
      </w:r>
    </w:p>
    <w:p>
      <w:pPr>
        <w:pStyle w:val="Heading3"/>
        <w:bidi/>
        <w:spacing w:after="120" w:before="200"/>
        <w:jc w:val="right"/>
      </w:pPr>
      <w:r>
        <w:rPr>
          <w:rFonts w:ascii="Arial" w:cs="Arial" w:eastAsia="Arial" w:hAnsi="Arial"/>
          <w:b/>
          <w:bCs/>
          <w:color w:val="1F4E79"/>
          <w:sz w:val="26"/>
          <w:szCs w:val="26"/>
          <w:rtl/>
        </w:rPr>
        <w:t xml:space="preserve">على مستوى الجمعيات العمومية</w:t>
      </w:r>
    </w:p>
    <w:p>
      <w:pPr>
        <w:pStyle w:val="ListParagraph"/>
        <w:numPr>
          <w:ilvl w:val="0"/>
          <w:numId w:val="2"/>
        </w:numPr>
        <w:bidi/>
        <w:spacing w:after="100" w:line="300"/>
        <w:jc w:val="right"/>
      </w:pPr>
      <w:r>
        <w:rPr>
          <w:rFonts w:ascii="Arial" w:cs="Arial" w:eastAsia="Arial" w:hAnsi="Arial"/>
          <w:sz w:val="24"/>
          <w:szCs w:val="24"/>
          <w:rtl/>
        </w:rPr>
        <w:t xml:space="preserve">إخطار جميع المساهمين بمواعيد الجمعيات بفترة كافية.</w:t>
      </w:r>
    </w:p>
    <w:p>
      <w:pPr>
        <w:pStyle w:val="ListParagraph"/>
        <w:numPr>
          <w:ilvl w:val="0"/>
          <w:numId w:val="2"/>
        </w:numPr>
        <w:bidi/>
        <w:spacing w:after="100" w:line="300"/>
        <w:jc w:val="right"/>
      </w:pPr>
      <w:r>
        <w:rPr>
          <w:rFonts w:ascii="Arial" w:cs="Arial" w:eastAsia="Arial" w:hAnsi="Arial"/>
          <w:sz w:val="24"/>
          <w:szCs w:val="24"/>
          <w:rtl/>
        </w:rPr>
        <w:t xml:space="preserve">نشر جدول الأعمال والوثائق المرفقة قبل الموعد.</w:t>
      </w:r>
    </w:p>
    <w:p>
      <w:pPr>
        <w:pStyle w:val="ListParagraph"/>
        <w:numPr>
          <w:ilvl w:val="0"/>
          <w:numId w:val="2"/>
        </w:numPr>
        <w:bidi/>
        <w:spacing w:after="100" w:line="300"/>
        <w:jc w:val="right"/>
      </w:pPr>
      <w:r>
        <w:rPr>
          <w:rFonts w:ascii="Arial" w:cs="Arial" w:eastAsia="Arial" w:hAnsi="Arial"/>
          <w:sz w:val="24"/>
          <w:szCs w:val="24"/>
          <w:rtl/>
        </w:rPr>
        <w:t xml:space="preserve">تطبيق التصويت التراكمي لانتخاب الأعضاء.</w:t>
      </w:r>
    </w:p>
    <w:p>
      <w:pPr>
        <w:pStyle w:val="ListParagraph"/>
        <w:numPr>
          <w:ilvl w:val="0"/>
          <w:numId w:val="2"/>
        </w:numPr>
        <w:bidi/>
        <w:spacing w:after="100" w:line="300"/>
        <w:jc w:val="right"/>
      </w:pPr>
      <w:r>
        <w:rPr>
          <w:rFonts w:ascii="Arial" w:cs="Arial" w:eastAsia="Arial" w:hAnsi="Arial"/>
          <w:sz w:val="24"/>
          <w:szCs w:val="24"/>
          <w:rtl/>
        </w:rPr>
        <w:t xml:space="preserve">إتاحة التصويت عن بُعد.</w:t>
      </w:r>
    </w:p>
    <w:p>
      <w:pPr>
        <w:pStyle w:val="ListParagraph"/>
        <w:numPr>
          <w:ilvl w:val="0"/>
          <w:numId w:val="2"/>
        </w:numPr>
        <w:bidi/>
        <w:spacing w:after="100" w:line="300"/>
        <w:jc w:val="right"/>
      </w:pPr>
      <w:r>
        <w:rPr>
          <w:rFonts w:ascii="Arial" w:cs="Arial" w:eastAsia="Arial" w:hAnsi="Arial"/>
          <w:sz w:val="24"/>
          <w:szCs w:val="24"/>
          <w:rtl/>
        </w:rPr>
        <w:t xml:space="preserve">توثيق المداولات والاعتراضات في المحاضر.</w:t>
      </w:r>
    </w:p>
    <w:p>
      <w:pPr>
        <w:pStyle w:val="Heading3"/>
        <w:bidi/>
        <w:spacing w:after="120" w:before="200"/>
        <w:jc w:val="right"/>
      </w:pPr>
      <w:r>
        <w:rPr>
          <w:rFonts w:ascii="Arial" w:cs="Arial" w:eastAsia="Arial" w:hAnsi="Arial"/>
          <w:b/>
          <w:bCs/>
          <w:color w:val="1F4E79"/>
          <w:sz w:val="26"/>
          <w:szCs w:val="26"/>
          <w:rtl/>
        </w:rPr>
        <w:t xml:space="preserve">على مستوى الإفصاح</w:t>
      </w:r>
    </w:p>
    <w:p>
      <w:pPr>
        <w:pStyle w:val="ListParagraph"/>
        <w:numPr>
          <w:ilvl w:val="0"/>
          <w:numId w:val="2"/>
        </w:numPr>
        <w:bidi/>
        <w:spacing w:after="100" w:line="300"/>
        <w:jc w:val="right"/>
      </w:pPr>
      <w:r>
        <w:rPr>
          <w:rFonts w:ascii="Arial" w:cs="Arial" w:eastAsia="Arial" w:hAnsi="Arial"/>
          <w:sz w:val="24"/>
          <w:szCs w:val="24"/>
          <w:rtl/>
        </w:rPr>
        <w:t xml:space="preserve">إفصاحات دورية شاملة (ربعية، نصف سنوية، سنوية).</w:t>
      </w:r>
    </w:p>
    <w:p>
      <w:pPr>
        <w:pStyle w:val="ListParagraph"/>
        <w:numPr>
          <w:ilvl w:val="0"/>
          <w:numId w:val="2"/>
        </w:numPr>
        <w:bidi/>
        <w:spacing w:after="100" w:line="300"/>
        <w:jc w:val="right"/>
      </w:pPr>
      <w:r>
        <w:rPr>
          <w:rFonts w:ascii="Arial" w:cs="Arial" w:eastAsia="Arial" w:hAnsi="Arial"/>
          <w:sz w:val="24"/>
          <w:szCs w:val="24"/>
          <w:rtl/>
        </w:rPr>
        <w:t xml:space="preserve">إفصاح فوري عن المعلومات الجوهرية.</w:t>
      </w:r>
    </w:p>
    <w:p>
      <w:pPr>
        <w:pStyle w:val="ListParagraph"/>
        <w:numPr>
          <w:ilvl w:val="0"/>
          <w:numId w:val="2"/>
        </w:numPr>
        <w:bidi/>
        <w:spacing w:after="100" w:line="300"/>
        <w:jc w:val="right"/>
      </w:pPr>
      <w:r>
        <w:rPr>
          <w:rFonts w:ascii="Arial" w:cs="Arial" w:eastAsia="Arial" w:hAnsi="Arial"/>
          <w:sz w:val="24"/>
          <w:szCs w:val="24"/>
          <w:rtl/>
        </w:rPr>
        <w:t xml:space="preserve">الإفصاح عن المعاملات مع الأطراف ذات العلاقة.</w:t>
      </w:r>
    </w:p>
    <w:p>
      <w:pPr>
        <w:pStyle w:val="ListParagraph"/>
        <w:numPr>
          <w:ilvl w:val="0"/>
          <w:numId w:val="2"/>
        </w:numPr>
        <w:bidi/>
        <w:spacing w:after="100" w:line="300"/>
        <w:jc w:val="right"/>
      </w:pPr>
      <w:r>
        <w:rPr>
          <w:rFonts w:ascii="Arial" w:cs="Arial" w:eastAsia="Arial" w:hAnsi="Arial"/>
          <w:sz w:val="24"/>
          <w:szCs w:val="24"/>
          <w:rtl/>
        </w:rPr>
        <w:t xml:space="preserve">الإفصاح عن المكافآت بشفافية.</w:t>
      </w:r>
    </w:p>
    <w:p>
      <w:pPr>
        <w:pStyle w:val="ListParagraph"/>
        <w:numPr>
          <w:ilvl w:val="0"/>
          <w:numId w:val="2"/>
        </w:numPr>
        <w:bidi/>
        <w:spacing w:after="100" w:line="300"/>
        <w:jc w:val="right"/>
      </w:pPr>
      <w:r>
        <w:rPr>
          <w:rFonts w:ascii="Arial" w:cs="Arial" w:eastAsia="Arial" w:hAnsi="Arial"/>
          <w:sz w:val="24"/>
          <w:szCs w:val="24"/>
          <w:rtl/>
        </w:rPr>
        <w:t xml:space="preserve">نشر سياسات وممارسات الحوكمة.</w:t>
      </w:r>
    </w:p>
    <w:p>
      <w:pPr>
        <w:pStyle w:val="Heading3"/>
        <w:bidi/>
        <w:spacing w:after="120" w:before="200"/>
        <w:jc w:val="right"/>
      </w:pPr>
      <w:r>
        <w:rPr>
          <w:rFonts w:ascii="Arial" w:cs="Arial" w:eastAsia="Arial" w:hAnsi="Arial"/>
          <w:b/>
          <w:bCs/>
          <w:color w:val="1F4E79"/>
          <w:sz w:val="26"/>
          <w:szCs w:val="26"/>
          <w:rtl/>
        </w:rPr>
        <w:t xml:space="preserve">على مستوى التواصل</w:t>
      </w:r>
    </w:p>
    <w:p>
      <w:pPr>
        <w:pStyle w:val="ListParagraph"/>
        <w:numPr>
          <w:ilvl w:val="0"/>
          <w:numId w:val="2"/>
        </w:numPr>
        <w:bidi/>
        <w:spacing w:after="100" w:line="300"/>
        <w:jc w:val="right"/>
      </w:pPr>
      <w:r>
        <w:rPr>
          <w:rFonts w:ascii="Arial" w:cs="Arial" w:eastAsia="Arial" w:hAnsi="Arial"/>
          <w:sz w:val="24"/>
          <w:szCs w:val="24"/>
          <w:rtl/>
        </w:rPr>
        <w:t xml:space="preserve">بوابة إلكترونية للمساهمين.</w:t>
      </w:r>
    </w:p>
    <w:p>
      <w:pPr>
        <w:pStyle w:val="ListParagraph"/>
        <w:numPr>
          <w:ilvl w:val="0"/>
          <w:numId w:val="2"/>
        </w:numPr>
        <w:bidi/>
        <w:spacing w:after="100" w:line="300"/>
        <w:jc w:val="right"/>
      </w:pPr>
      <w:r>
        <w:rPr>
          <w:rFonts w:ascii="Arial" w:cs="Arial" w:eastAsia="Arial" w:hAnsi="Arial"/>
          <w:sz w:val="24"/>
          <w:szCs w:val="24"/>
          <w:rtl/>
        </w:rPr>
        <w:t xml:space="preserve">خط ساخن للاستفسارات.</w:t>
      </w:r>
    </w:p>
    <w:p>
      <w:pPr>
        <w:pStyle w:val="ListParagraph"/>
        <w:numPr>
          <w:ilvl w:val="0"/>
          <w:numId w:val="2"/>
        </w:numPr>
        <w:bidi/>
        <w:spacing w:after="100" w:line="300"/>
        <w:jc w:val="right"/>
      </w:pPr>
      <w:r>
        <w:rPr>
          <w:rFonts w:ascii="Arial" w:cs="Arial" w:eastAsia="Arial" w:hAnsi="Arial"/>
          <w:sz w:val="24"/>
          <w:szCs w:val="24"/>
          <w:rtl/>
        </w:rPr>
        <w:t xml:space="preserve">بريد إلكتروني مخصص لعلاقات المستثمرين.</w:t>
      </w:r>
    </w:p>
    <w:p>
      <w:pPr>
        <w:pStyle w:val="ListParagraph"/>
        <w:numPr>
          <w:ilvl w:val="0"/>
          <w:numId w:val="2"/>
        </w:numPr>
        <w:bidi/>
        <w:spacing w:after="100" w:line="300"/>
        <w:jc w:val="right"/>
      </w:pPr>
      <w:r>
        <w:rPr>
          <w:rFonts w:ascii="Arial" w:cs="Arial" w:eastAsia="Arial" w:hAnsi="Arial"/>
          <w:sz w:val="24"/>
          <w:szCs w:val="24"/>
          <w:rtl/>
        </w:rPr>
        <w:t xml:space="preserve">اجتماعات دورية مع المستثمرين.</w:t>
      </w:r>
    </w:p>
    <w:p>
      <w:pPr>
        <w:pStyle w:val="ListParagraph"/>
        <w:numPr>
          <w:ilvl w:val="0"/>
          <w:numId w:val="2"/>
        </w:numPr>
        <w:bidi/>
        <w:spacing w:after="100" w:line="300"/>
        <w:jc w:val="right"/>
      </w:pPr>
      <w:r>
        <w:rPr>
          <w:rFonts w:ascii="Arial" w:cs="Arial" w:eastAsia="Arial" w:hAnsi="Arial"/>
          <w:sz w:val="24"/>
          <w:szCs w:val="24"/>
          <w:rtl/>
        </w:rPr>
        <w:t xml:space="preserve">نشرات إعلامية دورية.</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الخلاصة والنقاط الرئيسية</w:t>
      </w:r>
    </w:p>
    <w:p>
      <w:pPr>
        <w:bidi/>
        <w:spacing w:after="140" w:line="320"/>
        <w:jc w:val="both"/>
      </w:pPr>
      <w:r>
        <w:rPr>
          <w:rFonts w:ascii="Arial" w:cs="Arial" w:eastAsia="Arial" w:hAnsi="Arial"/>
          <w:sz w:val="24"/>
          <w:szCs w:val="24"/>
          <w:rtl/>
        </w:rPr>
        <w:t xml:space="preserve">حماية المساهمين الأقلية ليست منّة من الشركة أو الأغلبية، بل حق نظامي يكفله القانون ويستوجبه مبدأ العدالة والشفافية. والشركات التي تتبنى ممارسات متقدمة في هذا المجال تجني فوائد مستدامة، من تحسين تكاليف رأس المال، إلى تعزيز السمعة، إلى جذب المستثمرين الجادين.</w:t>
      </w:r>
    </w:p>
    <w:p>
      <w:pPr>
        <w:bidi/>
        <w:spacing w:after="140" w:line="320"/>
        <w:jc w:val="both"/>
      </w:pPr>
      <w:r>
        <w:rPr>
          <w:rFonts w:ascii="Arial" w:cs="Arial" w:eastAsia="Arial" w:hAnsi="Arial"/>
          <w:sz w:val="24"/>
          <w:szCs w:val="24"/>
          <w:rtl/>
        </w:rPr>
        <w:t xml:space="preserve">التشريعات السعودية المتقدمة، والإصلاحات المستمرة في إطار رؤية 2030، توفر بيئة مواتية لحماية الأقلية. لكن تطبيق هذه التشريعات بروحها لا بنصها فقط هو ما يصنع الفارق الحقيقي. ودور سجل المساهمين في هذا التطبيق محوري، إذ يُعدّ المرجع لكل عمليات التحقق وممارسة الحقوق.</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2CC" w:val="clear"/>
            <w:tcMar>
              <w:top w:type="dxa" w:w="160"/>
              <w:left w:type="dxa" w:w="200"/>
              <w:bottom w:type="dxa" w:w="160"/>
              <w:right w:type="dxa" w:w="200"/>
            </w:tcMar>
          </w:tcPr>
          <w:p>
            <w:pPr>
              <w:bidi/>
              <w:spacing w:after="100"/>
              <w:jc w:val="right"/>
            </w:pPr>
            <w:r>
              <w:rPr>
                <w:rFonts w:ascii="Arial" w:cs="Arial" w:eastAsia="Arial" w:hAnsi="Arial"/>
                <w:b/>
                <w:bCs/>
                <w:color w:val="1F4E79"/>
                <w:sz w:val="26"/>
                <w:szCs w:val="26"/>
                <w:rtl/>
              </w:rPr>
              <w:t xml:space="preserve">🎯 النقاط الجوهرية للحفظ</w:t>
            </w:r>
          </w:p>
          <w:p>
            <w:pPr>
              <w:bidi/>
              <w:spacing w:line="300"/>
              <w:jc w:val="both"/>
            </w:pPr>
            <w:r>
              <w:rPr>
                <w:rFonts w:ascii="Arial" w:cs="Arial" w:eastAsia="Arial" w:hAnsi="Arial"/>
                <w:sz w:val="24"/>
                <w:szCs w:val="24"/>
                <w:rtl/>
              </w:rPr>
              <w:t xml:space="preserve">1) حماية الأقلية معيار جوهري للحوكمة الرشيدة وتنافسية الأسواق. 2) الأقلية يواجهون مخاطر متعددة من تضارب المصالح إلى التهميش. 3) النسب الحاكمة هي: 5% (أهم العتبات)، 10%، 20%، 25%، 50%، 75%. 4) آليات الحماية الرئيسية: التصويت التراكمي، موافقة الجمعية على معاملات الأطراف ذات العلاقة، حق الاطلاع، الحماية القضائية، الإفصاح. 5) سجل المساهمين الدقيق هو الركيزة لتفعيل جميع هذه الحقوق. 6) المعايير الدولية (OECD، SEC، UK Code) توفر مرجعية متقدمة للشركات السعودية.</w:t>
            </w:r>
          </w:p>
        </w:tc>
      </w:tr>
    </w:tbl>
    <w:p>
      <w:pPr>
        <w:spacing w:after="80"/>
      </w:pPr>
      <w:r>
        <w:rPr>
          <w:sz w:val="16"/>
          <w:szCs w:val="16"/>
        </w:rPr>
        <w:t xml:space="preserve"/>
      </w:r>
    </w:p>
    <w:p>
      <w:pPr>
        <w:spacing w:after="80"/>
      </w:pPr>
      <w:r>
        <w:rPr>
          <w:sz w:val="16"/>
          <w:szCs w:val="16"/>
        </w:rPr>
        <w:t xml:space="preserve"/>
      </w:r>
    </w:p>
    <w:p>
      <w:pPr>
        <w:pStyle w:val="Heading2"/>
        <w:bidi/>
        <w:spacing w:after="160" w:before="280"/>
        <w:jc w:val="right"/>
      </w:pPr>
      <w:r>
        <w:rPr>
          <w:rFonts w:ascii="Arial" w:cs="Arial" w:eastAsia="Arial" w:hAnsi="Arial"/>
          <w:b/>
          <w:bCs/>
          <w:color w:val="2E75B6"/>
          <w:sz w:val="30"/>
          <w:szCs w:val="30"/>
          <w:rtl/>
        </w:rPr>
        <w:t xml:space="preserve">المراجع والمصادر</w:t>
      </w:r>
    </w:p>
    <w:p>
      <w:pPr>
        <w:pStyle w:val="ListParagraph"/>
        <w:numPr>
          <w:ilvl w:val="0"/>
          <w:numId w:val="2"/>
        </w:numPr>
        <w:bidi/>
        <w:spacing w:after="100" w:line="300"/>
        <w:jc w:val="right"/>
      </w:pPr>
      <w:r>
        <w:rPr>
          <w:rFonts w:ascii="Arial" w:cs="Arial" w:eastAsia="Arial" w:hAnsi="Arial"/>
          <w:sz w:val="24"/>
          <w:szCs w:val="24"/>
          <w:rtl/>
        </w:rPr>
        <w:t xml:space="preserve">نظام الشركات السعودي ولائحته التنفيذية.</w:t>
      </w:r>
    </w:p>
    <w:p>
      <w:pPr>
        <w:pStyle w:val="ListParagraph"/>
        <w:numPr>
          <w:ilvl w:val="0"/>
          <w:numId w:val="2"/>
        </w:numPr>
        <w:bidi/>
        <w:spacing w:after="100" w:line="300"/>
        <w:jc w:val="right"/>
      </w:pPr>
      <w:r>
        <w:rPr>
          <w:rFonts w:ascii="Arial" w:cs="Arial" w:eastAsia="Arial" w:hAnsi="Arial"/>
          <w:sz w:val="24"/>
          <w:szCs w:val="24"/>
          <w:rtl/>
        </w:rPr>
        <w:t xml:space="preserve">لائحة حوكمة الشركات، هيئة السوق المالية السعودية.</w:t>
      </w:r>
    </w:p>
    <w:p>
      <w:pPr>
        <w:pStyle w:val="ListParagraph"/>
        <w:numPr>
          <w:ilvl w:val="0"/>
          <w:numId w:val="2"/>
        </w:numPr>
        <w:bidi/>
        <w:spacing w:after="100" w:line="300"/>
        <w:jc w:val="right"/>
      </w:pPr>
      <w:r>
        <w:rPr>
          <w:rFonts w:ascii="Arial" w:cs="Arial" w:eastAsia="Arial" w:hAnsi="Arial"/>
          <w:sz w:val="24"/>
          <w:szCs w:val="24"/>
          <w:rtl/>
        </w:rPr>
        <w:t xml:space="preserve">نظام السوق المالية ولوائحه التنفيذية.</w:t>
      </w:r>
    </w:p>
    <w:p>
      <w:pPr>
        <w:pStyle w:val="ListParagraph"/>
        <w:numPr>
          <w:ilvl w:val="0"/>
          <w:numId w:val="2"/>
        </w:numPr>
        <w:bidi/>
        <w:spacing w:after="100" w:line="300"/>
        <w:jc w:val="right"/>
      </w:pPr>
      <w:r>
        <w:rPr>
          <w:rFonts w:ascii="Arial" w:cs="Arial" w:eastAsia="Arial" w:hAnsi="Arial"/>
          <w:sz w:val="24"/>
          <w:szCs w:val="24"/>
          <w:rtl/>
        </w:rPr>
        <w:t xml:space="preserve">القرار الوزاري لحماية حقوق أقلية المساهمين، وزارة التجارة.</w:t>
      </w:r>
    </w:p>
    <w:p>
      <w:pPr>
        <w:pStyle w:val="ListParagraph"/>
        <w:numPr>
          <w:ilvl w:val="0"/>
          <w:numId w:val="2"/>
        </w:numPr>
        <w:bidi/>
        <w:spacing w:after="100" w:line="300"/>
        <w:jc w:val="right"/>
      </w:pPr>
      <w:r>
        <w:rPr>
          <w:rFonts w:ascii="Arial" w:cs="Arial" w:eastAsia="Arial" w:hAnsi="Arial"/>
          <w:sz w:val="24"/>
          <w:szCs w:val="24"/>
          <w:rtl/>
        </w:rPr>
        <w:t xml:space="preserve">مبادئ منظمة التعاون الاقتصادي والتنمية لحوكمة الشركات (OECD Principles).</w:t>
      </w:r>
    </w:p>
    <w:p>
      <w:pPr>
        <w:pStyle w:val="ListParagraph"/>
        <w:numPr>
          <w:ilvl w:val="0"/>
          <w:numId w:val="2"/>
        </w:numPr>
        <w:bidi/>
        <w:spacing w:after="100" w:line="300"/>
        <w:jc w:val="right"/>
      </w:pPr>
      <w:r>
        <w:rPr>
          <w:rFonts w:ascii="Arial" w:cs="Arial" w:eastAsia="Arial" w:hAnsi="Arial"/>
          <w:sz w:val="24"/>
          <w:szCs w:val="24"/>
          <w:rtl/>
        </w:rPr>
        <w:t xml:space="preserve">مؤشر حماية المستثمرين الأقلية، البنك الدولي.</w:t>
      </w:r>
    </w:p>
    <w:p>
      <w:pPr>
        <w:pStyle w:val="ListParagraph"/>
        <w:numPr>
          <w:ilvl w:val="0"/>
          <w:numId w:val="2"/>
        </w:numPr>
        <w:bidi/>
        <w:spacing w:after="100" w:line="300"/>
        <w:jc w:val="right"/>
      </w:pPr>
      <w:r>
        <w:rPr>
          <w:rFonts w:ascii="Arial" w:cs="Arial" w:eastAsia="Arial" w:hAnsi="Arial"/>
          <w:sz w:val="24"/>
          <w:szCs w:val="24"/>
          <w:rtl/>
        </w:rPr>
        <w:t xml:space="preserve">معايير هيئة الأوراق المالية الأمريكية (SEC).</w:t>
      </w:r>
    </w:p>
    <w:p>
      <w:pPr>
        <w:pStyle w:val="ListParagraph"/>
        <w:numPr>
          <w:ilvl w:val="0"/>
          <w:numId w:val="2"/>
        </w:numPr>
        <w:bidi/>
        <w:spacing w:after="100" w:line="300"/>
        <w:jc w:val="right"/>
      </w:pPr>
      <w:r>
        <w:rPr>
          <w:rFonts w:ascii="Arial" w:cs="Arial" w:eastAsia="Arial" w:hAnsi="Arial"/>
          <w:sz w:val="24"/>
          <w:szCs w:val="24"/>
          <w:rtl/>
        </w:rPr>
        <w:t xml:space="preserve">ميثاق حوكمة الشركات البريطاني (UK Corporate Governance Code).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الصفحة </w:t>
      <w:fldChar w:fldCharType="begin"/>
      <w:instrText xml:space="preserve">PAGE</w:instrText>
      <w:fldChar w:fldCharType="separate"/>
      <w:fldChar w:fldCharType="end"/>
      <w:t xml:space="preserve"> من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bidi/>
      <w:jc w:val="center"/>
    </w:pPr>
    <w:r>
      <w:rPr>
        <w:rFonts w:ascii="Arial" w:cs="Arial" w:eastAsia="Arial" w:hAnsi="Arial"/>
        <w:i/>
        <w:iCs/>
        <w:color w:val="808080"/>
        <w:sz w:val="18"/>
        <w:szCs w:val="18"/>
        <w:rtl/>
      </w:rPr>
      <w:t xml:space="preserve">حقوق المساهمين الأقلية | حوكمة الشركات</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720" w:hanging="360"/>
      </w:pPr>
    </w:lvl>
    <w:lvl w:ilvl="1" w15:tentative="1">
      <w:start w:val="1"/>
      <w:numFmt w:val="bullet"/>
      <w:lvlText w:val="◦"/>
      <w:lvlJc w:val="right"/>
      <w:pPr>
        <w:ind w:right="1080" w:hanging="360"/>
      </w:pPr>
    </w:lvl>
  </w:abstractNum>
  <w:abstractNum w:abstractNumId="3" w15:restartNumberingAfterBreak="0">
    <w:multiLevelType w:val="hybridMultilevel"/>
    <w:lvl w:ilvl="0" w15:tentative="1">
      <w:start w:val="1"/>
      <w:numFmt w:val="decimal"/>
      <w:lvlText w:val="%1."/>
      <w:lvlJc w:val="right"/>
      <w:pPr>
        <w:ind w:righ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حقوق المساهمين الأقلية وحمايتهم</dc:title>
  <dc:creator>Corporate Governance Knowledge Base</dc:creator>
  <cp:lastModifiedBy>Un-named</cp:lastModifiedBy>
  <cp:revision>1</cp:revision>
  <dcterms:created xsi:type="dcterms:W3CDTF">2026-05-16T00:13:38.723Z</dcterms:created>
  <dcterms:modified xsi:type="dcterms:W3CDTF">2026-05-16T00:13:38.739Z</dcterms:modified>
</cp:coreProperties>
</file>

<file path=docProps/custom.xml><?xml version="1.0" encoding="utf-8"?>
<Properties xmlns="http://schemas.openxmlformats.org/officeDocument/2006/custom-properties" xmlns:vt="http://schemas.openxmlformats.org/officeDocument/2006/docPropsVTypes"/>
</file>