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سرية بيانات المساهمين وحماية الخصوصية</w:t>
      </w:r>
    </w:p>
    <w:p>
      <w:pPr>
        <w:bidi/>
        <w:spacing w:after="400"/>
        <w:jc w:val="center"/>
      </w:pPr>
      <w:r>
        <w:rPr>
          <w:rFonts w:ascii="Arial" w:cs="Arial" w:eastAsia="Arial" w:hAnsi="Arial"/>
          <w:i/>
          <w:iCs/>
          <w:color w:val="2E75B6"/>
          <w:sz w:val="26"/>
          <w:szCs w:val="26"/>
          <w:rtl/>
        </w:rPr>
        <w:t xml:space="preserve">نظام حماية البيانات الشخصية (PDPL) وتطبيقاته على سجل المساهمين</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في عصر التحول الرقمي، أصبحت البيانات الشخصية ثروة حقيقية تستوجب حماية قانونية صارمة. وفي سياق إدارة سجل المساهمين، يحوز هذا السجل كميات هائلة من البيانات الشخصية الحساسة - من الأسماء والهويات إلى البيانات المالية والمصرفية - مما يجعل حماية هذه البيانات مسؤولية قانونية وأخلاقية كبرى تقع على عاتق الشركات.</w:t>
      </w:r>
    </w:p>
    <w:p>
      <w:pPr>
        <w:bidi/>
        <w:spacing w:after="140" w:line="320"/>
        <w:jc w:val="both"/>
      </w:pPr>
      <w:r>
        <w:rPr>
          <w:rFonts w:ascii="Arial" w:cs="Arial" w:eastAsia="Arial" w:hAnsi="Arial"/>
          <w:sz w:val="24"/>
          <w:szCs w:val="24"/>
          <w:rtl/>
        </w:rPr>
        <w:t xml:space="preserve">صدر نظام حماية البيانات الشخصية في المملكة العربية السعودية (PDPL) بالمرسوم الملكي رقم (م/19) بتاريخ 9/2/1443هـ، ودخل حيز التنفيذ الكامل في 14 سبتمبر 2024م، ليكون أول تشريع شامل لحماية البيانات في المملكة. ويفرض هذا النظام التزامات تفصيلية على الشركات في تعاملها مع البيانات الشخصية، مع عقوبات صارمة قد تصل إلى 5 ملايين ريال لكل انتهاك، وإلى 10 ملايين ريال في حالات التكرار.</w:t>
      </w:r>
    </w:p>
    <w:p>
      <w:pPr>
        <w:bidi/>
        <w:spacing w:after="140" w:line="320"/>
        <w:jc w:val="both"/>
      </w:pPr>
      <w:r>
        <w:rPr>
          <w:rFonts w:ascii="Arial" w:cs="Arial" w:eastAsia="Arial" w:hAnsi="Arial"/>
          <w:sz w:val="24"/>
          <w:szCs w:val="24"/>
          <w:rtl/>
        </w:rPr>
        <w:t xml:space="preserve">في هذا المقال، نستعرض الإطار القانوني لحماية البيانات الشخصية في المملكة، وأثره على إدارة سجل المساهمين، مع التركيز على المتطلبات العملية والممارسات الواجب تطبيقها لضمان الامتثال الكامل.</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الإطار القانوني لحماية البيانات الشخصية في المملكة</w:t>
      </w:r>
    </w:p>
    <w:p>
      <w:pPr>
        <w:pStyle w:val="Heading2"/>
        <w:bidi/>
        <w:spacing w:after="160" w:before="280"/>
        <w:jc w:val="right"/>
      </w:pPr>
      <w:r>
        <w:rPr>
          <w:rFonts w:ascii="Arial" w:cs="Arial" w:eastAsia="Arial" w:hAnsi="Arial"/>
          <w:b/>
          <w:bCs/>
          <w:color w:val="2E75B6"/>
          <w:sz w:val="30"/>
          <w:szCs w:val="30"/>
          <w:rtl/>
        </w:rPr>
        <w:t xml:space="preserve">1. نظام حماية البيانات الشخصية (PDPL)</w:t>
      </w:r>
    </w:p>
    <w:p>
      <w:pPr>
        <w:bidi/>
        <w:spacing w:after="140" w:line="320"/>
        <w:jc w:val="both"/>
      </w:pPr>
      <w:r>
        <w:rPr>
          <w:rFonts w:ascii="Arial" w:cs="Arial" w:eastAsia="Arial" w:hAnsi="Arial"/>
          <w:sz w:val="24"/>
          <w:szCs w:val="24"/>
          <w:rtl/>
        </w:rPr>
        <w:t xml:space="preserve">صدر النظام بالمرسوم الملكي رقم (م/19) بتاريخ 9/2/1443هـ، وعُدّل بالمرسوم الملكي رقم (م/148) بتاريخ 5/9/1444هـ. ويُعدّ هذا النظام أول قانون شامل لحماية البيانات في المملكة، ويتماشى إلى حد كبير مع المعايير الدولية كاللائحة العامة لحماية البيانات الأوروبية (GDPR).</w:t>
      </w:r>
    </w:p>
    <w:p>
      <w:pPr>
        <w:pStyle w:val="Heading2"/>
        <w:bidi/>
        <w:spacing w:after="160" w:before="280"/>
        <w:jc w:val="right"/>
      </w:pPr>
      <w:r>
        <w:rPr>
          <w:rFonts w:ascii="Arial" w:cs="Arial" w:eastAsia="Arial" w:hAnsi="Arial"/>
          <w:b/>
          <w:bCs/>
          <w:color w:val="2E75B6"/>
          <w:sz w:val="30"/>
          <w:szCs w:val="30"/>
          <w:rtl/>
        </w:rPr>
        <w:t xml:space="preserve">2. اللائحة التنفيذية</w:t>
      </w:r>
    </w:p>
    <w:p>
      <w:pPr>
        <w:bidi/>
        <w:spacing w:after="140" w:line="320"/>
        <w:jc w:val="both"/>
      </w:pPr>
      <w:r>
        <w:rPr>
          <w:rFonts w:ascii="Arial" w:cs="Arial" w:eastAsia="Arial" w:hAnsi="Arial"/>
          <w:sz w:val="24"/>
          <w:szCs w:val="24"/>
          <w:rtl/>
        </w:rPr>
        <w:t xml:space="preserve">صدرت اللائحة التنفيذية لنظام حماية البيانات الشخصية لتوضّح التطبيقات العملية للنظام، وتُحدد التفاصيل الإجرائية المطلوبة من الجهات المتعاملة مع البيانات. وقد دخلت حيز التنفيذ الكامل مع النظام في 14 سبتمبر 2024م.</w:t>
      </w:r>
    </w:p>
    <w:p>
      <w:pPr>
        <w:pStyle w:val="Heading2"/>
        <w:bidi/>
        <w:spacing w:after="160" w:before="280"/>
        <w:jc w:val="right"/>
      </w:pPr>
      <w:r>
        <w:rPr>
          <w:rFonts w:ascii="Arial" w:cs="Arial" w:eastAsia="Arial" w:hAnsi="Arial"/>
          <w:b/>
          <w:bCs/>
          <w:color w:val="2E75B6"/>
          <w:sz w:val="30"/>
          <w:szCs w:val="30"/>
          <w:rtl/>
        </w:rPr>
        <w:t xml:space="preserve">3. الجهة المختصة</w:t>
      </w:r>
    </w:p>
    <w:p>
      <w:pPr>
        <w:bidi/>
        <w:spacing w:after="140" w:line="320"/>
        <w:jc w:val="both"/>
      </w:pPr>
      <w:r>
        <w:rPr>
          <w:rFonts w:ascii="Arial" w:cs="Arial" w:eastAsia="Arial" w:hAnsi="Arial"/>
          <w:sz w:val="24"/>
          <w:szCs w:val="24"/>
          <w:rtl/>
        </w:rPr>
        <w:t xml:space="preserve">تُشرف الهيئة السعودية للبيانات والذكاء الاصطناعي (سدايا) على تطبيق النظام في فترة أولى، عبر المكتب الوطني لإدارة البيانات (NDMO). وتختص هذه الجهة بـ:</w:t>
      </w:r>
    </w:p>
    <w:p>
      <w:pPr>
        <w:pStyle w:val="ListParagraph"/>
        <w:numPr>
          <w:ilvl w:val="0"/>
          <w:numId w:val="2"/>
        </w:numPr>
        <w:bidi/>
        <w:spacing w:after="100" w:line="300"/>
        <w:jc w:val="right"/>
      </w:pPr>
      <w:r>
        <w:rPr>
          <w:rFonts w:ascii="Arial" w:cs="Arial" w:eastAsia="Arial" w:hAnsi="Arial"/>
          <w:sz w:val="24"/>
          <w:szCs w:val="24"/>
          <w:rtl/>
        </w:rPr>
        <w:t xml:space="preserve">إصدار اللوائح التنفيذية والتعاميم التوضيحية.</w:t>
      </w:r>
    </w:p>
    <w:p>
      <w:pPr>
        <w:pStyle w:val="ListParagraph"/>
        <w:numPr>
          <w:ilvl w:val="0"/>
          <w:numId w:val="2"/>
        </w:numPr>
        <w:bidi/>
        <w:spacing w:after="100" w:line="300"/>
        <w:jc w:val="right"/>
      </w:pPr>
      <w:r>
        <w:rPr>
          <w:rFonts w:ascii="Arial" w:cs="Arial" w:eastAsia="Arial" w:hAnsi="Arial"/>
          <w:sz w:val="24"/>
          <w:szCs w:val="24"/>
          <w:rtl/>
        </w:rPr>
        <w:t xml:space="preserve">مراقبة التزام الجهات بأحكام النظام.</w:t>
      </w:r>
    </w:p>
    <w:p>
      <w:pPr>
        <w:pStyle w:val="ListParagraph"/>
        <w:numPr>
          <w:ilvl w:val="0"/>
          <w:numId w:val="2"/>
        </w:numPr>
        <w:bidi/>
        <w:spacing w:after="100" w:line="300"/>
        <w:jc w:val="right"/>
      </w:pPr>
      <w:r>
        <w:rPr>
          <w:rFonts w:ascii="Arial" w:cs="Arial" w:eastAsia="Arial" w:hAnsi="Arial"/>
          <w:sz w:val="24"/>
          <w:szCs w:val="24"/>
          <w:rtl/>
        </w:rPr>
        <w:t xml:space="preserve">تلقي الشكاوى والبلاغات المتعلقة بانتهاكات الخصوصية.</w:t>
      </w:r>
    </w:p>
    <w:p>
      <w:pPr>
        <w:pStyle w:val="ListParagraph"/>
        <w:numPr>
          <w:ilvl w:val="0"/>
          <w:numId w:val="2"/>
        </w:numPr>
        <w:bidi/>
        <w:spacing w:after="100" w:line="300"/>
        <w:jc w:val="right"/>
      </w:pPr>
      <w:r>
        <w:rPr>
          <w:rFonts w:ascii="Arial" w:cs="Arial" w:eastAsia="Arial" w:hAnsi="Arial"/>
          <w:sz w:val="24"/>
          <w:szCs w:val="24"/>
          <w:rtl/>
        </w:rPr>
        <w:t xml:space="preserve">فرض العقوبات على الانتهاكات.</w:t>
      </w:r>
    </w:p>
    <w:p>
      <w:pPr>
        <w:pStyle w:val="ListParagraph"/>
        <w:numPr>
          <w:ilvl w:val="0"/>
          <w:numId w:val="2"/>
        </w:numPr>
        <w:bidi/>
        <w:spacing w:after="100" w:line="300"/>
        <w:jc w:val="right"/>
      </w:pPr>
      <w:r>
        <w:rPr>
          <w:rFonts w:ascii="Arial" w:cs="Arial" w:eastAsia="Arial" w:hAnsi="Arial"/>
          <w:sz w:val="24"/>
          <w:szCs w:val="24"/>
          <w:rtl/>
        </w:rPr>
        <w:t xml:space="preserve">تقديم المشورة للشركات في الامتثال.</w:t>
      </w:r>
    </w:p>
    <w:p>
      <w:pPr>
        <w:pStyle w:val="ListParagraph"/>
        <w:numPr>
          <w:ilvl w:val="0"/>
          <w:numId w:val="2"/>
        </w:numPr>
        <w:bidi/>
        <w:spacing w:after="100" w:line="300"/>
        <w:jc w:val="right"/>
      </w:pPr>
      <w:r>
        <w:rPr>
          <w:rFonts w:ascii="Arial" w:cs="Arial" w:eastAsia="Arial" w:hAnsi="Arial"/>
          <w:sz w:val="24"/>
          <w:szCs w:val="24"/>
          <w:rtl/>
        </w:rPr>
        <w:t xml:space="preserve">إصدار الأدوات التقييمية والإرشادية.</w:t>
      </w:r>
    </w:p>
    <w:p>
      <w:pPr>
        <w:pStyle w:val="Heading2"/>
        <w:bidi/>
        <w:spacing w:after="160" w:before="280"/>
        <w:jc w:val="right"/>
      </w:pPr>
      <w:r>
        <w:rPr>
          <w:rFonts w:ascii="Arial" w:cs="Arial" w:eastAsia="Arial" w:hAnsi="Arial"/>
          <w:b/>
          <w:bCs/>
          <w:color w:val="2E75B6"/>
          <w:sz w:val="30"/>
          <w:szCs w:val="30"/>
          <w:rtl/>
        </w:rPr>
        <w:t xml:space="preserve">4. التوافق مع المعايير الدولية</w:t>
      </w:r>
    </w:p>
    <w:p>
      <w:pPr>
        <w:bidi/>
        <w:spacing w:after="140" w:line="320"/>
        <w:jc w:val="both"/>
      </w:pPr>
      <w:r>
        <w:rPr>
          <w:rFonts w:ascii="Arial" w:cs="Arial" w:eastAsia="Arial" w:hAnsi="Arial"/>
          <w:sz w:val="24"/>
          <w:szCs w:val="24"/>
          <w:rtl/>
        </w:rPr>
        <w:t xml:space="preserve">يتماشى النظام السعودي مع عدة معايير دولية، منها:</w:t>
      </w:r>
    </w:p>
    <w:p>
      <w:pPr>
        <w:pStyle w:val="ListParagraph"/>
        <w:numPr>
          <w:ilvl w:val="0"/>
          <w:numId w:val="2"/>
        </w:numPr>
        <w:bidi/>
        <w:spacing w:after="100" w:line="300"/>
        <w:jc w:val="right"/>
      </w:pPr>
      <w:r>
        <w:rPr>
          <w:rFonts w:ascii="Arial" w:cs="Arial" w:eastAsia="Arial" w:hAnsi="Arial"/>
          <w:sz w:val="24"/>
          <w:szCs w:val="24"/>
          <w:rtl/>
        </w:rPr>
        <w:t xml:space="preserve">اللائحة العامة لحماية البيانات الأوروبية (GDPR).</w:t>
      </w:r>
    </w:p>
    <w:p>
      <w:pPr>
        <w:pStyle w:val="ListParagraph"/>
        <w:numPr>
          <w:ilvl w:val="0"/>
          <w:numId w:val="2"/>
        </w:numPr>
        <w:bidi/>
        <w:spacing w:after="100" w:line="300"/>
        <w:jc w:val="right"/>
      </w:pPr>
      <w:r>
        <w:rPr>
          <w:rFonts w:ascii="Arial" w:cs="Arial" w:eastAsia="Arial" w:hAnsi="Arial"/>
          <w:sz w:val="24"/>
          <w:szCs w:val="24"/>
          <w:rtl/>
        </w:rPr>
        <w:t xml:space="preserve">قانون خصوصية المستهلك في كاليفورنيا (CCPA).</w:t>
      </w:r>
    </w:p>
    <w:p>
      <w:pPr>
        <w:pStyle w:val="ListParagraph"/>
        <w:numPr>
          <w:ilvl w:val="0"/>
          <w:numId w:val="2"/>
        </w:numPr>
        <w:bidi/>
        <w:spacing w:after="100" w:line="300"/>
        <w:jc w:val="right"/>
      </w:pPr>
      <w:r>
        <w:rPr>
          <w:rFonts w:ascii="Arial" w:cs="Arial" w:eastAsia="Arial" w:hAnsi="Arial"/>
          <w:sz w:val="24"/>
          <w:szCs w:val="24"/>
          <w:rtl/>
        </w:rPr>
        <w:t xml:space="preserve">معايير ISO/IEC 27701 لإدارة معلومات الخصوصية.</w:t>
      </w:r>
    </w:p>
    <w:p>
      <w:pPr>
        <w:pStyle w:val="ListParagraph"/>
        <w:numPr>
          <w:ilvl w:val="0"/>
          <w:numId w:val="2"/>
        </w:numPr>
        <w:bidi/>
        <w:spacing w:after="100" w:line="300"/>
        <w:jc w:val="right"/>
      </w:pPr>
      <w:r>
        <w:rPr>
          <w:rFonts w:ascii="Arial" w:cs="Arial" w:eastAsia="Arial" w:hAnsi="Arial"/>
          <w:sz w:val="24"/>
          <w:szCs w:val="24"/>
          <w:rtl/>
        </w:rPr>
        <w:t xml:space="preserve">مبادئ منظمة التعاون الاقتصادي والتنمية لحماية الخصوصية.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المهلة الانتقالية</w:t>
            </w:r>
          </w:p>
          <w:p>
            <w:pPr>
              <w:bidi/>
              <w:spacing w:line="300"/>
              <w:jc w:val="both"/>
            </w:pPr>
            <w:r>
              <w:rPr>
                <w:rFonts w:ascii="Arial" w:cs="Arial" w:eastAsia="Arial" w:hAnsi="Arial"/>
                <w:sz w:val="24"/>
                <w:szCs w:val="24"/>
                <w:rtl/>
              </w:rPr>
              <w:t xml:space="preserve">كانت فترة الامتثال للنظام تنتهي في 14 سبتمبر 2024م، وبعد هذا التاريخ يخضع كل من لا يلتزم للعقوبات النظامية. وتتفاوت العقوبات من تحذير إلى غرامات تصل إلى 5 ملايين ريال، ويمكن للمحكمة مضاعفة الغرامة إلى 10 ملايين ريال في حالات التكرار، إضافة إلى السجن في حالات معينة.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المفاهيم الأساسية في النظام</w:t>
      </w:r>
    </w:p>
    <w:p>
      <w:pPr>
        <w:bidi/>
        <w:spacing w:after="140" w:line="320"/>
        <w:jc w:val="both"/>
      </w:pPr>
      <w:r>
        <w:rPr>
          <w:rFonts w:ascii="Arial" w:cs="Arial" w:eastAsia="Arial" w:hAnsi="Arial"/>
          <w:sz w:val="24"/>
          <w:szCs w:val="24"/>
          <w:rtl/>
        </w:rPr>
        <w:t xml:space="preserve">لفهم تطبيق النظام بشكل صحيح، يجب الإلمام بمصطلحاته الأساسية:</w:t>
      </w:r>
    </w:p>
    <w:p>
      <w:pPr>
        <w:pStyle w:val="Heading2"/>
        <w:bidi/>
        <w:spacing w:after="160" w:before="280"/>
        <w:jc w:val="right"/>
      </w:pPr>
      <w:r>
        <w:rPr>
          <w:rFonts w:ascii="Arial" w:cs="Arial" w:eastAsia="Arial" w:hAnsi="Arial"/>
          <w:b/>
          <w:bCs/>
          <w:color w:val="2E75B6"/>
          <w:sz w:val="30"/>
          <w:szCs w:val="30"/>
          <w:rtl/>
        </w:rPr>
        <w:t xml:space="preserve">1. البيانات الشخصية</w:t>
      </w:r>
    </w:p>
    <w:p>
      <w:pPr>
        <w:bidi/>
        <w:spacing w:after="140" w:line="320"/>
        <w:jc w:val="both"/>
      </w:pPr>
      <w:r>
        <w:rPr>
          <w:rFonts w:ascii="Arial" w:cs="Arial" w:eastAsia="Arial" w:hAnsi="Arial"/>
          <w:sz w:val="24"/>
          <w:szCs w:val="24"/>
          <w:rtl/>
        </w:rPr>
        <w:t xml:space="preserve">هي أي بيانات - كيفما كان مصدرها أو شكلها - يكون من شأنها أن تؤدي إلى التعرف على الفرد بشكل محدد، أو يجعل التعرف عليه ممكناً عند ربطها ببيانات أخرى. وتشمل في سياق سجل المساهمين:</w:t>
      </w:r>
    </w:p>
    <w:p>
      <w:pPr>
        <w:pStyle w:val="ListParagraph"/>
        <w:numPr>
          <w:ilvl w:val="0"/>
          <w:numId w:val="2"/>
        </w:numPr>
        <w:bidi/>
        <w:spacing w:after="100" w:line="300"/>
        <w:jc w:val="right"/>
      </w:pPr>
      <w:r>
        <w:rPr>
          <w:rFonts w:ascii="Arial" w:cs="Arial" w:eastAsia="Arial" w:hAnsi="Arial"/>
          <w:sz w:val="24"/>
          <w:szCs w:val="24"/>
          <w:rtl/>
        </w:rPr>
        <w:t xml:space="preserve">الاسم الكامل.</w:t>
      </w:r>
    </w:p>
    <w:p>
      <w:pPr>
        <w:pStyle w:val="ListParagraph"/>
        <w:numPr>
          <w:ilvl w:val="0"/>
          <w:numId w:val="2"/>
        </w:numPr>
        <w:bidi/>
        <w:spacing w:after="100" w:line="300"/>
        <w:jc w:val="right"/>
      </w:pPr>
      <w:r>
        <w:rPr>
          <w:rFonts w:ascii="Arial" w:cs="Arial" w:eastAsia="Arial" w:hAnsi="Arial"/>
          <w:sz w:val="24"/>
          <w:szCs w:val="24"/>
          <w:rtl/>
        </w:rPr>
        <w:t xml:space="preserve">رقم الهوية الوطنية أو الإقامة أو جواز السفر.</w:t>
      </w:r>
    </w:p>
    <w:p>
      <w:pPr>
        <w:pStyle w:val="ListParagraph"/>
        <w:numPr>
          <w:ilvl w:val="0"/>
          <w:numId w:val="2"/>
        </w:numPr>
        <w:bidi/>
        <w:spacing w:after="100" w:line="300"/>
        <w:jc w:val="right"/>
      </w:pPr>
      <w:r>
        <w:rPr>
          <w:rFonts w:ascii="Arial" w:cs="Arial" w:eastAsia="Arial" w:hAnsi="Arial"/>
          <w:sz w:val="24"/>
          <w:szCs w:val="24"/>
          <w:rtl/>
        </w:rPr>
        <w:t xml:space="preserve">تاريخ الميلاد.</w:t>
      </w:r>
    </w:p>
    <w:p>
      <w:pPr>
        <w:pStyle w:val="ListParagraph"/>
        <w:numPr>
          <w:ilvl w:val="0"/>
          <w:numId w:val="2"/>
        </w:numPr>
        <w:bidi/>
        <w:spacing w:after="100" w:line="300"/>
        <w:jc w:val="right"/>
      </w:pPr>
      <w:r>
        <w:rPr>
          <w:rFonts w:ascii="Arial" w:cs="Arial" w:eastAsia="Arial" w:hAnsi="Arial"/>
          <w:sz w:val="24"/>
          <w:szCs w:val="24"/>
          <w:rtl/>
        </w:rPr>
        <w:t xml:space="preserve">العنوان.</w:t>
      </w:r>
    </w:p>
    <w:p>
      <w:pPr>
        <w:pStyle w:val="ListParagraph"/>
        <w:numPr>
          <w:ilvl w:val="0"/>
          <w:numId w:val="2"/>
        </w:numPr>
        <w:bidi/>
        <w:spacing w:after="100" w:line="300"/>
        <w:jc w:val="right"/>
      </w:pPr>
      <w:r>
        <w:rPr>
          <w:rFonts w:ascii="Arial" w:cs="Arial" w:eastAsia="Arial" w:hAnsi="Arial"/>
          <w:sz w:val="24"/>
          <w:szCs w:val="24"/>
          <w:rtl/>
        </w:rPr>
        <w:t xml:space="preserve">رقم الهاتف والبريد الإلكتروني.</w:t>
      </w:r>
    </w:p>
    <w:p>
      <w:pPr>
        <w:pStyle w:val="ListParagraph"/>
        <w:numPr>
          <w:ilvl w:val="0"/>
          <w:numId w:val="2"/>
        </w:numPr>
        <w:bidi/>
        <w:spacing w:after="100" w:line="300"/>
        <w:jc w:val="right"/>
      </w:pPr>
      <w:r>
        <w:rPr>
          <w:rFonts w:ascii="Arial" w:cs="Arial" w:eastAsia="Arial" w:hAnsi="Arial"/>
          <w:sz w:val="24"/>
          <w:szCs w:val="24"/>
          <w:rtl/>
        </w:rPr>
        <w:t xml:space="preserve">بيانات الحساب المصرفي.</w:t>
      </w:r>
    </w:p>
    <w:p>
      <w:pPr>
        <w:pStyle w:val="ListParagraph"/>
        <w:numPr>
          <w:ilvl w:val="0"/>
          <w:numId w:val="2"/>
        </w:numPr>
        <w:bidi/>
        <w:spacing w:after="100" w:line="300"/>
        <w:jc w:val="right"/>
      </w:pPr>
      <w:r>
        <w:rPr>
          <w:rFonts w:ascii="Arial" w:cs="Arial" w:eastAsia="Arial" w:hAnsi="Arial"/>
          <w:sz w:val="24"/>
          <w:szCs w:val="24"/>
          <w:rtl/>
        </w:rPr>
        <w:t xml:space="preserve">صور الشخص.</w:t>
      </w:r>
    </w:p>
    <w:p>
      <w:pPr>
        <w:pStyle w:val="ListParagraph"/>
        <w:numPr>
          <w:ilvl w:val="0"/>
          <w:numId w:val="2"/>
        </w:numPr>
        <w:bidi/>
        <w:spacing w:after="100" w:line="300"/>
        <w:jc w:val="right"/>
      </w:pPr>
      <w:r>
        <w:rPr>
          <w:rFonts w:ascii="Arial" w:cs="Arial" w:eastAsia="Arial" w:hAnsi="Arial"/>
          <w:sz w:val="24"/>
          <w:szCs w:val="24"/>
          <w:rtl/>
        </w:rPr>
        <w:t xml:space="preserve">بيانات الأسهم وقيمتها.</w:t>
      </w:r>
    </w:p>
    <w:p>
      <w:pPr>
        <w:pStyle w:val="Heading2"/>
        <w:bidi/>
        <w:spacing w:after="160" w:before="280"/>
        <w:jc w:val="right"/>
      </w:pPr>
      <w:r>
        <w:rPr>
          <w:rFonts w:ascii="Arial" w:cs="Arial" w:eastAsia="Arial" w:hAnsi="Arial"/>
          <w:b/>
          <w:bCs/>
          <w:color w:val="2E75B6"/>
          <w:sz w:val="30"/>
          <w:szCs w:val="30"/>
          <w:rtl/>
        </w:rPr>
        <w:t xml:space="preserve">2. البيانات الحساسة</w:t>
      </w:r>
    </w:p>
    <w:p>
      <w:pPr>
        <w:bidi/>
        <w:spacing w:after="140" w:line="320"/>
        <w:jc w:val="both"/>
      </w:pPr>
      <w:r>
        <w:rPr>
          <w:rFonts w:ascii="Arial" w:cs="Arial" w:eastAsia="Arial" w:hAnsi="Arial"/>
          <w:sz w:val="24"/>
          <w:szCs w:val="24"/>
          <w:rtl/>
        </w:rPr>
        <w:t xml:space="preserve">هي بيانات تستوجب حماية مشددة، وتشمل:</w:t>
      </w:r>
    </w:p>
    <w:p>
      <w:pPr>
        <w:pStyle w:val="ListParagraph"/>
        <w:numPr>
          <w:ilvl w:val="0"/>
          <w:numId w:val="2"/>
        </w:numPr>
        <w:bidi/>
        <w:spacing w:after="100" w:line="300"/>
        <w:jc w:val="right"/>
      </w:pPr>
      <w:r>
        <w:rPr>
          <w:rFonts w:ascii="Arial" w:cs="Arial" w:eastAsia="Arial" w:hAnsi="Arial"/>
          <w:sz w:val="24"/>
          <w:szCs w:val="24"/>
          <w:rtl/>
        </w:rPr>
        <w:t xml:space="preserve">البيانات المتعلقة بالأصل العرقي أو الإثني.</w:t>
      </w:r>
    </w:p>
    <w:p>
      <w:pPr>
        <w:pStyle w:val="ListParagraph"/>
        <w:numPr>
          <w:ilvl w:val="0"/>
          <w:numId w:val="2"/>
        </w:numPr>
        <w:bidi/>
        <w:spacing w:after="100" w:line="300"/>
        <w:jc w:val="right"/>
      </w:pPr>
      <w:r>
        <w:rPr>
          <w:rFonts w:ascii="Arial" w:cs="Arial" w:eastAsia="Arial" w:hAnsi="Arial"/>
          <w:sz w:val="24"/>
          <w:szCs w:val="24"/>
          <w:rtl/>
        </w:rPr>
        <w:t xml:space="preserve">المعتقدات الدينية أو الفكرية أو السياسية.</w:t>
      </w:r>
    </w:p>
    <w:p>
      <w:pPr>
        <w:pStyle w:val="ListParagraph"/>
        <w:numPr>
          <w:ilvl w:val="0"/>
          <w:numId w:val="2"/>
        </w:numPr>
        <w:bidi/>
        <w:spacing w:after="100" w:line="300"/>
        <w:jc w:val="right"/>
      </w:pPr>
      <w:r>
        <w:rPr>
          <w:rFonts w:ascii="Arial" w:cs="Arial" w:eastAsia="Arial" w:hAnsi="Arial"/>
          <w:sz w:val="24"/>
          <w:szCs w:val="24"/>
          <w:rtl/>
        </w:rPr>
        <w:t xml:space="preserve">البيانات الأمنية والجنائية.</w:t>
      </w:r>
    </w:p>
    <w:p>
      <w:pPr>
        <w:pStyle w:val="ListParagraph"/>
        <w:numPr>
          <w:ilvl w:val="0"/>
          <w:numId w:val="2"/>
        </w:numPr>
        <w:bidi/>
        <w:spacing w:after="100" w:line="300"/>
        <w:jc w:val="right"/>
      </w:pPr>
      <w:r>
        <w:rPr>
          <w:rFonts w:ascii="Arial" w:cs="Arial" w:eastAsia="Arial" w:hAnsi="Arial"/>
          <w:sz w:val="24"/>
          <w:szCs w:val="24"/>
          <w:rtl/>
        </w:rPr>
        <w:t xml:space="preserve">السمات الحيوية (البيومترية).</w:t>
      </w:r>
    </w:p>
    <w:p>
      <w:pPr>
        <w:pStyle w:val="ListParagraph"/>
        <w:numPr>
          <w:ilvl w:val="0"/>
          <w:numId w:val="2"/>
        </w:numPr>
        <w:bidi/>
        <w:spacing w:after="100" w:line="300"/>
        <w:jc w:val="right"/>
      </w:pPr>
      <w:r>
        <w:rPr>
          <w:rFonts w:ascii="Arial" w:cs="Arial" w:eastAsia="Arial" w:hAnsi="Arial"/>
          <w:sz w:val="24"/>
          <w:szCs w:val="24"/>
          <w:rtl/>
        </w:rPr>
        <w:t xml:space="preserve">البيانات الوراثية والصحية.</w:t>
      </w:r>
    </w:p>
    <w:p>
      <w:pPr>
        <w:pStyle w:val="ListParagraph"/>
        <w:numPr>
          <w:ilvl w:val="0"/>
          <w:numId w:val="2"/>
        </w:numPr>
        <w:bidi/>
        <w:spacing w:after="100" w:line="300"/>
        <w:jc w:val="right"/>
      </w:pPr>
      <w:r>
        <w:rPr>
          <w:rFonts w:ascii="Arial" w:cs="Arial" w:eastAsia="Arial" w:hAnsi="Arial"/>
          <w:sz w:val="24"/>
          <w:szCs w:val="24"/>
          <w:rtl/>
        </w:rPr>
        <w:t xml:space="preserve">البيانات التي تدل على أن الفرد مجهول الأبوين أو أحدهما.</w:t>
      </w:r>
    </w:p>
    <w:p>
      <w:pPr>
        <w:pStyle w:val="Heading2"/>
        <w:bidi/>
        <w:spacing w:after="160" w:before="280"/>
        <w:jc w:val="right"/>
      </w:pPr>
      <w:r>
        <w:rPr>
          <w:rFonts w:ascii="Arial" w:cs="Arial" w:eastAsia="Arial" w:hAnsi="Arial"/>
          <w:b/>
          <w:bCs/>
          <w:color w:val="2E75B6"/>
          <w:sz w:val="30"/>
          <w:szCs w:val="30"/>
          <w:rtl/>
        </w:rPr>
        <w:t xml:space="preserve">3. جهة التحكم (Data Controller)</w:t>
      </w:r>
    </w:p>
    <w:p>
      <w:pPr>
        <w:bidi/>
        <w:spacing w:after="140" w:line="320"/>
        <w:jc w:val="both"/>
      </w:pPr>
      <w:r>
        <w:rPr>
          <w:rFonts w:ascii="Arial" w:cs="Arial" w:eastAsia="Arial" w:hAnsi="Arial"/>
          <w:sz w:val="24"/>
          <w:szCs w:val="24"/>
          <w:rtl/>
        </w:rPr>
        <w:t xml:space="preserve">هي الجهة التي تحدد أغراض ووسائل معالجة البيانات الشخصية. في سياق سجل المساهمين، تكون الشركة المساهمة هي جهة التحكم، وتتحمل المسؤولية الرئيسية عن حماية بيانات مساهميها.</w:t>
      </w:r>
    </w:p>
    <w:p>
      <w:pPr>
        <w:pStyle w:val="Heading2"/>
        <w:bidi/>
        <w:spacing w:after="160" w:before="280"/>
        <w:jc w:val="right"/>
      </w:pPr>
      <w:r>
        <w:rPr>
          <w:rFonts w:ascii="Arial" w:cs="Arial" w:eastAsia="Arial" w:hAnsi="Arial"/>
          <w:b/>
          <w:bCs/>
          <w:color w:val="2E75B6"/>
          <w:sz w:val="30"/>
          <w:szCs w:val="30"/>
          <w:rtl/>
        </w:rPr>
        <w:t xml:space="preserve">4. جهة المعالجة (Data Processor)</w:t>
      </w:r>
    </w:p>
    <w:p>
      <w:pPr>
        <w:bidi/>
        <w:spacing w:after="140" w:line="320"/>
        <w:jc w:val="both"/>
      </w:pPr>
      <w:r>
        <w:rPr>
          <w:rFonts w:ascii="Arial" w:cs="Arial" w:eastAsia="Arial" w:hAnsi="Arial"/>
          <w:sz w:val="24"/>
          <w:szCs w:val="24"/>
          <w:rtl/>
        </w:rPr>
        <w:t xml:space="preserve">هي الجهة التي تعالج البيانات نيابةً عن جهة التحكم، مثل:</w:t>
      </w:r>
    </w:p>
    <w:p>
      <w:pPr>
        <w:pStyle w:val="ListParagraph"/>
        <w:numPr>
          <w:ilvl w:val="0"/>
          <w:numId w:val="2"/>
        </w:numPr>
        <w:bidi/>
        <w:spacing w:after="100" w:line="300"/>
        <w:jc w:val="right"/>
      </w:pPr>
      <w:r>
        <w:rPr>
          <w:rFonts w:ascii="Arial" w:cs="Arial" w:eastAsia="Arial" w:hAnsi="Arial"/>
          <w:sz w:val="24"/>
          <w:szCs w:val="24"/>
          <w:rtl/>
        </w:rPr>
        <w:t xml:space="preserve">مركز إيداع الأوراق المالية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الشركات المتعاقد معها لإدارة السجل.</w:t>
      </w:r>
    </w:p>
    <w:p>
      <w:pPr>
        <w:pStyle w:val="ListParagraph"/>
        <w:numPr>
          <w:ilvl w:val="0"/>
          <w:numId w:val="2"/>
        </w:numPr>
        <w:bidi/>
        <w:spacing w:after="100" w:line="300"/>
        <w:jc w:val="right"/>
      </w:pPr>
      <w:r>
        <w:rPr>
          <w:rFonts w:ascii="Arial" w:cs="Arial" w:eastAsia="Arial" w:hAnsi="Arial"/>
          <w:sz w:val="24"/>
          <w:szCs w:val="24"/>
          <w:rtl/>
        </w:rPr>
        <w:t xml:space="preserve">مزودي الخدمات السحابية.</w:t>
      </w:r>
    </w:p>
    <w:p>
      <w:pPr>
        <w:pStyle w:val="ListParagraph"/>
        <w:numPr>
          <w:ilvl w:val="0"/>
          <w:numId w:val="2"/>
        </w:numPr>
        <w:bidi/>
        <w:spacing w:after="100" w:line="300"/>
        <w:jc w:val="right"/>
      </w:pPr>
      <w:r>
        <w:rPr>
          <w:rFonts w:ascii="Arial" w:cs="Arial" w:eastAsia="Arial" w:hAnsi="Arial"/>
          <w:sz w:val="24"/>
          <w:szCs w:val="24"/>
          <w:rtl/>
        </w:rPr>
        <w:t xml:space="preserve">الشركات المتخصصة في إدارة علاقات المساهمين.</w:t>
      </w:r>
    </w:p>
    <w:p>
      <w:pPr>
        <w:pStyle w:val="Heading2"/>
        <w:bidi/>
        <w:spacing w:after="160" w:before="280"/>
        <w:jc w:val="right"/>
      </w:pPr>
      <w:r>
        <w:rPr>
          <w:rFonts w:ascii="Arial" w:cs="Arial" w:eastAsia="Arial" w:hAnsi="Arial"/>
          <w:b/>
          <w:bCs/>
          <w:color w:val="2E75B6"/>
          <w:sz w:val="30"/>
          <w:szCs w:val="30"/>
          <w:rtl/>
        </w:rPr>
        <w:t xml:space="preserve">5. صاحب البيانات (Data Subject)</w:t>
      </w:r>
    </w:p>
    <w:p>
      <w:pPr>
        <w:bidi/>
        <w:spacing w:after="140" w:line="320"/>
        <w:jc w:val="both"/>
      </w:pPr>
      <w:r>
        <w:rPr>
          <w:rFonts w:ascii="Arial" w:cs="Arial" w:eastAsia="Arial" w:hAnsi="Arial"/>
          <w:sz w:val="24"/>
          <w:szCs w:val="24"/>
          <w:rtl/>
        </w:rPr>
        <w:t xml:space="preserve">هو الشخص الطبيعي الذي تتعلق به البيانات الشخصية. وفي سياق سجل المساهمين، هو المساهم نفسه (للأشخاص الطبيعيين).</w:t>
      </w:r>
    </w:p>
    <w:p>
      <w:pPr>
        <w:pStyle w:val="Heading2"/>
        <w:bidi/>
        <w:spacing w:after="160" w:before="280"/>
        <w:jc w:val="right"/>
      </w:pPr>
      <w:r>
        <w:rPr>
          <w:rFonts w:ascii="Arial" w:cs="Arial" w:eastAsia="Arial" w:hAnsi="Arial"/>
          <w:b/>
          <w:bCs/>
          <w:color w:val="2E75B6"/>
          <w:sz w:val="30"/>
          <w:szCs w:val="30"/>
          <w:rtl/>
        </w:rPr>
        <w:t xml:space="preserve">6. المعالجة (Processing)</w:t>
      </w:r>
    </w:p>
    <w:p>
      <w:pPr>
        <w:bidi/>
        <w:spacing w:after="140" w:line="320"/>
        <w:jc w:val="both"/>
      </w:pPr>
      <w:r>
        <w:rPr>
          <w:rFonts w:ascii="Arial" w:cs="Arial" w:eastAsia="Arial" w:hAnsi="Arial"/>
          <w:sz w:val="24"/>
          <w:szCs w:val="24"/>
          <w:rtl/>
        </w:rPr>
        <w:t xml:space="preserve">هي أي عملية تُجرى على البيانات الشخصية، تشمل: الجمع، التسجيل، التخزين، التعديل، الاسترجاع، الاستخدام، الإفصاح، النشر، النقل، أو الإتلاف.</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المبادئ الأساسية للنظام</w:t>
      </w:r>
    </w:p>
    <w:p>
      <w:pPr>
        <w:bidi/>
        <w:spacing w:after="140" w:line="320"/>
        <w:jc w:val="both"/>
      </w:pPr>
      <w:r>
        <w:rPr>
          <w:rFonts w:ascii="Arial" w:cs="Arial" w:eastAsia="Arial" w:hAnsi="Arial"/>
          <w:sz w:val="24"/>
          <w:szCs w:val="24"/>
          <w:rtl/>
        </w:rPr>
        <w:t xml:space="preserve">يُؤسس النظام لمعالجة البيانات الشخصية على عدة مبادئ أساسية يجب الالتزام بها:</w:t>
      </w:r>
    </w:p>
    <w:p>
      <w:pPr>
        <w:pStyle w:val="Heading2"/>
        <w:bidi/>
        <w:spacing w:after="160" w:before="280"/>
        <w:jc w:val="right"/>
      </w:pPr>
      <w:r>
        <w:rPr>
          <w:rFonts w:ascii="Arial" w:cs="Arial" w:eastAsia="Arial" w:hAnsi="Arial"/>
          <w:b/>
          <w:bCs/>
          <w:color w:val="2E75B6"/>
          <w:sz w:val="30"/>
          <w:szCs w:val="30"/>
          <w:rtl/>
        </w:rPr>
        <w:t xml:space="preserve">1. مبدأ المشروعية</w:t>
      </w:r>
    </w:p>
    <w:p>
      <w:pPr>
        <w:bidi/>
        <w:spacing w:after="140" w:line="320"/>
        <w:jc w:val="both"/>
      </w:pPr>
      <w:r>
        <w:rPr>
          <w:rFonts w:ascii="Arial" w:cs="Arial" w:eastAsia="Arial" w:hAnsi="Arial"/>
          <w:sz w:val="24"/>
          <w:szCs w:val="24"/>
          <w:rtl/>
        </w:rPr>
        <w:t xml:space="preserve">يجب أن تتم معالجة البيانات وفق أحد الأسس النظامية المسموح بها، وهي:</w:t>
      </w:r>
    </w:p>
    <w:p>
      <w:pPr>
        <w:pStyle w:val="ListParagraph"/>
        <w:numPr>
          <w:ilvl w:val="0"/>
          <w:numId w:val="2"/>
        </w:numPr>
        <w:bidi/>
        <w:spacing w:after="100" w:line="300"/>
        <w:jc w:val="right"/>
      </w:pPr>
      <w:r>
        <w:rPr>
          <w:rFonts w:ascii="Arial" w:cs="Arial" w:eastAsia="Arial" w:hAnsi="Arial"/>
          <w:sz w:val="24"/>
          <w:szCs w:val="24"/>
          <w:rtl/>
        </w:rPr>
        <w:t xml:space="preserve">موافقة صاحب البيانات الصريحة.</w:t>
      </w:r>
    </w:p>
    <w:p>
      <w:pPr>
        <w:pStyle w:val="ListParagraph"/>
        <w:numPr>
          <w:ilvl w:val="0"/>
          <w:numId w:val="2"/>
        </w:numPr>
        <w:bidi/>
        <w:spacing w:after="100" w:line="300"/>
        <w:jc w:val="right"/>
      </w:pPr>
      <w:r>
        <w:rPr>
          <w:rFonts w:ascii="Arial" w:cs="Arial" w:eastAsia="Arial" w:hAnsi="Arial"/>
          <w:sz w:val="24"/>
          <w:szCs w:val="24"/>
          <w:rtl/>
        </w:rPr>
        <w:t xml:space="preserve">تنفيذ عقد يكون صاحب البيانات طرفاً فيه.</w:t>
      </w:r>
    </w:p>
    <w:p>
      <w:pPr>
        <w:pStyle w:val="ListParagraph"/>
        <w:numPr>
          <w:ilvl w:val="0"/>
          <w:numId w:val="2"/>
        </w:numPr>
        <w:bidi/>
        <w:spacing w:after="100" w:line="300"/>
        <w:jc w:val="right"/>
      </w:pPr>
      <w:r>
        <w:rPr>
          <w:rFonts w:ascii="Arial" w:cs="Arial" w:eastAsia="Arial" w:hAnsi="Arial"/>
          <w:sz w:val="24"/>
          <w:szCs w:val="24"/>
          <w:rtl/>
        </w:rPr>
        <w:t xml:space="preserve">الالتزام بمتطلب نظامي.</w:t>
      </w:r>
    </w:p>
    <w:p>
      <w:pPr>
        <w:pStyle w:val="ListParagraph"/>
        <w:numPr>
          <w:ilvl w:val="0"/>
          <w:numId w:val="2"/>
        </w:numPr>
        <w:bidi/>
        <w:spacing w:after="100" w:line="300"/>
        <w:jc w:val="right"/>
      </w:pPr>
      <w:r>
        <w:rPr>
          <w:rFonts w:ascii="Arial" w:cs="Arial" w:eastAsia="Arial" w:hAnsi="Arial"/>
          <w:sz w:val="24"/>
          <w:szCs w:val="24"/>
          <w:rtl/>
        </w:rPr>
        <w:t xml:space="preserve">حماية المصالح الحيوية لصاحب البيانات.</w:t>
      </w:r>
    </w:p>
    <w:p>
      <w:pPr>
        <w:pStyle w:val="ListParagraph"/>
        <w:numPr>
          <w:ilvl w:val="0"/>
          <w:numId w:val="2"/>
        </w:numPr>
        <w:bidi/>
        <w:spacing w:after="100" w:line="300"/>
        <w:jc w:val="right"/>
      </w:pPr>
      <w:r>
        <w:rPr>
          <w:rFonts w:ascii="Arial" w:cs="Arial" w:eastAsia="Arial" w:hAnsi="Arial"/>
          <w:sz w:val="24"/>
          <w:szCs w:val="24"/>
          <w:rtl/>
        </w:rPr>
        <w:t xml:space="preserve">المصالح المشروعة لجهة التحكم بما لا يتعارض مع حقوق صاحب البيانات.</w:t>
      </w:r>
    </w:p>
    <w:p>
      <w:pPr>
        <w:pStyle w:val="Heading2"/>
        <w:bidi/>
        <w:spacing w:after="160" w:before="280"/>
        <w:jc w:val="right"/>
      </w:pPr>
      <w:r>
        <w:rPr>
          <w:rFonts w:ascii="Arial" w:cs="Arial" w:eastAsia="Arial" w:hAnsi="Arial"/>
          <w:b/>
          <w:bCs/>
          <w:color w:val="2E75B6"/>
          <w:sz w:val="30"/>
          <w:szCs w:val="30"/>
          <w:rtl/>
        </w:rPr>
        <w:t xml:space="preserve">2. مبدأ تحديد الغرض</w:t>
      </w:r>
    </w:p>
    <w:p>
      <w:pPr>
        <w:bidi/>
        <w:spacing w:after="140" w:line="320"/>
        <w:jc w:val="both"/>
      </w:pPr>
      <w:r>
        <w:rPr>
          <w:rFonts w:ascii="Arial" w:cs="Arial" w:eastAsia="Arial" w:hAnsi="Arial"/>
          <w:sz w:val="24"/>
          <w:szCs w:val="24"/>
          <w:rtl/>
        </w:rPr>
        <w:t xml:space="preserve">يجب أن تكون البيانات مجموعة لغرض محدد وصريح ومشروع، ولا يجوز معالجتها لاحقاً لأغراض تتعارض مع هذا الغرض. في سياق سجل المساهمين، الأغراض الرئيسية تشمل:</w:t>
      </w:r>
    </w:p>
    <w:p>
      <w:pPr>
        <w:pStyle w:val="ListParagraph"/>
        <w:numPr>
          <w:ilvl w:val="0"/>
          <w:numId w:val="2"/>
        </w:numPr>
        <w:bidi/>
        <w:spacing w:after="100" w:line="300"/>
        <w:jc w:val="right"/>
      </w:pPr>
      <w:r>
        <w:rPr>
          <w:rFonts w:ascii="Arial" w:cs="Arial" w:eastAsia="Arial" w:hAnsi="Arial"/>
          <w:sz w:val="24"/>
          <w:szCs w:val="24"/>
          <w:rtl/>
        </w:rPr>
        <w:t xml:space="preserve">إثبات ملكية الأسهم وممارسة الحقوق.</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 بشأن الجمعيات والإفصاحات.</w:t>
      </w:r>
    </w:p>
    <w:p>
      <w:pPr>
        <w:pStyle w:val="ListParagraph"/>
        <w:numPr>
          <w:ilvl w:val="0"/>
          <w:numId w:val="2"/>
        </w:numPr>
        <w:bidi/>
        <w:spacing w:after="100" w:line="300"/>
        <w:jc w:val="right"/>
      </w:pPr>
      <w:r>
        <w:rPr>
          <w:rFonts w:ascii="Arial" w:cs="Arial" w:eastAsia="Arial" w:hAnsi="Arial"/>
          <w:sz w:val="24"/>
          <w:szCs w:val="24"/>
          <w:rtl/>
        </w:rPr>
        <w:t xml:space="preserve">صرف توزيعات الأرباح.</w:t>
      </w:r>
    </w:p>
    <w:p>
      <w:pPr>
        <w:pStyle w:val="ListParagraph"/>
        <w:numPr>
          <w:ilvl w:val="0"/>
          <w:numId w:val="2"/>
        </w:numPr>
        <w:bidi/>
        <w:spacing w:after="100" w:line="300"/>
        <w:jc w:val="right"/>
      </w:pPr>
      <w:r>
        <w:rPr>
          <w:rFonts w:ascii="Arial" w:cs="Arial" w:eastAsia="Arial" w:hAnsi="Arial"/>
          <w:sz w:val="24"/>
          <w:szCs w:val="24"/>
          <w:rtl/>
        </w:rPr>
        <w:t xml:space="preserve">الامتثال للمتطلبات التنظيمية.</w:t>
      </w:r>
    </w:p>
    <w:p>
      <w:pPr>
        <w:pStyle w:val="Heading2"/>
        <w:bidi/>
        <w:spacing w:after="160" w:before="280"/>
        <w:jc w:val="right"/>
      </w:pPr>
      <w:r>
        <w:rPr>
          <w:rFonts w:ascii="Arial" w:cs="Arial" w:eastAsia="Arial" w:hAnsi="Arial"/>
          <w:b/>
          <w:bCs/>
          <w:color w:val="2E75B6"/>
          <w:sz w:val="30"/>
          <w:szCs w:val="30"/>
          <w:rtl/>
        </w:rPr>
        <w:t xml:space="preserve">3. مبدأ التقليل</w:t>
      </w:r>
    </w:p>
    <w:p>
      <w:pPr>
        <w:bidi/>
        <w:spacing w:after="140" w:line="320"/>
        <w:jc w:val="both"/>
      </w:pPr>
      <w:r>
        <w:rPr>
          <w:rFonts w:ascii="Arial" w:cs="Arial" w:eastAsia="Arial" w:hAnsi="Arial"/>
          <w:sz w:val="24"/>
          <w:szCs w:val="24"/>
          <w:rtl/>
        </w:rPr>
        <w:t xml:space="preserve">يجب أن تقتصر البيانات المجمّعة على الحد الأدنى اللازم لتحقيق الغرض. ولا يجوز جمع بيانات إضافية بدون ضرورة موثقة.</w:t>
      </w:r>
    </w:p>
    <w:p>
      <w:pPr>
        <w:pStyle w:val="Heading2"/>
        <w:bidi/>
        <w:spacing w:after="160" w:before="280"/>
        <w:jc w:val="right"/>
      </w:pPr>
      <w:r>
        <w:rPr>
          <w:rFonts w:ascii="Arial" w:cs="Arial" w:eastAsia="Arial" w:hAnsi="Arial"/>
          <w:b/>
          <w:bCs/>
          <w:color w:val="2E75B6"/>
          <w:sz w:val="30"/>
          <w:szCs w:val="30"/>
          <w:rtl/>
        </w:rPr>
        <w:t xml:space="preserve">4. مبدأ الدقة</w:t>
      </w:r>
    </w:p>
    <w:p>
      <w:pPr>
        <w:bidi/>
        <w:spacing w:after="140" w:line="320"/>
        <w:jc w:val="both"/>
      </w:pPr>
      <w:r>
        <w:rPr>
          <w:rFonts w:ascii="Arial" w:cs="Arial" w:eastAsia="Arial" w:hAnsi="Arial"/>
          <w:sz w:val="24"/>
          <w:szCs w:val="24"/>
          <w:rtl/>
        </w:rPr>
        <w:t xml:space="preserve">يجب أن تكون البيانات دقيقة ومحدّثة، وعلى جهة التحكم اتخاذ خطوات معقولة لتصحيح أو حذف البيانات غير الدقيقة.</w:t>
      </w:r>
    </w:p>
    <w:p>
      <w:pPr>
        <w:pStyle w:val="Heading2"/>
        <w:bidi/>
        <w:spacing w:after="160" w:before="280"/>
        <w:jc w:val="right"/>
      </w:pPr>
      <w:r>
        <w:rPr>
          <w:rFonts w:ascii="Arial" w:cs="Arial" w:eastAsia="Arial" w:hAnsi="Arial"/>
          <w:b/>
          <w:bCs/>
          <w:color w:val="2E75B6"/>
          <w:sz w:val="30"/>
          <w:szCs w:val="30"/>
          <w:rtl/>
        </w:rPr>
        <w:t xml:space="preserve">5. مبدأ التحديد الزمني</w:t>
      </w:r>
    </w:p>
    <w:p>
      <w:pPr>
        <w:bidi/>
        <w:spacing w:after="140" w:line="320"/>
        <w:jc w:val="both"/>
      </w:pPr>
      <w:r>
        <w:rPr>
          <w:rFonts w:ascii="Arial" w:cs="Arial" w:eastAsia="Arial" w:hAnsi="Arial"/>
          <w:sz w:val="24"/>
          <w:szCs w:val="24"/>
          <w:rtl/>
        </w:rPr>
        <w:t xml:space="preserve">لا يجوز الاحتفاظ بالبيانات لفترة أطول من اللازم لتحقيق الغرض الذي جُمعت من أجله، إلا إذا اقتضت الأنظمة ذلك.</w:t>
      </w:r>
    </w:p>
    <w:p>
      <w:pPr>
        <w:pStyle w:val="Heading2"/>
        <w:bidi/>
        <w:spacing w:after="160" w:before="280"/>
        <w:jc w:val="right"/>
      </w:pPr>
      <w:r>
        <w:rPr>
          <w:rFonts w:ascii="Arial" w:cs="Arial" w:eastAsia="Arial" w:hAnsi="Arial"/>
          <w:b/>
          <w:bCs/>
          <w:color w:val="2E75B6"/>
          <w:sz w:val="30"/>
          <w:szCs w:val="30"/>
          <w:rtl/>
        </w:rPr>
        <w:t xml:space="preserve">6. مبدأ الأمان والسرية</w:t>
      </w:r>
    </w:p>
    <w:p>
      <w:pPr>
        <w:bidi/>
        <w:spacing w:after="140" w:line="320"/>
        <w:jc w:val="both"/>
      </w:pPr>
      <w:r>
        <w:rPr>
          <w:rFonts w:ascii="Arial" w:cs="Arial" w:eastAsia="Arial" w:hAnsi="Arial"/>
          <w:sz w:val="24"/>
          <w:szCs w:val="24"/>
          <w:rtl/>
        </w:rPr>
        <w:t xml:space="preserve">يجب اتخاذ التدابير التقنية والتنظيمية اللازمة لحماية البيانات من المعالجة غير المشروعة، الفقدان، الإتلاف، أو الإفصاح غير المصرح به.</w:t>
      </w:r>
    </w:p>
    <w:p>
      <w:pPr>
        <w:pStyle w:val="Heading2"/>
        <w:bidi/>
        <w:spacing w:after="160" w:before="280"/>
        <w:jc w:val="right"/>
      </w:pPr>
      <w:r>
        <w:rPr>
          <w:rFonts w:ascii="Arial" w:cs="Arial" w:eastAsia="Arial" w:hAnsi="Arial"/>
          <w:b/>
          <w:bCs/>
          <w:color w:val="2E75B6"/>
          <w:sz w:val="30"/>
          <w:szCs w:val="30"/>
          <w:rtl/>
        </w:rPr>
        <w:t xml:space="preserve">7. مبدأ المساءلة</w:t>
      </w:r>
    </w:p>
    <w:p>
      <w:pPr>
        <w:bidi/>
        <w:spacing w:after="140" w:line="320"/>
        <w:jc w:val="both"/>
      </w:pPr>
      <w:r>
        <w:rPr>
          <w:rFonts w:ascii="Arial" w:cs="Arial" w:eastAsia="Arial" w:hAnsi="Arial"/>
          <w:sz w:val="24"/>
          <w:szCs w:val="24"/>
          <w:rtl/>
        </w:rPr>
        <w:t xml:space="preserve">جهة التحكم مسؤولة عن إثبات الامتثال للنظام، من خلال التوثيق والإجراءات والسياسات الواضحة.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حقوق أصحاب البيانات</w:t>
      </w:r>
    </w:p>
    <w:p>
      <w:pPr>
        <w:bidi/>
        <w:spacing w:after="140" w:line="320"/>
        <w:jc w:val="both"/>
      </w:pPr>
      <w:r>
        <w:rPr>
          <w:rFonts w:ascii="Arial" w:cs="Arial" w:eastAsia="Arial" w:hAnsi="Arial"/>
          <w:sz w:val="24"/>
          <w:szCs w:val="24"/>
          <w:rtl/>
        </w:rPr>
        <w:t xml:space="preserve">منح النظام أصحاب البيانات الشخصية مجموعة من الحقوق التي يجب احترامها وتيسير ممارستها:</w:t>
      </w:r>
    </w:p>
    <w:p>
      <w:pPr>
        <w:pStyle w:val="Heading2"/>
        <w:bidi/>
        <w:spacing w:after="160" w:before="280"/>
        <w:jc w:val="right"/>
      </w:pPr>
      <w:r>
        <w:rPr>
          <w:rFonts w:ascii="Arial" w:cs="Arial" w:eastAsia="Arial" w:hAnsi="Arial"/>
          <w:b/>
          <w:bCs/>
          <w:color w:val="2E75B6"/>
          <w:sz w:val="30"/>
          <w:szCs w:val="30"/>
          <w:rtl/>
        </w:rPr>
        <w:t xml:space="preserve">1. حق العلم</w:t>
      </w:r>
    </w:p>
    <w:p>
      <w:pPr>
        <w:bidi/>
        <w:spacing w:after="140" w:line="320"/>
        <w:jc w:val="both"/>
      </w:pPr>
      <w:r>
        <w:rPr>
          <w:rFonts w:ascii="Arial" w:cs="Arial" w:eastAsia="Arial" w:hAnsi="Arial"/>
          <w:sz w:val="24"/>
          <w:szCs w:val="24"/>
          <w:rtl/>
        </w:rPr>
        <w:t xml:space="preserve">يحق لصاحب البيانات أن يُخطر بكيفية معالجة بياناته:</w:t>
      </w:r>
    </w:p>
    <w:p>
      <w:pPr>
        <w:pStyle w:val="ListParagraph"/>
        <w:numPr>
          <w:ilvl w:val="0"/>
          <w:numId w:val="2"/>
        </w:numPr>
        <w:bidi/>
        <w:spacing w:after="100" w:line="300"/>
        <w:jc w:val="right"/>
      </w:pPr>
      <w:r>
        <w:rPr>
          <w:rFonts w:ascii="Arial" w:cs="Arial" w:eastAsia="Arial" w:hAnsi="Arial"/>
          <w:sz w:val="24"/>
          <w:szCs w:val="24"/>
          <w:rtl/>
        </w:rPr>
        <w:t xml:space="preserve">هوية جهة التحكم وبيانات الاتصال بها.</w:t>
      </w:r>
    </w:p>
    <w:p>
      <w:pPr>
        <w:pStyle w:val="ListParagraph"/>
        <w:numPr>
          <w:ilvl w:val="0"/>
          <w:numId w:val="2"/>
        </w:numPr>
        <w:bidi/>
        <w:spacing w:after="100" w:line="300"/>
        <w:jc w:val="right"/>
      </w:pPr>
      <w:r>
        <w:rPr>
          <w:rFonts w:ascii="Arial" w:cs="Arial" w:eastAsia="Arial" w:hAnsi="Arial"/>
          <w:sz w:val="24"/>
          <w:szCs w:val="24"/>
          <w:rtl/>
        </w:rPr>
        <w:t xml:space="preserve">الغرض من جمع البيانات.</w:t>
      </w:r>
    </w:p>
    <w:p>
      <w:pPr>
        <w:pStyle w:val="ListParagraph"/>
        <w:numPr>
          <w:ilvl w:val="0"/>
          <w:numId w:val="2"/>
        </w:numPr>
        <w:bidi/>
        <w:spacing w:after="100" w:line="300"/>
        <w:jc w:val="right"/>
      </w:pPr>
      <w:r>
        <w:rPr>
          <w:rFonts w:ascii="Arial" w:cs="Arial" w:eastAsia="Arial" w:hAnsi="Arial"/>
          <w:sz w:val="24"/>
          <w:szCs w:val="24"/>
          <w:rtl/>
        </w:rPr>
        <w:t xml:space="preserve">الأساس القانوني للمعالجة.</w:t>
      </w:r>
    </w:p>
    <w:p>
      <w:pPr>
        <w:pStyle w:val="ListParagraph"/>
        <w:numPr>
          <w:ilvl w:val="0"/>
          <w:numId w:val="2"/>
        </w:numPr>
        <w:bidi/>
        <w:spacing w:after="100" w:line="300"/>
        <w:jc w:val="right"/>
      </w:pPr>
      <w:r>
        <w:rPr>
          <w:rFonts w:ascii="Arial" w:cs="Arial" w:eastAsia="Arial" w:hAnsi="Arial"/>
          <w:sz w:val="24"/>
          <w:szCs w:val="24"/>
          <w:rtl/>
        </w:rPr>
        <w:t xml:space="preserve">المدة المتوقعة لحفظ البيانات.</w:t>
      </w:r>
    </w:p>
    <w:p>
      <w:pPr>
        <w:pStyle w:val="ListParagraph"/>
        <w:numPr>
          <w:ilvl w:val="0"/>
          <w:numId w:val="2"/>
        </w:numPr>
        <w:bidi/>
        <w:spacing w:after="100" w:line="300"/>
        <w:jc w:val="right"/>
      </w:pPr>
      <w:r>
        <w:rPr>
          <w:rFonts w:ascii="Arial" w:cs="Arial" w:eastAsia="Arial" w:hAnsi="Arial"/>
          <w:sz w:val="24"/>
          <w:szCs w:val="24"/>
          <w:rtl/>
        </w:rPr>
        <w:t xml:space="preserve">الجهات التي قد تشارك معها البيانات.</w:t>
      </w:r>
    </w:p>
    <w:p>
      <w:pPr>
        <w:pStyle w:val="ListParagraph"/>
        <w:numPr>
          <w:ilvl w:val="0"/>
          <w:numId w:val="2"/>
        </w:numPr>
        <w:bidi/>
        <w:spacing w:after="100" w:line="300"/>
        <w:jc w:val="right"/>
      </w:pPr>
      <w:r>
        <w:rPr>
          <w:rFonts w:ascii="Arial" w:cs="Arial" w:eastAsia="Arial" w:hAnsi="Arial"/>
          <w:sz w:val="24"/>
          <w:szCs w:val="24"/>
          <w:rtl/>
        </w:rPr>
        <w:t xml:space="preserve">حقوقه وكيفية ممارستها.</w:t>
      </w:r>
    </w:p>
    <w:p>
      <w:pPr>
        <w:pStyle w:val="Heading2"/>
        <w:bidi/>
        <w:spacing w:after="160" w:before="280"/>
        <w:jc w:val="right"/>
      </w:pPr>
      <w:r>
        <w:rPr>
          <w:rFonts w:ascii="Arial" w:cs="Arial" w:eastAsia="Arial" w:hAnsi="Arial"/>
          <w:b/>
          <w:bCs/>
          <w:color w:val="2E75B6"/>
          <w:sz w:val="30"/>
          <w:szCs w:val="30"/>
          <w:rtl/>
        </w:rPr>
        <w:t xml:space="preserve">2. حق الوصول إلى البيانات</w:t>
      </w:r>
    </w:p>
    <w:p>
      <w:pPr>
        <w:bidi/>
        <w:spacing w:after="140" w:line="320"/>
        <w:jc w:val="both"/>
      </w:pPr>
      <w:r>
        <w:rPr>
          <w:rFonts w:ascii="Arial" w:cs="Arial" w:eastAsia="Arial" w:hAnsi="Arial"/>
          <w:sz w:val="24"/>
          <w:szCs w:val="24"/>
          <w:rtl/>
        </w:rPr>
        <w:t xml:space="preserve">يحق لصاحب البيانات الاطلاع على بياناته الشخصية المحفوظة لدى جهة التحكم، والحصول على نسخة منها.</w:t>
      </w:r>
    </w:p>
    <w:p>
      <w:pPr>
        <w:pStyle w:val="Heading2"/>
        <w:bidi/>
        <w:spacing w:after="160" w:before="280"/>
        <w:jc w:val="right"/>
      </w:pPr>
      <w:r>
        <w:rPr>
          <w:rFonts w:ascii="Arial" w:cs="Arial" w:eastAsia="Arial" w:hAnsi="Arial"/>
          <w:b/>
          <w:bCs/>
          <w:color w:val="2E75B6"/>
          <w:sz w:val="30"/>
          <w:szCs w:val="30"/>
          <w:rtl/>
        </w:rPr>
        <w:t xml:space="preserve">3. حق التصحيح</w:t>
      </w:r>
    </w:p>
    <w:p>
      <w:pPr>
        <w:bidi/>
        <w:spacing w:after="140" w:line="320"/>
        <w:jc w:val="both"/>
      </w:pPr>
      <w:r>
        <w:rPr>
          <w:rFonts w:ascii="Arial" w:cs="Arial" w:eastAsia="Arial" w:hAnsi="Arial"/>
          <w:sz w:val="24"/>
          <w:szCs w:val="24"/>
          <w:rtl/>
        </w:rPr>
        <w:t xml:space="preserve">يحق لصاحب البيانات طلب تصحيح أو تحديث بياناته الشخصية إذا كانت غير دقيقة أو غير محدّثة.</w:t>
      </w:r>
    </w:p>
    <w:p>
      <w:pPr>
        <w:pStyle w:val="Heading2"/>
        <w:bidi/>
        <w:spacing w:after="160" w:before="280"/>
        <w:jc w:val="right"/>
      </w:pPr>
      <w:r>
        <w:rPr>
          <w:rFonts w:ascii="Arial" w:cs="Arial" w:eastAsia="Arial" w:hAnsi="Arial"/>
          <w:b/>
          <w:bCs/>
          <w:color w:val="2E75B6"/>
          <w:sz w:val="30"/>
          <w:szCs w:val="30"/>
          <w:rtl/>
        </w:rPr>
        <w:t xml:space="preserve">4. حق الإتلاف (الحذف)</w:t>
      </w:r>
    </w:p>
    <w:p>
      <w:pPr>
        <w:bidi/>
        <w:spacing w:after="140" w:line="320"/>
        <w:jc w:val="both"/>
      </w:pPr>
      <w:r>
        <w:rPr>
          <w:rFonts w:ascii="Arial" w:cs="Arial" w:eastAsia="Arial" w:hAnsi="Arial"/>
          <w:sz w:val="24"/>
          <w:szCs w:val="24"/>
          <w:rtl/>
        </w:rPr>
        <w:t xml:space="preserve">يحق لصاحب البيانات طلب إتلاف بياناته الشخصية في حالات محددة:</w:t>
      </w:r>
    </w:p>
    <w:p>
      <w:pPr>
        <w:pStyle w:val="ListParagraph"/>
        <w:numPr>
          <w:ilvl w:val="0"/>
          <w:numId w:val="2"/>
        </w:numPr>
        <w:bidi/>
        <w:spacing w:after="100" w:line="300"/>
        <w:jc w:val="right"/>
      </w:pPr>
      <w:r>
        <w:rPr>
          <w:rFonts w:ascii="Arial" w:cs="Arial" w:eastAsia="Arial" w:hAnsi="Arial"/>
          <w:sz w:val="24"/>
          <w:szCs w:val="24"/>
          <w:rtl/>
        </w:rPr>
        <w:t xml:space="preserve">انتهاء الحاجة منها.</w:t>
      </w:r>
    </w:p>
    <w:p>
      <w:pPr>
        <w:pStyle w:val="ListParagraph"/>
        <w:numPr>
          <w:ilvl w:val="0"/>
          <w:numId w:val="2"/>
        </w:numPr>
        <w:bidi/>
        <w:spacing w:after="100" w:line="300"/>
        <w:jc w:val="right"/>
      </w:pPr>
      <w:r>
        <w:rPr>
          <w:rFonts w:ascii="Arial" w:cs="Arial" w:eastAsia="Arial" w:hAnsi="Arial"/>
          <w:sz w:val="24"/>
          <w:szCs w:val="24"/>
          <w:rtl/>
        </w:rPr>
        <w:t xml:space="preserve">جمعها بطريقة غير نظامية.</w:t>
      </w:r>
    </w:p>
    <w:p>
      <w:pPr>
        <w:pStyle w:val="ListParagraph"/>
        <w:numPr>
          <w:ilvl w:val="0"/>
          <w:numId w:val="2"/>
        </w:numPr>
        <w:bidi/>
        <w:spacing w:after="100" w:line="300"/>
        <w:jc w:val="right"/>
      </w:pPr>
      <w:r>
        <w:rPr>
          <w:rFonts w:ascii="Arial" w:cs="Arial" w:eastAsia="Arial" w:hAnsi="Arial"/>
          <w:sz w:val="24"/>
          <w:szCs w:val="24"/>
          <w:rtl/>
        </w:rPr>
        <w:t xml:space="preserve">سحب الموافقة (في حالات معينة).</w:t>
      </w:r>
    </w:p>
    <w:p>
      <w:pPr>
        <w:pStyle w:val="ListParagraph"/>
        <w:numPr>
          <w:ilvl w:val="0"/>
          <w:numId w:val="2"/>
        </w:numPr>
        <w:bidi/>
        <w:spacing w:after="100" w:line="300"/>
        <w:jc w:val="right"/>
      </w:pPr>
      <w:r>
        <w:rPr>
          <w:rFonts w:ascii="Arial" w:cs="Arial" w:eastAsia="Arial" w:hAnsi="Arial"/>
          <w:sz w:val="24"/>
          <w:szCs w:val="24"/>
          <w:rtl/>
        </w:rPr>
        <w:t xml:space="preserve">معالجتها بشكل مخالف للنظام.</w:t>
      </w:r>
    </w:p>
    <w:p>
      <w:pPr>
        <w:pStyle w:val="Heading2"/>
        <w:bidi/>
        <w:spacing w:after="160" w:before="280"/>
        <w:jc w:val="right"/>
      </w:pPr>
      <w:r>
        <w:rPr>
          <w:rFonts w:ascii="Arial" w:cs="Arial" w:eastAsia="Arial" w:hAnsi="Arial"/>
          <w:b/>
          <w:bCs/>
          <w:color w:val="2E75B6"/>
          <w:sz w:val="30"/>
          <w:szCs w:val="30"/>
          <w:rtl/>
        </w:rPr>
        <w:t xml:space="preserve">5. حق الاعتراض</w:t>
      </w:r>
    </w:p>
    <w:p>
      <w:pPr>
        <w:bidi/>
        <w:spacing w:after="140" w:line="320"/>
        <w:jc w:val="both"/>
      </w:pPr>
      <w:r>
        <w:rPr>
          <w:rFonts w:ascii="Arial" w:cs="Arial" w:eastAsia="Arial" w:hAnsi="Arial"/>
          <w:sz w:val="24"/>
          <w:szCs w:val="24"/>
          <w:rtl/>
        </w:rPr>
        <w:t xml:space="preserve">يحق لصاحب البيانات الاعتراض على معالجة بياناته الشخصية لأغراض محددة، أو طلب تقييد المعالجة لفترة معينة.</w:t>
      </w:r>
    </w:p>
    <w:p>
      <w:pPr>
        <w:pStyle w:val="Heading2"/>
        <w:bidi/>
        <w:spacing w:after="160" w:before="280"/>
        <w:jc w:val="right"/>
      </w:pPr>
      <w:r>
        <w:rPr>
          <w:rFonts w:ascii="Arial" w:cs="Arial" w:eastAsia="Arial" w:hAnsi="Arial"/>
          <w:b/>
          <w:bCs/>
          <w:color w:val="2E75B6"/>
          <w:sz w:val="30"/>
          <w:szCs w:val="30"/>
          <w:rtl/>
        </w:rPr>
        <w:t xml:space="preserve">6. حق العدول عن الموافقة</w:t>
      </w:r>
    </w:p>
    <w:p>
      <w:pPr>
        <w:bidi/>
        <w:spacing w:after="140" w:line="320"/>
        <w:jc w:val="both"/>
      </w:pPr>
      <w:r>
        <w:rPr>
          <w:rFonts w:ascii="Arial" w:cs="Arial" w:eastAsia="Arial" w:hAnsi="Arial"/>
          <w:sz w:val="24"/>
          <w:szCs w:val="24"/>
          <w:rtl/>
        </w:rPr>
        <w:t xml:space="preserve">يحق لصاحب البيانات سحب موافقته في أي وقت، دون التأثير على شرعية المعالجة السابقة.</w:t>
      </w:r>
    </w:p>
    <w:p>
      <w:pPr>
        <w:pStyle w:val="Heading2"/>
        <w:bidi/>
        <w:spacing w:after="160" w:before="280"/>
        <w:jc w:val="right"/>
      </w:pPr>
      <w:r>
        <w:rPr>
          <w:rFonts w:ascii="Arial" w:cs="Arial" w:eastAsia="Arial" w:hAnsi="Arial"/>
          <w:b/>
          <w:bCs/>
          <w:color w:val="2E75B6"/>
          <w:sz w:val="30"/>
          <w:szCs w:val="30"/>
          <w:rtl/>
        </w:rPr>
        <w:t xml:space="preserve">7. حق نقل البيانات</w:t>
      </w:r>
    </w:p>
    <w:p>
      <w:pPr>
        <w:bidi/>
        <w:spacing w:after="140" w:line="320"/>
        <w:jc w:val="both"/>
      </w:pPr>
      <w:r>
        <w:rPr>
          <w:rFonts w:ascii="Arial" w:cs="Arial" w:eastAsia="Arial" w:hAnsi="Arial"/>
          <w:sz w:val="24"/>
          <w:szCs w:val="24"/>
          <w:rtl/>
        </w:rPr>
        <w:t xml:space="preserve">في بعض الحالات، يحق لصاحب البيانات نقل بياناته من جهة تحكم إلى أخرى بصيغة منظمة وقابلة للقراءة آلياً.</w:t>
      </w:r>
    </w:p>
    <w:p>
      <w:pPr>
        <w:pStyle w:val="Heading2"/>
        <w:bidi/>
        <w:spacing w:after="160" w:before="280"/>
        <w:jc w:val="right"/>
      </w:pPr>
      <w:r>
        <w:rPr>
          <w:rFonts w:ascii="Arial" w:cs="Arial" w:eastAsia="Arial" w:hAnsi="Arial"/>
          <w:b/>
          <w:bCs/>
          <w:color w:val="2E75B6"/>
          <w:sz w:val="30"/>
          <w:szCs w:val="30"/>
          <w:rtl/>
        </w:rPr>
        <w:t xml:space="preserve">8. حق الشكوى</w:t>
      </w:r>
    </w:p>
    <w:p>
      <w:pPr>
        <w:bidi/>
        <w:spacing w:after="140" w:line="320"/>
        <w:jc w:val="both"/>
      </w:pPr>
      <w:r>
        <w:rPr>
          <w:rFonts w:ascii="Arial" w:cs="Arial" w:eastAsia="Arial" w:hAnsi="Arial"/>
          <w:sz w:val="24"/>
          <w:szCs w:val="24"/>
          <w:rtl/>
        </w:rPr>
        <w:t xml:space="preserve">يحق لصاحب البيانات تقديم شكوى للهيئة السعودية للبيانات والذكاء الاصطناعي (سدايا) في حال انتهاك حقوقه.</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تطبيقات النظام على سجل المساهمين</w:t>
      </w:r>
    </w:p>
    <w:p>
      <w:pPr>
        <w:bidi/>
        <w:spacing w:after="140" w:line="320"/>
        <w:jc w:val="both"/>
      </w:pPr>
      <w:r>
        <w:rPr>
          <w:rFonts w:ascii="Arial" w:cs="Arial" w:eastAsia="Arial" w:hAnsi="Arial"/>
          <w:sz w:val="24"/>
          <w:szCs w:val="24"/>
          <w:rtl/>
        </w:rPr>
        <w:t xml:space="preserve">لتطبيق نظام PDPL بشكل صحيح في إدارة سجل المساهمين، يجب اتخاذ عدة إجراءات تفصيلية:</w:t>
      </w:r>
    </w:p>
    <w:p>
      <w:pPr>
        <w:pStyle w:val="Heading2"/>
        <w:bidi/>
        <w:spacing w:after="160" w:before="280"/>
        <w:jc w:val="right"/>
      </w:pPr>
      <w:r>
        <w:rPr>
          <w:rFonts w:ascii="Arial" w:cs="Arial" w:eastAsia="Arial" w:hAnsi="Arial"/>
          <w:b/>
          <w:bCs/>
          <w:color w:val="2E75B6"/>
          <w:sz w:val="30"/>
          <w:szCs w:val="30"/>
          <w:rtl/>
        </w:rPr>
        <w:t xml:space="preserve">1. تحديد الأساس القانوني للمعالجة</w:t>
      </w:r>
    </w:p>
    <w:p>
      <w:pPr>
        <w:bidi/>
        <w:spacing w:after="140" w:line="320"/>
        <w:jc w:val="both"/>
      </w:pPr>
      <w:r>
        <w:rPr>
          <w:rFonts w:ascii="Arial" w:cs="Arial" w:eastAsia="Arial" w:hAnsi="Arial"/>
          <w:sz w:val="24"/>
          <w:szCs w:val="24"/>
          <w:rtl/>
        </w:rPr>
        <w:t xml:space="preserve">معظم البيانات في سجل المساهمين تستند إلى عدة أسس قانونية:</w:t>
      </w:r>
    </w:p>
    <w:p>
      <w:pPr>
        <w:pStyle w:val="ListParagraph"/>
        <w:numPr>
          <w:ilvl w:val="0"/>
          <w:numId w:val="2"/>
        </w:numPr>
        <w:bidi/>
        <w:spacing w:after="100" w:line="300"/>
        <w:jc w:val="right"/>
      </w:pPr>
      <w:r>
        <w:rPr>
          <w:rFonts w:ascii="Arial" w:cs="Arial" w:eastAsia="Arial" w:hAnsi="Arial"/>
          <w:sz w:val="24"/>
          <w:szCs w:val="24"/>
          <w:rtl/>
        </w:rPr>
        <w:t xml:space="preserve">الالتزام بمتطلب نظامي (نظام الشركات يُلزم بإمساك السجل).</w:t>
      </w:r>
    </w:p>
    <w:p>
      <w:pPr>
        <w:pStyle w:val="ListParagraph"/>
        <w:numPr>
          <w:ilvl w:val="0"/>
          <w:numId w:val="2"/>
        </w:numPr>
        <w:bidi/>
        <w:spacing w:after="100" w:line="300"/>
        <w:jc w:val="right"/>
      </w:pPr>
      <w:r>
        <w:rPr>
          <w:rFonts w:ascii="Arial" w:cs="Arial" w:eastAsia="Arial" w:hAnsi="Arial"/>
          <w:sz w:val="24"/>
          <w:szCs w:val="24"/>
          <w:rtl/>
        </w:rPr>
        <w:t xml:space="preserve">تنفيذ عقد (علاقة الشركة بمساهمها).</w:t>
      </w:r>
    </w:p>
    <w:p>
      <w:pPr>
        <w:pStyle w:val="ListParagraph"/>
        <w:numPr>
          <w:ilvl w:val="0"/>
          <w:numId w:val="2"/>
        </w:numPr>
        <w:bidi/>
        <w:spacing w:after="100" w:line="300"/>
        <w:jc w:val="right"/>
      </w:pPr>
      <w:r>
        <w:rPr>
          <w:rFonts w:ascii="Arial" w:cs="Arial" w:eastAsia="Arial" w:hAnsi="Arial"/>
          <w:sz w:val="24"/>
          <w:szCs w:val="24"/>
          <w:rtl/>
        </w:rPr>
        <w:t xml:space="preserve">المصالح المشروعة لجهة التحكم (إدارة الشركة).</w:t>
      </w:r>
    </w:p>
    <w:p>
      <w:pPr>
        <w:pStyle w:val="ListParagraph"/>
        <w:numPr>
          <w:ilvl w:val="0"/>
          <w:numId w:val="2"/>
        </w:numPr>
        <w:bidi/>
        <w:spacing w:after="100" w:line="300"/>
        <w:jc w:val="right"/>
      </w:pPr>
      <w:r>
        <w:rPr>
          <w:rFonts w:ascii="Arial" w:cs="Arial" w:eastAsia="Arial" w:hAnsi="Arial"/>
          <w:sz w:val="24"/>
          <w:szCs w:val="24"/>
          <w:rtl/>
        </w:rPr>
        <w:t xml:space="preserve">موافقة صاحب البيانات (لبعض المعالجات الإضافية).</w:t>
      </w:r>
    </w:p>
    <w:p>
      <w:pPr>
        <w:pStyle w:val="Heading2"/>
        <w:bidi/>
        <w:spacing w:after="160" w:before="280"/>
        <w:jc w:val="right"/>
      </w:pPr>
      <w:r>
        <w:rPr>
          <w:rFonts w:ascii="Arial" w:cs="Arial" w:eastAsia="Arial" w:hAnsi="Arial"/>
          <w:b/>
          <w:bCs/>
          <w:color w:val="2E75B6"/>
          <w:sz w:val="30"/>
          <w:szCs w:val="30"/>
          <w:rtl/>
        </w:rPr>
        <w:t xml:space="preserve">2. إعداد إشعار الخصوصية</w:t>
      </w:r>
    </w:p>
    <w:p>
      <w:pPr>
        <w:bidi/>
        <w:spacing w:after="140" w:line="320"/>
        <w:jc w:val="both"/>
      </w:pPr>
      <w:r>
        <w:rPr>
          <w:rFonts w:ascii="Arial" w:cs="Arial" w:eastAsia="Arial" w:hAnsi="Arial"/>
          <w:sz w:val="24"/>
          <w:szCs w:val="24"/>
          <w:rtl/>
        </w:rPr>
        <w:t xml:space="preserve">يجب على الشركة إعداد إشعار خصوصية واضح وشامل للمساهمين، يتضمن:</w:t>
      </w:r>
    </w:p>
    <w:p>
      <w:pPr>
        <w:pStyle w:val="ListParagraph"/>
        <w:numPr>
          <w:ilvl w:val="0"/>
          <w:numId w:val="2"/>
        </w:numPr>
        <w:bidi/>
        <w:spacing w:after="100" w:line="300"/>
        <w:jc w:val="right"/>
      </w:pPr>
      <w:r>
        <w:rPr>
          <w:rFonts w:ascii="Arial" w:cs="Arial" w:eastAsia="Arial" w:hAnsi="Arial"/>
          <w:sz w:val="24"/>
          <w:szCs w:val="24"/>
          <w:rtl/>
        </w:rPr>
        <w:t xml:space="preserve">هوية الشركة وبيانات اتصالها.</w:t>
      </w:r>
    </w:p>
    <w:p>
      <w:pPr>
        <w:pStyle w:val="ListParagraph"/>
        <w:numPr>
          <w:ilvl w:val="0"/>
          <w:numId w:val="2"/>
        </w:numPr>
        <w:bidi/>
        <w:spacing w:after="100" w:line="300"/>
        <w:jc w:val="right"/>
      </w:pPr>
      <w:r>
        <w:rPr>
          <w:rFonts w:ascii="Arial" w:cs="Arial" w:eastAsia="Arial" w:hAnsi="Arial"/>
          <w:sz w:val="24"/>
          <w:szCs w:val="24"/>
          <w:rtl/>
        </w:rPr>
        <w:t xml:space="preserve">بيانات مسؤول حماية البيانات (DPO).</w:t>
      </w:r>
    </w:p>
    <w:p>
      <w:pPr>
        <w:pStyle w:val="ListParagraph"/>
        <w:numPr>
          <w:ilvl w:val="0"/>
          <w:numId w:val="2"/>
        </w:numPr>
        <w:bidi/>
        <w:spacing w:after="100" w:line="300"/>
        <w:jc w:val="right"/>
      </w:pPr>
      <w:r>
        <w:rPr>
          <w:rFonts w:ascii="Arial" w:cs="Arial" w:eastAsia="Arial" w:hAnsi="Arial"/>
          <w:sz w:val="24"/>
          <w:szCs w:val="24"/>
          <w:rtl/>
        </w:rPr>
        <w:t xml:space="preserve">أنواع البيانات الشخصية المعالجة.</w:t>
      </w:r>
    </w:p>
    <w:p>
      <w:pPr>
        <w:pStyle w:val="ListParagraph"/>
        <w:numPr>
          <w:ilvl w:val="0"/>
          <w:numId w:val="2"/>
        </w:numPr>
        <w:bidi/>
        <w:spacing w:after="100" w:line="300"/>
        <w:jc w:val="right"/>
      </w:pPr>
      <w:r>
        <w:rPr>
          <w:rFonts w:ascii="Arial" w:cs="Arial" w:eastAsia="Arial" w:hAnsi="Arial"/>
          <w:sz w:val="24"/>
          <w:szCs w:val="24"/>
          <w:rtl/>
        </w:rPr>
        <w:t xml:space="preserve">أغراض المعالجة والأسس القانونية.</w:t>
      </w:r>
    </w:p>
    <w:p>
      <w:pPr>
        <w:pStyle w:val="ListParagraph"/>
        <w:numPr>
          <w:ilvl w:val="0"/>
          <w:numId w:val="2"/>
        </w:numPr>
        <w:bidi/>
        <w:spacing w:after="100" w:line="300"/>
        <w:jc w:val="right"/>
      </w:pPr>
      <w:r>
        <w:rPr>
          <w:rFonts w:ascii="Arial" w:cs="Arial" w:eastAsia="Arial" w:hAnsi="Arial"/>
          <w:sz w:val="24"/>
          <w:szCs w:val="24"/>
          <w:rtl/>
        </w:rPr>
        <w:t xml:space="preserve">الجهات التي تشارك معها البيانات.</w:t>
      </w:r>
    </w:p>
    <w:p>
      <w:pPr>
        <w:pStyle w:val="ListParagraph"/>
        <w:numPr>
          <w:ilvl w:val="0"/>
          <w:numId w:val="2"/>
        </w:numPr>
        <w:bidi/>
        <w:spacing w:after="100" w:line="300"/>
        <w:jc w:val="right"/>
      </w:pPr>
      <w:r>
        <w:rPr>
          <w:rFonts w:ascii="Arial" w:cs="Arial" w:eastAsia="Arial" w:hAnsi="Arial"/>
          <w:sz w:val="24"/>
          <w:szCs w:val="24"/>
          <w:rtl/>
        </w:rPr>
        <w:t xml:space="preserve">مدد الاحتفاظ بالبيانات.</w:t>
      </w:r>
    </w:p>
    <w:p>
      <w:pPr>
        <w:pStyle w:val="ListParagraph"/>
        <w:numPr>
          <w:ilvl w:val="0"/>
          <w:numId w:val="2"/>
        </w:numPr>
        <w:bidi/>
        <w:spacing w:after="100" w:line="300"/>
        <w:jc w:val="right"/>
      </w:pPr>
      <w:r>
        <w:rPr>
          <w:rFonts w:ascii="Arial" w:cs="Arial" w:eastAsia="Arial" w:hAnsi="Arial"/>
          <w:sz w:val="24"/>
          <w:szCs w:val="24"/>
          <w:rtl/>
        </w:rPr>
        <w:t xml:space="preserve">حقوق المساهمين وآلية ممارستها.</w:t>
      </w:r>
    </w:p>
    <w:p>
      <w:pPr>
        <w:pStyle w:val="ListParagraph"/>
        <w:numPr>
          <w:ilvl w:val="0"/>
          <w:numId w:val="2"/>
        </w:numPr>
        <w:bidi/>
        <w:spacing w:after="100" w:line="300"/>
        <w:jc w:val="right"/>
      </w:pPr>
      <w:r>
        <w:rPr>
          <w:rFonts w:ascii="Arial" w:cs="Arial" w:eastAsia="Arial" w:hAnsi="Arial"/>
          <w:sz w:val="24"/>
          <w:szCs w:val="24"/>
          <w:rtl/>
        </w:rPr>
        <w:t xml:space="preserve">معلومات الاتصال للشكاوى.</w:t>
      </w:r>
    </w:p>
    <w:p>
      <w:pPr>
        <w:pStyle w:val="Heading2"/>
        <w:bidi/>
        <w:spacing w:after="160" w:before="280"/>
        <w:jc w:val="right"/>
      </w:pPr>
      <w:r>
        <w:rPr>
          <w:rFonts w:ascii="Arial" w:cs="Arial" w:eastAsia="Arial" w:hAnsi="Arial"/>
          <w:b/>
          <w:bCs/>
          <w:color w:val="2E75B6"/>
          <w:sz w:val="30"/>
          <w:szCs w:val="30"/>
          <w:rtl/>
        </w:rPr>
        <w:t xml:space="preserve">3. تعيين مسؤول حماية البيانات (DPO)</w:t>
      </w:r>
    </w:p>
    <w:p>
      <w:pPr>
        <w:bidi/>
        <w:spacing w:after="140" w:line="320"/>
        <w:jc w:val="both"/>
      </w:pPr>
      <w:r>
        <w:rPr>
          <w:rFonts w:ascii="Arial" w:cs="Arial" w:eastAsia="Arial" w:hAnsi="Arial"/>
          <w:sz w:val="24"/>
          <w:szCs w:val="24"/>
          <w:rtl/>
        </w:rPr>
        <w:t xml:space="preserve">تستوجب اللائحة التنفيذية تعيين مسؤول حماية البيانات في حالات محددة. والشركات الكبرى التي تعالج بيانات شخصية بكميات كبيرة - كالشركات المساهمة - تقع غالباً ضمن هذه الحالات. ومن مهام هذا المسؤول:</w:t>
      </w:r>
    </w:p>
    <w:p>
      <w:pPr>
        <w:pStyle w:val="ListParagraph"/>
        <w:numPr>
          <w:ilvl w:val="0"/>
          <w:numId w:val="2"/>
        </w:numPr>
        <w:bidi/>
        <w:spacing w:after="100" w:line="300"/>
        <w:jc w:val="right"/>
      </w:pPr>
      <w:r>
        <w:rPr>
          <w:rFonts w:ascii="Arial" w:cs="Arial" w:eastAsia="Arial" w:hAnsi="Arial"/>
          <w:sz w:val="24"/>
          <w:szCs w:val="24"/>
          <w:rtl/>
        </w:rPr>
        <w:t xml:space="preserve">الإشراف على الامتثال للنظام.</w:t>
      </w:r>
    </w:p>
    <w:p>
      <w:pPr>
        <w:pStyle w:val="ListParagraph"/>
        <w:numPr>
          <w:ilvl w:val="0"/>
          <w:numId w:val="2"/>
        </w:numPr>
        <w:bidi/>
        <w:spacing w:after="100" w:line="300"/>
        <w:jc w:val="right"/>
      </w:pPr>
      <w:r>
        <w:rPr>
          <w:rFonts w:ascii="Arial" w:cs="Arial" w:eastAsia="Arial" w:hAnsi="Arial"/>
          <w:sz w:val="24"/>
          <w:szCs w:val="24"/>
          <w:rtl/>
        </w:rPr>
        <w:t xml:space="preserve">تقديم المشورة لجهة التحكم.</w:t>
      </w:r>
    </w:p>
    <w:p>
      <w:pPr>
        <w:pStyle w:val="ListParagraph"/>
        <w:numPr>
          <w:ilvl w:val="0"/>
          <w:numId w:val="2"/>
        </w:numPr>
        <w:bidi/>
        <w:spacing w:after="100" w:line="300"/>
        <w:jc w:val="right"/>
      </w:pPr>
      <w:r>
        <w:rPr>
          <w:rFonts w:ascii="Arial" w:cs="Arial" w:eastAsia="Arial" w:hAnsi="Arial"/>
          <w:sz w:val="24"/>
          <w:szCs w:val="24"/>
          <w:rtl/>
        </w:rPr>
        <w:t xml:space="preserve">التواصل مع أصحاب البيانات.</w:t>
      </w:r>
    </w:p>
    <w:p>
      <w:pPr>
        <w:pStyle w:val="ListParagraph"/>
        <w:numPr>
          <w:ilvl w:val="0"/>
          <w:numId w:val="2"/>
        </w:numPr>
        <w:bidi/>
        <w:spacing w:after="100" w:line="300"/>
        <w:jc w:val="right"/>
      </w:pPr>
      <w:r>
        <w:rPr>
          <w:rFonts w:ascii="Arial" w:cs="Arial" w:eastAsia="Arial" w:hAnsi="Arial"/>
          <w:sz w:val="24"/>
          <w:szCs w:val="24"/>
          <w:rtl/>
        </w:rPr>
        <w:t xml:space="preserve">التواصل مع الهيئة المختصة.</w:t>
      </w:r>
    </w:p>
    <w:p>
      <w:pPr>
        <w:pStyle w:val="ListParagraph"/>
        <w:numPr>
          <w:ilvl w:val="0"/>
          <w:numId w:val="2"/>
        </w:numPr>
        <w:bidi/>
        <w:spacing w:after="100" w:line="300"/>
        <w:jc w:val="right"/>
      </w:pPr>
      <w:r>
        <w:rPr>
          <w:rFonts w:ascii="Arial" w:cs="Arial" w:eastAsia="Arial" w:hAnsi="Arial"/>
          <w:sz w:val="24"/>
          <w:szCs w:val="24"/>
          <w:rtl/>
        </w:rPr>
        <w:t xml:space="preserve">إجراء تقييمات الأثر.</w:t>
      </w:r>
    </w:p>
    <w:p>
      <w:pPr>
        <w:pStyle w:val="ListParagraph"/>
        <w:numPr>
          <w:ilvl w:val="0"/>
          <w:numId w:val="2"/>
        </w:numPr>
        <w:bidi/>
        <w:spacing w:after="100" w:line="300"/>
        <w:jc w:val="right"/>
      </w:pPr>
      <w:r>
        <w:rPr>
          <w:rFonts w:ascii="Arial" w:cs="Arial" w:eastAsia="Arial" w:hAnsi="Arial"/>
          <w:sz w:val="24"/>
          <w:szCs w:val="24"/>
          <w:rtl/>
        </w:rPr>
        <w:t xml:space="preserve">الإشراف على التدريب والتوعية.</w:t>
      </w:r>
    </w:p>
    <w:p>
      <w:pPr>
        <w:pStyle w:val="Heading2"/>
        <w:bidi/>
        <w:spacing w:after="160" w:before="280"/>
        <w:jc w:val="right"/>
      </w:pPr>
      <w:r>
        <w:rPr>
          <w:rFonts w:ascii="Arial" w:cs="Arial" w:eastAsia="Arial" w:hAnsi="Arial"/>
          <w:b/>
          <w:bCs/>
          <w:color w:val="2E75B6"/>
          <w:sz w:val="30"/>
          <w:szCs w:val="30"/>
          <w:rtl/>
        </w:rPr>
        <w:t xml:space="preserve">4. ضبط الوصول إلى البيانات</w:t>
      </w:r>
    </w:p>
    <w:p>
      <w:pPr>
        <w:bidi/>
        <w:spacing w:after="140" w:line="320"/>
        <w:jc w:val="both"/>
      </w:pPr>
      <w:r>
        <w:rPr>
          <w:rFonts w:ascii="Arial" w:cs="Arial" w:eastAsia="Arial" w:hAnsi="Arial"/>
          <w:sz w:val="24"/>
          <w:szCs w:val="24"/>
          <w:rtl/>
        </w:rPr>
        <w:t xml:space="preserve">يجب تطبيق ضوابط صارمة للوصول إلى بيانات المساهمين:</w:t>
      </w:r>
    </w:p>
    <w:p>
      <w:pPr>
        <w:pStyle w:val="ListParagraph"/>
        <w:numPr>
          <w:ilvl w:val="0"/>
          <w:numId w:val="2"/>
        </w:numPr>
        <w:bidi/>
        <w:spacing w:after="100" w:line="300"/>
        <w:jc w:val="right"/>
      </w:pPr>
      <w:r>
        <w:rPr>
          <w:rFonts w:ascii="Arial" w:cs="Arial" w:eastAsia="Arial" w:hAnsi="Arial"/>
          <w:sz w:val="24"/>
          <w:szCs w:val="24"/>
          <w:rtl/>
        </w:rPr>
        <w:t xml:space="preserve">نظام صلاحيات متدرج (Role-Based Access Control).</w:t>
      </w:r>
    </w:p>
    <w:p>
      <w:pPr>
        <w:pStyle w:val="ListParagraph"/>
        <w:numPr>
          <w:ilvl w:val="0"/>
          <w:numId w:val="2"/>
        </w:numPr>
        <w:bidi/>
        <w:spacing w:after="100" w:line="300"/>
        <w:jc w:val="right"/>
      </w:pPr>
      <w:r>
        <w:rPr>
          <w:rFonts w:ascii="Arial" w:cs="Arial" w:eastAsia="Arial" w:hAnsi="Arial"/>
          <w:sz w:val="24"/>
          <w:szCs w:val="24"/>
          <w:rtl/>
        </w:rPr>
        <w:t xml:space="preserve">التحقق المتعدد العوامل (Multi-Factor Authentication).</w:t>
      </w:r>
    </w:p>
    <w:p>
      <w:pPr>
        <w:pStyle w:val="ListParagraph"/>
        <w:numPr>
          <w:ilvl w:val="0"/>
          <w:numId w:val="2"/>
        </w:numPr>
        <w:bidi/>
        <w:spacing w:after="100" w:line="300"/>
        <w:jc w:val="right"/>
      </w:pPr>
      <w:r>
        <w:rPr>
          <w:rFonts w:ascii="Arial" w:cs="Arial" w:eastAsia="Arial" w:hAnsi="Arial"/>
          <w:sz w:val="24"/>
          <w:szCs w:val="24"/>
          <w:rtl/>
        </w:rPr>
        <w:t xml:space="preserve">سجل عمليات كامل لكل عمليات الوصول.</w:t>
      </w:r>
    </w:p>
    <w:p>
      <w:pPr>
        <w:pStyle w:val="ListParagraph"/>
        <w:numPr>
          <w:ilvl w:val="0"/>
          <w:numId w:val="2"/>
        </w:numPr>
        <w:bidi/>
        <w:spacing w:after="100" w:line="300"/>
        <w:jc w:val="right"/>
      </w:pPr>
      <w:r>
        <w:rPr>
          <w:rFonts w:ascii="Arial" w:cs="Arial" w:eastAsia="Arial" w:hAnsi="Arial"/>
          <w:sz w:val="24"/>
          <w:szCs w:val="24"/>
          <w:rtl/>
        </w:rPr>
        <w:t xml:space="preserve">مراجعة دورية للصلاحيات.</w:t>
      </w:r>
    </w:p>
    <w:p>
      <w:pPr>
        <w:pStyle w:val="ListParagraph"/>
        <w:numPr>
          <w:ilvl w:val="0"/>
          <w:numId w:val="2"/>
        </w:numPr>
        <w:bidi/>
        <w:spacing w:after="100" w:line="300"/>
        <w:jc w:val="right"/>
      </w:pPr>
      <w:r>
        <w:rPr>
          <w:rFonts w:ascii="Arial" w:cs="Arial" w:eastAsia="Arial" w:hAnsi="Arial"/>
          <w:sz w:val="24"/>
          <w:szCs w:val="24"/>
          <w:rtl/>
        </w:rPr>
        <w:t xml:space="preserve">إلغاء الصلاحيات فور انتهاء الحاجة.</w:t>
      </w:r>
    </w:p>
    <w:p>
      <w:pPr>
        <w:pStyle w:val="Heading2"/>
        <w:bidi/>
        <w:spacing w:after="160" w:before="280"/>
        <w:jc w:val="right"/>
      </w:pPr>
      <w:r>
        <w:rPr>
          <w:rFonts w:ascii="Arial" w:cs="Arial" w:eastAsia="Arial" w:hAnsi="Arial"/>
          <w:b/>
          <w:bCs/>
          <w:color w:val="2E75B6"/>
          <w:sz w:val="30"/>
          <w:szCs w:val="30"/>
          <w:rtl/>
        </w:rPr>
        <w:t xml:space="preserve">5. تأمين البيانات تقنياً</w:t>
      </w:r>
    </w:p>
    <w:p>
      <w:pPr>
        <w:pStyle w:val="ListParagraph"/>
        <w:numPr>
          <w:ilvl w:val="0"/>
          <w:numId w:val="2"/>
        </w:numPr>
        <w:bidi/>
        <w:spacing w:after="100" w:line="300"/>
        <w:jc w:val="right"/>
      </w:pPr>
      <w:r>
        <w:rPr>
          <w:rFonts w:ascii="Arial" w:cs="Arial" w:eastAsia="Arial" w:hAnsi="Arial"/>
          <w:sz w:val="24"/>
          <w:szCs w:val="24"/>
          <w:rtl/>
        </w:rPr>
        <w:t xml:space="preserve">تشفير البيانات في حالة التخزين (At-Rest).</w:t>
      </w:r>
    </w:p>
    <w:p>
      <w:pPr>
        <w:pStyle w:val="ListParagraph"/>
        <w:numPr>
          <w:ilvl w:val="0"/>
          <w:numId w:val="2"/>
        </w:numPr>
        <w:bidi/>
        <w:spacing w:after="100" w:line="300"/>
        <w:jc w:val="right"/>
      </w:pPr>
      <w:r>
        <w:rPr>
          <w:rFonts w:ascii="Arial" w:cs="Arial" w:eastAsia="Arial" w:hAnsi="Arial"/>
          <w:sz w:val="24"/>
          <w:szCs w:val="24"/>
          <w:rtl/>
        </w:rPr>
        <w:t xml:space="preserve">تشفير البيانات أثناء النقل (In-Transit).</w:t>
      </w:r>
    </w:p>
    <w:p>
      <w:pPr>
        <w:pStyle w:val="ListParagraph"/>
        <w:numPr>
          <w:ilvl w:val="0"/>
          <w:numId w:val="2"/>
        </w:numPr>
        <w:bidi/>
        <w:spacing w:after="100" w:line="300"/>
        <w:jc w:val="right"/>
      </w:pPr>
      <w:r>
        <w:rPr>
          <w:rFonts w:ascii="Arial" w:cs="Arial" w:eastAsia="Arial" w:hAnsi="Arial"/>
          <w:sz w:val="24"/>
          <w:szCs w:val="24"/>
          <w:rtl/>
        </w:rPr>
        <w:t xml:space="preserve">استخدام بروتوكولات آمنة (HTTPS، SFTP).</w:t>
      </w:r>
    </w:p>
    <w:p>
      <w:pPr>
        <w:pStyle w:val="ListParagraph"/>
        <w:numPr>
          <w:ilvl w:val="0"/>
          <w:numId w:val="2"/>
        </w:numPr>
        <w:bidi/>
        <w:spacing w:after="100" w:line="300"/>
        <w:jc w:val="right"/>
      </w:pPr>
      <w:r>
        <w:rPr>
          <w:rFonts w:ascii="Arial" w:cs="Arial" w:eastAsia="Arial" w:hAnsi="Arial"/>
          <w:sz w:val="24"/>
          <w:szCs w:val="24"/>
          <w:rtl/>
        </w:rPr>
        <w:t xml:space="preserve">نسخ احتياطي منتظم في مواقع جغرافية متعددة.</w:t>
      </w:r>
    </w:p>
    <w:p>
      <w:pPr>
        <w:pStyle w:val="ListParagraph"/>
        <w:numPr>
          <w:ilvl w:val="0"/>
          <w:numId w:val="2"/>
        </w:numPr>
        <w:bidi/>
        <w:spacing w:after="100" w:line="300"/>
        <w:jc w:val="right"/>
      </w:pPr>
      <w:r>
        <w:rPr>
          <w:rFonts w:ascii="Arial" w:cs="Arial" w:eastAsia="Arial" w:hAnsi="Arial"/>
          <w:sz w:val="24"/>
          <w:szCs w:val="24"/>
          <w:rtl/>
        </w:rPr>
        <w:t xml:space="preserve">اختبار خطط التعافي من الكوارث.</w:t>
      </w:r>
    </w:p>
    <w:p>
      <w:pPr>
        <w:pStyle w:val="ListParagraph"/>
        <w:numPr>
          <w:ilvl w:val="0"/>
          <w:numId w:val="2"/>
        </w:numPr>
        <w:bidi/>
        <w:spacing w:after="100" w:line="300"/>
        <w:jc w:val="right"/>
      </w:pPr>
      <w:r>
        <w:rPr>
          <w:rFonts w:ascii="Arial" w:cs="Arial" w:eastAsia="Arial" w:hAnsi="Arial"/>
          <w:sz w:val="24"/>
          <w:szCs w:val="24"/>
          <w:rtl/>
        </w:rPr>
        <w:t xml:space="preserve">تحديث الأنظمة بشكل دوري.</w:t>
      </w:r>
    </w:p>
    <w:p>
      <w:pPr>
        <w:pStyle w:val="Heading2"/>
        <w:bidi/>
        <w:spacing w:after="160" w:before="280"/>
        <w:jc w:val="right"/>
      </w:pPr>
      <w:r>
        <w:rPr>
          <w:rFonts w:ascii="Arial" w:cs="Arial" w:eastAsia="Arial" w:hAnsi="Arial"/>
          <w:b/>
          <w:bCs/>
          <w:color w:val="2E75B6"/>
          <w:sz w:val="30"/>
          <w:szCs w:val="30"/>
          <w:rtl/>
        </w:rPr>
        <w:t xml:space="preserve">6. إدارة موافقات المساهمين</w:t>
      </w:r>
    </w:p>
    <w:p>
      <w:pPr>
        <w:bidi/>
        <w:spacing w:after="140" w:line="320"/>
        <w:jc w:val="both"/>
      </w:pPr>
      <w:r>
        <w:rPr>
          <w:rFonts w:ascii="Arial" w:cs="Arial" w:eastAsia="Arial" w:hAnsi="Arial"/>
          <w:sz w:val="24"/>
          <w:szCs w:val="24"/>
          <w:rtl/>
        </w:rPr>
        <w:t xml:space="preserve">لبعض المعالجات الإضافية (كالتسويق أو مشاركة البيانات مع شركاء)، يجب الحصول على موافقات صريحة وموثقة، مع:</w:t>
      </w:r>
    </w:p>
    <w:p>
      <w:pPr>
        <w:pStyle w:val="ListParagraph"/>
        <w:numPr>
          <w:ilvl w:val="0"/>
          <w:numId w:val="2"/>
        </w:numPr>
        <w:bidi/>
        <w:spacing w:after="100" w:line="300"/>
        <w:jc w:val="right"/>
      </w:pPr>
      <w:r>
        <w:rPr>
          <w:rFonts w:ascii="Arial" w:cs="Arial" w:eastAsia="Arial" w:hAnsi="Arial"/>
          <w:sz w:val="24"/>
          <w:szCs w:val="24"/>
          <w:rtl/>
        </w:rPr>
        <w:t xml:space="preserve">توضيح الغرض بشكل دقيق.</w:t>
      </w:r>
    </w:p>
    <w:p>
      <w:pPr>
        <w:pStyle w:val="ListParagraph"/>
        <w:numPr>
          <w:ilvl w:val="0"/>
          <w:numId w:val="2"/>
        </w:numPr>
        <w:bidi/>
        <w:spacing w:after="100" w:line="300"/>
        <w:jc w:val="right"/>
      </w:pPr>
      <w:r>
        <w:rPr>
          <w:rFonts w:ascii="Arial" w:cs="Arial" w:eastAsia="Arial" w:hAnsi="Arial"/>
          <w:sz w:val="24"/>
          <w:szCs w:val="24"/>
          <w:rtl/>
        </w:rPr>
        <w:t xml:space="preserve">إتاحة إمكانية الرفض.</w:t>
      </w:r>
    </w:p>
    <w:p>
      <w:pPr>
        <w:pStyle w:val="ListParagraph"/>
        <w:numPr>
          <w:ilvl w:val="0"/>
          <w:numId w:val="2"/>
        </w:numPr>
        <w:bidi/>
        <w:spacing w:after="100" w:line="300"/>
        <w:jc w:val="right"/>
      </w:pPr>
      <w:r>
        <w:rPr>
          <w:rFonts w:ascii="Arial" w:cs="Arial" w:eastAsia="Arial" w:hAnsi="Arial"/>
          <w:sz w:val="24"/>
          <w:szCs w:val="24"/>
          <w:rtl/>
        </w:rPr>
        <w:t xml:space="preserve">توثيق الموافقات تاريخياً.</w:t>
      </w:r>
    </w:p>
    <w:p>
      <w:pPr>
        <w:pStyle w:val="ListParagraph"/>
        <w:numPr>
          <w:ilvl w:val="0"/>
          <w:numId w:val="2"/>
        </w:numPr>
        <w:bidi/>
        <w:spacing w:after="100" w:line="300"/>
        <w:jc w:val="right"/>
      </w:pPr>
      <w:r>
        <w:rPr>
          <w:rFonts w:ascii="Arial" w:cs="Arial" w:eastAsia="Arial" w:hAnsi="Arial"/>
          <w:sz w:val="24"/>
          <w:szCs w:val="24"/>
          <w:rtl/>
        </w:rPr>
        <w:t xml:space="preserve">تمكين سحب الموافقة بسهولة.</w:t>
      </w:r>
    </w:p>
    <w:p>
      <w:pPr>
        <w:pStyle w:val="Heading2"/>
        <w:bidi/>
        <w:spacing w:after="160" w:before="280"/>
        <w:jc w:val="right"/>
      </w:pPr>
      <w:r>
        <w:rPr>
          <w:rFonts w:ascii="Arial" w:cs="Arial" w:eastAsia="Arial" w:hAnsi="Arial"/>
          <w:b/>
          <w:bCs/>
          <w:color w:val="2E75B6"/>
          <w:sz w:val="30"/>
          <w:szCs w:val="30"/>
          <w:rtl/>
        </w:rPr>
        <w:t xml:space="preserve">7. ضوابط مشاركة البيانات</w:t>
      </w:r>
    </w:p>
    <w:p>
      <w:pPr>
        <w:bidi/>
        <w:spacing w:after="140" w:line="320"/>
        <w:jc w:val="both"/>
      </w:pPr>
      <w:r>
        <w:rPr>
          <w:rFonts w:ascii="Arial" w:cs="Arial" w:eastAsia="Arial" w:hAnsi="Arial"/>
          <w:sz w:val="24"/>
          <w:szCs w:val="24"/>
          <w:rtl/>
        </w:rPr>
        <w:t xml:space="preserve">عند مشاركة بيانات المساهمين مع أطراف أخرى، يجب:</w:t>
      </w:r>
    </w:p>
    <w:p>
      <w:pPr>
        <w:pStyle w:val="ListParagraph"/>
        <w:numPr>
          <w:ilvl w:val="0"/>
          <w:numId w:val="2"/>
        </w:numPr>
        <w:bidi/>
        <w:spacing w:after="100" w:line="300"/>
        <w:jc w:val="right"/>
      </w:pPr>
      <w:r>
        <w:rPr>
          <w:rFonts w:ascii="Arial" w:cs="Arial" w:eastAsia="Arial" w:hAnsi="Arial"/>
          <w:sz w:val="24"/>
          <w:szCs w:val="24"/>
          <w:rtl/>
        </w:rPr>
        <w:t xml:space="preserve">إبرام عقود واضحة مع جهات المعالجة.</w:t>
      </w:r>
    </w:p>
    <w:p>
      <w:pPr>
        <w:pStyle w:val="ListParagraph"/>
        <w:numPr>
          <w:ilvl w:val="0"/>
          <w:numId w:val="2"/>
        </w:numPr>
        <w:bidi/>
        <w:spacing w:after="100" w:line="300"/>
        <w:jc w:val="right"/>
      </w:pPr>
      <w:r>
        <w:rPr>
          <w:rFonts w:ascii="Arial" w:cs="Arial" w:eastAsia="Arial" w:hAnsi="Arial"/>
          <w:sz w:val="24"/>
          <w:szCs w:val="24"/>
          <w:rtl/>
        </w:rPr>
        <w:t xml:space="preserve">التحقق من امتثال هذه الجهات للنظام.</w:t>
      </w:r>
    </w:p>
    <w:p>
      <w:pPr>
        <w:pStyle w:val="ListParagraph"/>
        <w:numPr>
          <w:ilvl w:val="0"/>
          <w:numId w:val="2"/>
        </w:numPr>
        <w:bidi/>
        <w:spacing w:after="100" w:line="300"/>
        <w:jc w:val="right"/>
      </w:pPr>
      <w:r>
        <w:rPr>
          <w:rFonts w:ascii="Arial" w:cs="Arial" w:eastAsia="Arial" w:hAnsi="Arial"/>
          <w:sz w:val="24"/>
          <w:szCs w:val="24"/>
          <w:rtl/>
        </w:rPr>
        <w:t xml:space="preserve">تحديد مسؤوليات كل طرف بدقة.</w:t>
      </w:r>
    </w:p>
    <w:p>
      <w:pPr>
        <w:pStyle w:val="ListParagraph"/>
        <w:numPr>
          <w:ilvl w:val="0"/>
          <w:numId w:val="2"/>
        </w:numPr>
        <w:bidi/>
        <w:spacing w:after="100" w:line="300"/>
        <w:jc w:val="right"/>
      </w:pPr>
      <w:r>
        <w:rPr>
          <w:rFonts w:ascii="Arial" w:cs="Arial" w:eastAsia="Arial" w:hAnsi="Arial"/>
          <w:sz w:val="24"/>
          <w:szCs w:val="24"/>
          <w:rtl/>
        </w:rPr>
        <w:t xml:space="preserve">مراقبة الأداء بشكل دوري.</w:t>
      </w:r>
    </w:p>
    <w:p>
      <w:pPr>
        <w:pStyle w:val="ListParagraph"/>
        <w:numPr>
          <w:ilvl w:val="0"/>
          <w:numId w:val="2"/>
        </w:numPr>
        <w:bidi/>
        <w:spacing w:after="100" w:line="300"/>
        <w:jc w:val="right"/>
      </w:pPr>
      <w:r>
        <w:rPr>
          <w:rFonts w:ascii="Arial" w:cs="Arial" w:eastAsia="Arial" w:hAnsi="Arial"/>
          <w:sz w:val="24"/>
          <w:szCs w:val="24"/>
          <w:rtl/>
        </w:rPr>
        <w:t xml:space="preserve">الإفصاح للمساهمين عن المشاركة.</w:t>
      </w:r>
    </w:p>
    <w:p>
      <w:pPr>
        <w:pStyle w:val="Heading2"/>
        <w:bidi/>
        <w:spacing w:after="160" w:before="280"/>
        <w:jc w:val="right"/>
      </w:pPr>
      <w:r>
        <w:rPr>
          <w:rFonts w:ascii="Arial" w:cs="Arial" w:eastAsia="Arial" w:hAnsi="Arial"/>
          <w:b/>
          <w:bCs/>
          <w:color w:val="2E75B6"/>
          <w:sz w:val="30"/>
          <w:szCs w:val="30"/>
          <w:rtl/>
        </w:rPr>
        <w:t xml:space="preserve">8. النقل عبر الحدود</w:t>
      </w:r>
    </w:p>
    <w:p>
      <w:pPr>
        <w:bidi/>
        <w:spacing w:after="140" w:line="320"/>
        <w:jc w:val="both"/>
      </w:pPr>
      <w:r>
        <w:rPr>
          <w:rFonts w:ascii="Arial" w:cs="Arial" w:eastAsia="Arial" w:hAnsi="Arial"/>
          <w:sz w:val="24"/>
          <w:szCs w:val="24"/>
          <w:rtl/>
        </w:rPr>
        <w:t xml:space="preserve">لنقل بيانات المساهمين خارج المملكة (للمساهمين الأجانب أو الجهات الدولية):</w:t>
      </w:r>
    </w:p>
    <w:p>
      <w:pPr>
        <w:pStyle w:val="ListParagraph"/>
        <w:numPr>
          <w:ilvl w:val="0"/>
          <w:numId w:val="2"/>
        </w:numPr>
        <w:bidi/>
        <w:spacing w:after="100" w:line="300"/>
        <w:jc w:val="right"/>
      </w:pPr>
      <w:r>
        <w:rPr>
          <w:rFonts w:ascii="Arial" w:cs="Arial" w:eastAsia="Arial" w:hAnsi="Arial"/>
          <w:sz w:val="24"/>
          <w:szCs w:val="24"/>
          <w:rtl/>
        </w:rPr>
        <w:t xml:space="preserve">التأكد من توفر مبررات نظامية للنقل.</w:t>
      </w:r>
    </w:p>
    <w:p>
      <w:pPr>
        <w:pStyle w:val="ListParagraph"/>
        <w:numPr>
          <w:ilvl w:val="0"/>
          <w:numId w:val="2"/>
        </w:numPr>
        <w:bidi/>
        <w:spacing w:after="100" w:line="300"/>
        <w:jc w:val="right"/>
      </w:pPr>
      <w:r>
        <w:rPr>
          <w:rFonts w:ascii="Arial" w:cs="Arial" w:eastAsia="Arial" w:hAnsi="Arial"/>
          <w:sz w:val="24"/>
          <w:szCs w:val="24"/>
          <w:rtl/>
        </w:rPr>
        <w:t xml:space="preserve">ضمان مستوى حماية مكافئ في الدولة المستقبلة.</w:t>
      </w:r>
    </w:p>
    <w:p>
      <w:pPr>
        <w:pStyle w:val="ListParagraph"/>
        <w:numPr>
          <w:ilvl w:val="0"/>
          <w:numId w:val="2"/>
        </w:numPr>
        <w:bidi/>
        <w:spacing w:after="100" w:line="300"/>
        <w:jc w:val="right"/>
      </w:pPr>
      <w:r>
        <w:rPr>
          <w:rFonts w:ascii="Arial" w:cs="Arial" w:eastAsia="Arial" w:hAnsi="Arial"/>
          <w:sz w:val="24"/>
          <w:szCs w:val="24"/>
          <w:rtl/>
        </w:rPr>
        <w:t xml:space="preserve">الحصول على موافقة سدايا في الحالات المطلوبة.</w:t>
      </w:r>
    </w:p>
    <w:p>
      <w:pPr>
        <w:pStyle w:val="ListParagraph"/>
        <w:numPr>
          <w:ilvl w:val="0"/>
          <w:numId w:val="2"/>
        </w:numPr>
        <w:bidi/>
        <w:spacing w:after="100" w:line="300"/>
        <w:jc w:val="right"/>
      </w:pPr>
      <w:r>
        <w:rPr>
          <w:rFonts w:ascii="Arial" w:cs="Arial" w:eastAsia="Arial" w:hAnsi="Arial"/>
          <w:sz w:val="24"/>
          <w:szCs w:val="24"/>
          <w:rtl/>
        </w:rPr>
        <w:t xml:space="preserve">إبرام شروط تعاقدية لحماية البيانات.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خطوات تطبيق الامتثال</w:t>
      </w:r>
    </w:p>
    <w:p>
      <w:pPr>
        <w:bidi/>
        <w:spacing w:after="140" w:line="320"/>
        <w:jc w:val="both"/>
      </w:pPr>
      <w:r>
        <w:rPr>
          <w:rFonts w:ascii="Arial" w:cs="Arial" w:eastAsia="Arial" w:hAnsi="Arial"/>
          <w:sz w:val="24"/>
          <w:szCs w:val="24"/>
          <w:rtl/>
        </w:rPr>
        <w:t xml:space="preserve">للامتثال الكامل للنظام، يمكن للشركات اتباع خارطة طريق منهجية:</w:t>
      </w:r>
    </w:p>
    <w:p>
      <w:pPr>
        <w:pStyle w:val="Heading2"/>
        <w:bidi/>
        <w:spacing w:after="160" w:before="280"/>
        <w:jc w:val="right"/>
      </w:pPr>
      <w:r>
        <w:rPr>
          <w:rFonts w:ascii="Arial" w:cs="Arial" w:eastAsia="Arial" w:hAnsi="Arial"/>
          <w:b/>
          <w:bCs/>
          <w:color w:val="2E75B6"/>
          <w:sz w:val="30"/>
          <w:szCs w:val="30"/>
          <w:rtl/>
        </w:rPr>
        <w:t xml:space="preserve">الخطوة 1: التقييم الأولي</w:t>
      </w:r>
    </w:p>
    <w:p>
      <w:pPr>
        <w:pStyle w:val="ListParagraph"/>
        <w:numPr>
          <w:ilvl w:val="0"/>
          <w:numId w:val="3"/>
        </w:numPr>
        <w:bidi/>
        <w:spacing w:after="100" w:line="300"/>
        <w:jc w:val="right"/>
      </w:pPr>
      <w:r>
        <w:rPr>
          <w:rFonts w:ascii="Arial" w:cs="Arial" w:eastAsia="Arial" w:hAnsi="Arial"/>
          <w:sz w:val="24"/>
          <w:szCs w:val="24"/>
          <w:rtl/>
        </w:rPr>
        <w:t xml:space="preserve">جرد شامل لجميع البيانات الشخصية في سجل المساهمين.</w:t>
      </w:r>
    </w:p>
    <w:p>
      <w:pPr>
        <w:pStyle w:val="ListParagraph"/>
        <w:numPr>
          <w:ilvl w:val="0"/>
          <w:numId w:val="3"/>
        </w:numPr>
        <w:bidi/>
        <w:spacing w:after="100" w:line="300"/>
        <w:jc w:val="right"/>
      </w:pPr>
      <w:r>
        <w:rPr>
          <w:rFonts w:ascii="Arial" w:cs="Arial" w:eastAsia="Arial" w:hAnsi="Arial"/>
          <w:sz w:val="24"/>
          <w:szCs w:val="24"/>
          <w:rtl/>
        </w:rPr>
        <w:t xml:space="preserve">تحديد مصادر البيانات وقنوات الجمع.</w:t>
      </w:r>
    </w:p>
    <w:p>
      <w:pPr>
        <w:pStyle w:val="ListParagraph"/>
        <w:numPr>
          <w:ilvl w:val="0"/>
          <w:numId w:val="3"/>
        </w:numPr>
        <w:bidi/>
        <w:spacing w:after="100" w:line="300"/>
        <w:jc w:val="right"/>
      </w:pPr>
      <w:r>
        <w:rPr>
          <w:rFonts w:ascii="Arial" w:cs="Arial" w:eastAsia="Arial" w:hAnsi="Arial"/>
          <w:sz w:val="24"/>
          <w:szCs w:val="24"/>
          <w:rtl/>
        </w:rPr>
        <w:t xml:space="preserve">تحديد أغراض المعالجة والأسس القانونية.</w:t>
      </w:r>
    </w:p>
    <w:p>
      <w:pPr>
        <w:pStyle w:val="ListParagraph"/>
        <w:numPr>
          <w:ilvl w:val="0"/>
          <w:numId w:val="3"/>
        </w:numPr>
        <w:bidi/>
        <w:spacing w:after="100" w:line="300"/>
        <w:jc w:val="right"/>
      </w:pPr>
      <w:r>
        <w:rPr>
          <w:rFonts w:ascii="Arial" w:cs="Arial" w:eastAsia="Arial" w:hAnsi="Arial"/>
          <w:sz w:val="24"/>
          <w:szCs w:val="24"/>
          <w:rtl/>
        </w:rPr>
        <w:t xml:space="preserve">تحديد جميع الأطراف التي تشارك معها البيانات.</w:t>
      </w:r>
    </w:p>
    <w:p>
      <w:pPr>
        <w:pStyle w:val="ListParagraph"/>
        <w:numPr>
          <w:ilvl w:val="0"/>
          <w:numId w:val="3"/>
        </w:numPr>
        <w:bidi/>
        <w:spacing w:after="100" w:line="300"/>
        <w:jc w:val="right"/>
      </w:pPr>
      <w:r>
        <w:rPr>
          <w:rFonts w:ascii="Arial" w:cs="Arial" w:eastAsia="Arial" w:hAnsi="Arial"/>
          <w:sz w:val="24"/>
          <w:szCs w:val="24"/>
          <w:rtl/>
        </w:rPr>
        <w:t xml:space="preserve">تحديد الفجوات بين الوضع الحالي ومتطلبات النظام.</w:t>
      </w:r>
    </w:p>
    <w:p>
      <w:pPr>
        <w:pStyle w:val="Heading2"/>
        <w:bidi/>
        <w:spacing w:after="160" w:before="280"/>
        <w:jc w:val="right"/>
      </w:pPr>
      <w:r>
        <w:rPr>
          <w:rFonts w:ascii="Arial" w:cs="Arial" w:eastAsia="Arial" w:hAnsi="Arial"/>
          <w:b/>
          <w:bCs/>
          <w:color w:val="2E75B6"/>
          <w:sz w:val="30"/>
          <w:szCs w:val="30"/>
          <w:rtl/>
        </w:rPr>
        <w:t xml:space="preserve">الخطوة 2: تصميم برنامج الامتثال</w:t>
      </w:r>
    </w:p>
    <w:p>
      <w:pPr>
        <w:pStyle w:val="ListParagraph"/>
        <w:numPr>
          <w:ilvl w:val="0"/>
          <w:numId w:val="3"/>
        </w:numPr>
        <w:bidi/>
        <w:spacing w:after="100" w:line="300"/>
        <w:jc w:val="right"/>
      </w:pPr>
      <w:r>
        <w:rPr>
          <w:rFonts w:ascii="Arial" w:cs="Arial" w:eastAsia="Arial" w:hAnsi="Arial"/>
          <w:sz w:val="24"/>
          <w:szCs w:val="24"/>
          <w:rtl/>
        </w:rPr>
        <w:t xml:space="preserve">صياغة سياسات الخصوصية الداخلية.</w:t>
      </w:r>
    </w:p>
    <w:p>
      <w:pPr>
        <w:pStyle w:val="ListParagraph"/>
        <w:numPr>
          <w:ilvl w:val="0"/>
          <w:numId w:val="3"/>
        </w:numPr>
        <w:bidi/>
        <w:spacing w:after="100" w:line="300"/>
        <w:jc w:val="right"/>
      </w:pPr>
      <w:r>
        <w:rPr>
          <w:rFonts w:ascii="Arial" w:cs="Arial" w:eastAsia="Arial" w:hAnsi="Arial"/>
          <w:sz w:val="24"/>
          <w:szCs w:val="24"/>
          <w:rtl/>
        </w:rPr>
        <w:t xml:space="preserve">إعداد إشعارات الخصوصية للمساهمين.</w:t>
      </w:r>
    </w:p>
    <w:p>
      <w:pPr>
        <w:pStyle w:val="ListParagraph"/>
        <w:numPr>
          <w:ilvl w:val="0"/>
          <w:numId w:val="3"/>
        </w:numPr>
        <w:bidi/>
        <w:spacing w:after="100" w:line="300"/>
        <w:jc w:val="right"/>
      </w:pPr>
      <w:r>
        <w:rPr>
          <w:rFonts w:ascii="Arial" w:cs="Arial" w:eastAsia="Arial" w:hAnsi="Arial"/>
          <w:sz w:val="24"/>
          <w:szCs w:val="24"/>
          <w:rtl/>
        </w:rPr>
        <w:t xml:space="preserve">تصميم نماذج الموافقة.</w:t>
      </w:r>
    </w:p>
    <w:p>
      <w:pPr>
        <w:pStyle w:val="ListParagraph"/>
        <w:numPr>
          <w:ilvl w:val="0"/>
          <w:numId w:val="3"/>
        </w:numPr>
        <w:bidi/>
        <w:spacing w:after="100" w:line="300"/>
        <w:jc w:val="right"/>
      </w:pPr>
      <w:r>
        <w:rPr>
          <w:rFonts w:ascii="Arial" w:cs="Arial" w:eastAsia="Arial" w:hAnsi="Arial"/>
          <w:sz w:val="24"/>
          <w:szCs w:val="24"/>
          <w:rtl/>
        </w:rPr>
        <w:t xml:space="preserve">تحديد مدد الاحتفاظ بالبيانات.</w:t>
      </w:r>
    </w:p>
    <w:p>
      <w:pPr>
        <w:pStyle w:val="ListParagraph"/>
        <w:numPr>
          <w:ilvl w:val="0"/>
          <w:numId w:val="3"/>
        </w:numPr>
        <w:bidi/>
        <w:spacing w:after="100" w:line="300"/>
        <w:jc w:val="right"/>
      </w:pPr>
      <w:r>
        <w:rPr>
          <w:rFonts w:ascii="Arial" w:cs="Arial" w:eastAsia="Arial" w:hAnsi="Arial"/>
          <w:sz w:val="24"/>
          <w:szCs w:val="24"/>
          <w:rtl/>
        </w:rPr>
        <w:t xml:space="preserve">وضع إجراءات الاستجابة لطلبات أصحاب البيانات.</w:t>
      </w:r>
    </w:p>
    <w:p>
      <w:pPr>
        <w:pStyle w:val="Heading2"/>
        <w:bidi/>
        <w:spacing w:after="160" w:before="280"/>
        <w:jc w:val="right"/>
      </w:pPr>
      <w:r>
        <w:rPr>
          <w:rFonts w:ascii="Arial" w:cs="Arial" w:eastAsia="Arial" w:hAnsi="Arial"/>
          <w:b/>
          <w:bCs/>
          <w:color w:val="2E75B6"/>
          <w:sz w:val="30"/>
          <w:szCs w:val="30"/>
          <w:rtl/>
        </w:rPr>
        <w:t xml:space="preserve">الخطوة 3: التنفيذ التقني</w:t>
      </w:r>
    </w:p>
    <w:p>
      <w:pPr>
        <w:pStyle w:val="ListParagraph"/>
        <w:numPr>
          <w:ilvl w:val="0"/>
          <w:numId w:val="3"/>
        </w:numPr>
        <w:bidi/>
        <w:spacing w:after="100" w:line="300"/>
        <w:jc w:val="right"/>
      </w:pPr>
      <w:r>
        <w:rPr>
          <w:rFonts w:ascii="Arial" w:cs="Arial" w:eastAsia="Arial" w:hAnsi="Arial"/>
          <w:sz w:val="24"/>
          <w:szCs w:val="24"/>
          <w:rtl/>
        </w:rPr>
        <w:t xml:space="preserve">تطوير أو تحديث الأنظمة لتلبية المتطلبات.</w:t>
      </w:r>
    </w:p>
    <w:p>
      <w:pPr>
        <w:pStyle w:val="ListParagraph"/>
        <w:numPr>
          <w:ilvl w:val="0"/>
          <w:numId w:val="3"/>
        </w:numPr>
        <w:bidi/>
        <w:spacing w:after="100" w:line="300"/>
        <w:jc w:val="right"/>
      </w:pPr>
      <w:r>
        <w:rPr>
          <w:rFonts w:ascii="Arial" w:cs="Arial" w:eastAsia="Arial" w:hAnsi="Arial"/>
          <w:sz w:val="24"/>
          <w:szCs w:val="24"/>
          <w:rtl/>
        </w:rPr>
        <w:t xml:space="preserve">تطبيق ضوابط الوصول والصلاحيات.</w:t>
      </w:r>
    </w:p>
    <w:p>
      <w:pPr>
        <w:pStyle w:val="ListParagraph"/>
        <w:numPr>
          <w:ilvl w:val="0"/>
          <w:numId w:val="3"/>
        </w:numPr>
        <w:bidi/>
        <w:spacing w:after="100" w:line="300"/>
        <w:jc w:val="right"/>
      </w:pPr>
      <w:r>
        <w:rPr>
          <w:rFonts w:ascii="Arial" w:cs="Arial" w:eastAsia="Arial" w:hAnsi="Arial"/>
          <w:sz w:val="24"/>
          <w:szCs w:val="24"/>
          <w:rtl/>
        </w:rPr>
        <w:t xml:space="preserve">تنفيذ التشفير والحماية التقنية.</w:t>
      </w:r>
    </w:p>
    <w:p>
      <w:pPr>
        <w:pStyle w:val="ListParagraph"/>
        <w:numPr>
          <w:ilvl w:val="0"/>
          <w:numId w:val="3"/>
        </w:numPr>
        <w:bidi/>
        <w:spacing w:after="100" w:line="300"/>
        <w:jc w:val="right"/>
      </w:pPr>
      <w:r>
        <w:rPr>
          <w:rFonts w:ascii="Arial" w:cs="Arial" w:eastAsia="Arial" w:hAnsi="Arial"/>
          <w:sz w:val="24"/>
          <w:szCs w:val="24"/>
          <w:rtl/>
        </w:rPr>
        <w:t xml:space="preserve">تطوير سجلات العمليات (Audit Logs).</w:t>
      </w:r>
    </w:p>
    <w:p>
      <w:pPr>
        <w:pStyle w:val="ListParagraph"/>
        <w:numPr>
          <w:ilvl w:val="0"/>
          <w:numId w:val="3"/>
        </w:numPr>
        <w:bidi/>
        <w:spacing w:after="100" w:line="300"/>
        <w:jc w:val="right"/>
      </w:pPr>
      <w:r>
        <w:rPr>
          <w:rFonts w:ascii="Arial" w:cs="Arial" w:eastAsia="Arial" w:hAnsi="Arial"/>
          <w:sz w:val="24"/>
          <w:szCs w:val="24"/>
          <w:rtl/>
        </w:rPr>
        <w:t xml:space="preserve">اختبار الأنظمة والإجراءات.</w:t>
      </w:r>
    </w:p>
    <w:p>
      <w:pPr>
        <w:pStyle w:val="Heading2"/>
        <w:bidi/>
        <w:spacing w:after="160" w:before="280"/>
        <w:jc w:val="right"/>
      </w:pPr>
      <w:r>
        <w:rPr>
          <w:rFonts w:ascii="Arial" w:cs="Arial" w:eastAsia="Arial" w:hAnsi="Arial"/>
          <w:b/>
          <w:bCs/>
          <w:color w:val="2E75B6"/>
          <w:sz w:val="30"/>
          <w:szCs w:val="30"/>
          <w:rtl/>
        </w:rPr>
        <w:t xml:space="preserve">الخطوة 4: التنفيذ التنظيمي</w:t>
      </w:r>
    </w:p>
    <w:p>
      <w:pPr>
        <w:pStyle w:val="ListParagraph"/>
        <w:numPr>
          <w:ilvl w:val="0"/>
          <w:numId w:val="3"/>
        </w:numPr>
        <w:bidi/>
        <w:spacing w:after="100" w:line="300"/>
        <w:jc w:val="right"/>
      </w:pPr>
      <w:r>
        <w:rPr>
          <w:rFonts w:ascii="Arial" w:cs="Arial" w:eastAsia="Arial" w:hAnsi="Arial"/>
          <w:sz w:val="24"/>
          <w:szCs w:val="24"/>
          <w:rtl/>
        </w:rPr>
        <w:t xml:space="preserve">تعيين مسؤول حماية البيانات.</w:t>
      </w:r>
    </w:p>
    <w:p>
      <w:pPr>
        <w:pStyle w:val="ListParagraph"/>
        <w:numPr>
          <w:ilvl w:val="0"/>
          <w:numId w:val="3"/>
        </w:numPr>
        <w:bidi/>
        <w:spacing w:after="100" w:line="300"/>
        <w:jc w:val="right"/>
      </w:pPr>
      <w:r>
        <w:rPr>
          <w:rFonts w:ascii="Arial" w:cs="Arial" w:eastAsia="Arial" w:hAnsi="Arial"/>
          <w:sz w:val="24"/>
          <w:szCs w:val="24"/>
          <w:rtl/>
        </w:rPr>
        <w:t xml:space="preserve">تشكيل لجنة حماية البيانات (إن لزم).</w:t>
      </w:r>
    </w:p>
    <w:p>
      <w:pPr>
        <w:pStyle w:val="ListParagraph"/>
        <w:numPr>
          <w:ilvl w:val="0"/>
          <w:numId w:val="3"/>
        </w:numPr>
        <w:bidi/>
        <w:spacing w:after="100" w:line="300"/>
        <w:jc w:val="right"/>
      </w:pPr>
      <w:r>
        <w:rPr>
          <w:rFonts w:ascii="Arial" w:cs="Arial" w:eastAsia="Arial" w:hAnsi="Arial"/>
          <w:sz w:val="24"/>
          <w:szCs w:val="24"/>
          <w:rtl/>
        </w:rPr>
        <w:t xml:space="preserve">تدريب الموظفين على متطلبات النظام.</w:t>
      </w:r>
    </w:p>
    <w:p>
      <w:pPr>
        <w:pStyle w:val="ListParagraph"/>
        <w:numPr>
          <w:ilvl w:val="0"/>
          <w:numId w:val="3"/>
        </w:numPr>
        <w:bidi/>
        <w:spacing w:after="100" w:line="300"/>
        <w:jc w:val="right"/>
      </w:pPr>
      <w:r>
        <w:rPr>
          <w:rFonts w:ascii="Arial" w:cs="Arial" w:eastAsia="Arial" w:hAnsi="Arial"/>
          <w:sz w:val="24"/>
          <w:szCs w:val="24"/>
          <w:rtl/>
        </w:rPr>
        <w:t xml:space="preserve">توعية المساهمين بحقوقهم.</w:t>
      </w:r>
    </w:p>
    <w:p>
      <w:pPr>
        <w:pStyle w:val="ListParagraph"/>
        <w:numPr>
          <w:ilvl w:val="0"/>
          <w:numId w:val="3"/>
        </w:numPr>
        <w:bidi/>
        <w:spacing w:after="100" w:line="300"/>
        <w:jc w:val="right"/>
      </w:pPr>
      <w:r>
        <w:rPr>
          <w:rFonts w:ascii="Arial" w:cs="Arial" w:eastAsia="Arial" w:hAnsi="Arial"/>
          <w:sz w:val="24"/>
          <w:szCs w:val="24"/>
          <w:rtl/>
        </w:rPr>
        <w:t xml:space="preserve">التسجيل في السجل الوطني لحماية البيانات لدى سدايا.</w:t>
      </w:r>
    </w:p>
    <w:p>
      <w:pPr>
        <w:pStyle w:val="Heading2"/>
        <w:bidi/>
        <w:spacing w:after="160" w:before="280"/>
        <w:jc w:val="right"/>
      </w:pPr>
      <w:r>
        <w:rPr>
          <w:rFonts w:ascii="Arial" w:cs="Arial" w:eastAsia="Arial" w:hAnsi="Arial"/>
          <w:b/>
          <w:bCs/>
          <w:color w:val="2E75B6"/>
          <w:sz w:val="30"/>
          <w:szCs w:val="30"/>
          <w:rtl/>
        </w:rPr>
        <w:t xml:space="preserve">الخطوة 5: المراقبة المستمرة</w:t>
      </w:r>
    </w:p>
    <w:p>
      <w:pPr>
        <w:pStyle w:val="ListParagraph"/>
        <w:numPr>
          <w:ilvl w:val="0"/>
          <w:numId w:val="3"/>
        </w:numPr>
        <w:bidi/>
        <w:spacing w:after="100" w:line="300"/>
        <w:jc w:val="right"/>
      </w:pPr>
      <w:r>
        <w:rPr>
          <w:rFonts w:ascii="Arial" w:cs="Arial" w:eastAsia="Arial" w:hAnsi="Arial"/>
          <w:sz w:val="24"/>
          <w:szCs w:val="24"/>
          <w:rtl/>
        </w:rPr>
        <w:t xml:space="preserve">مراجعات دورية للامتثال.</w:t>
      </w:r>
    </w:p>
    <w:p>
      <w:pPr>
        <w:pStyle w:val="ListParagraph"/>
        <w:numPr>
          <w:ilvl w:val="0"/>
          <w:numId w:val="3"/>
        </w:numPr>
        <w:bidi/>
        <w:spacing w:after="100" w:line="300"/>
        <w:jc w:val="right"/>
      </w:pPr>
      <w:r>
        <w:rPr>
          <w:rFonts w:ascii="Arial" w:cs="Arial" w:eastAsia="Arial" w:hAnsi="Arial"/>
          <w:sz w:val="24"/>
          <w:szCs w:val="24"/>
          <w:rtl/>
        </w:rPr>
        <w:t xml:space="preserve">تحديث السياسات والإجراءات.</w:t>
      </w:r>
    </w:p>
    <w:p>
      <w:pPr>
        <w:pStyle w:val="ListParagraph"/>
        <w:numPr>
          <w:ilvl w:val="0"/>
          <w:numId w:val="3"/>
        </w:numPr>
        <w:bidi/>
        <w:spacing w:after="100" w:line="300"/>
        <w:jc w:val="right"/>
      </w:pPr>
      <w:r>
        <w:rPr>
          <w:rFonts w:ascii="Arial" w:cs="Arial" w:eastAsia="Arial" w:hAnsi="Arial"/>
          <w:sz w:val="24"/>
          <w:szCs w:val="24"/>
          <w:rtl/>
        </w:rPr>
        <w:t xml:space="preserve">معالجة الحوادث والشكاوى.</w:t>
      </w:r>
    </w:p>
    <w:p>
      <w:pPr>
        <w:pStyle w:val="ListParagraph"/>
        <w:numPr>
          <w:ilvl w:val="0"/>
          <w:numId w:val="3"/>
        </w:numPr>
        <w:bidi/>
        <w:spacing w:after="100" w:line="300"/>
        <w:jc w:val="right"/>
      </w:pPr>
      <w:r>
        <w:rPr>
          <w:rFonts w:ascii="Arial" w:cs="Arial" w:eastAsia="Arial" w:hAnsi="Arial"/>
          <w:sz w:val="24"/>
          <w:szCs w:val="24"/>
          <w:rtl/>
        </w:rPr>
        <w:t xml:space="preserve">التقارير الدورية للإدارة العليا.</w:t>
      </w:r>
    </w:p>
    <w:p>
      <w:pPr>
        <w:pStyle w:val="ListParagraph"/>
        <w:numPr>
          <w:ilvl w:val="0"/>
          <w:numId w:val="3"/>
        </w:numPr>
        <w:bidi/>
        <w:spacing w:after="100" w:line="300"/>
        <w:jc w:val="right"/>
      </w:pPr>
      <w:r>
        <w:rPr>
          <w:rFonts w:ascii="Arial" w:cs="Arial" w:eastAsia="Arial" w:hAnsi="Arial"/>
          <w:sz w:val="24"/>
          <w:szCs w:val="24"/>
          <w:rtl/>
        </w:rPr>
        <w:t xml:space="preserve">التحسين المستمر.</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معالجة حوادث تسرب البيانات</w:t>
      </w:r>
    </w:p>
    <w:p>
      <w:pPr>
        <w:bidi/>
        <w:spacing w:after="140" w:line="320"/>
        <w:jc w:val="both"/>
      </w:pPr>
      <w:r>
        <w:rPr>
          <w:rFonts w:ascii="Arial" w:cs="Arial" w:eastAsia="Arial" w:hAnsi="Arial"/>
          <w:sz w:val="24"/>
          <w:szCs w:val="24"/>
          <w:rtl/>
        </w:rPr>
        <w:t xml:space="preserve">رغم كل الإجراءات الوقائية، قد تقع حوادث تسرب أو اختراق للبيانات. والاستجابة السريعة والصحيحة لهذه الحوادث ضرورية للحد من الأضرار وتجنب العقوبات.</w:t>
      </w:r>
    </w:p>
    <w:p>
      <w:pPr>
        <w:pStyle w:val="Heading2"/>
        <w:bidi/>
        <w:spacing w:after="160" w:before="280"/>
        <w:jc w:val="right"/>
      </w:pPr>
      <w:r>
        <w:rPr>
          <w:rFonts w:ascii="Arial" w:cs="Arial" w:eastAsia="Arial" w:hAnsi="Arial"/>
          <w:b/>
          <w:bCs/>
          <w:color w:val="2E75B6"/>
          <w:sz w:val="30"/>
          <w:szCs w:val="30"/>
          <w:rtl/>
        </w:rPr>
        <w:t xml:space="preserve">1. أنواع حوادث تسرب البيانات</w:t>
      </w:r>
    </w:p>
    <w:p>
      <w:pPr>
        <w:pStyle w:val="ListParagraph"/>
        <w:numPr>
          <w:ilvl w:val="0"/>
          <w:numId w:val="2"/>
        </w:numPr>
        <w:bidi/>
        <w:spacing w:after="100" w:line="300"/>
        <w:jc w:val="right"/>
      </w:pPr>
      <w:r>
        <w:rPr>
          <w:rFonts w:ascii="Arial" w:cs="Arial" w:eastAsia="Arial" w:hAnsi="Arial"/>
          <w:sz w:val="24"/>
          <w:szCs w:val="24"/>
          <w:rtl/>
        </w:rPr>
        <w:t xml:space="preserve">الاختراق السيبراني من جهات خارجية.</w:t>
      </w:r>
    </w:p>
    <w:p>
      <w:pPr>
        <w:pStyle w:val="ListParagraph"/>
        <w:numPr>
          <w:ilvl w:val="0"/>
          <w:numId w:val="2"/>
        </w:numPr>
        <w:bidi/>
        <w:spacing w:after="100" w:line="300"/>
        <w:jc w:val="right"/>
      </w:pPr>
      <w:r>
        <w:rPr>
          <w:rFonts w:ascii="Arial" w:cs="Arial" w:eastAsia="Arial" w:hAnsi="Arial"/>
          <w:sz w:val="24"/>
          <w:szCs w:val="24"/>
          <w:rtl/>
        </w:rPr>
        <w:t xml:space="preserve">التسرب الداخلي من موظفين أو متعاقدين.</w:t>
      </w:r>
    </w:p>
    <w:p>
      <w:pPr>
        <w:pStyle w:val="ListParagraph"/>
        <w:numPr>
          <w:ilvl w:val="0"/>
          <w:numId w:val="2"/>
        </w:numPr>
        <w:bidi/>
        <w:spacing w:after="100" w:line="300"/>
        <w:jc w:val="right"/>
      </w:pPr>
      <w:r>
        <w:rPr>
          <w:rFonts w:ascii="Arial" w:cs="Arial" w:eastAsia="Arial" w:hAnsi="Arial"/>
          <w:sz w:val="24"/>
          <w:szCs w:val="24"/>
          <w:rtl/>
        </w:rPr>
        <w:t xml:space="preserve">فقدان أجهزة تحوي بيانات.</w:t>
      </w:r>
    </w:p>
    <w:p>
      <w:pPr>
        <w:pStyle w:val="ListParagraph"/>
        <w:numPr>
          <w:ilvl w:val="0"/>
          <w:numId w:val="2"/>
        </w:numPr>
        <w:bidi/>
        <w:spacing w:after="100" w:line="300"/>
        <w:jc w:val="right"/>
      </w:pPr>
      <w:r>
        <w:rPr>
          <w:rFonts w:ascii="Arial" w:cs="Arial" w:eastAsia="Arial" w:hAnsi="Arial"/>
          <w:sz w:val="24"/>
          <w:szCs w:val="24"/>
          <w:rtl/>
        </w:rPr>
        <w:t xml:space="preserve">الإرسال الخاطئ للبيانات لأطراف غير مخولين.</w:t>
      </w:r>
    </w:p>
    <w:p>
      <w:pPr>
        <w:pStyle w:val="ListParagraph"/>
        <w:numPr>
          <w:ilvl w:val="0"/>
          <w:numId w:val="2"/>
        </w:numPr>
        <w:bidi/>
        <w:spacing w:after="100" w:line="300"/>
        <w:jc w:val="right"/>
      </w:pPr>
      <w:r>
        <w:rPr>
          <w:rFonts w:ascii="Arial" w:cs="Arial" w:eastAsia="Arial" w:hAnsi="Arial"/>
          <w:sz w:val="24"/>
          <w:szCs w:val="24"/>
          <w:rtl/>
        </w:rPr>
        <w:t xml:space="preserve">النشر العام للبيانات بطريق الخطأ.</w:t>
      </w:r>
    </w:p>
    <w:p>
      <w:pPr>
        <w:pStyle w:val="Heading2"/>
        <w:bidi/>
        <w:spacing w:after="160" w:before="280"/>
        <w:jc w:val="right"/>
      </w:pPr>
      <w:r>
        <w:rPr>
          <w:rFonts w:ascii="Arial" w:cs="Arial" w:eastAsia="Arial" w:hAnsi="Arial"/>
          <w:b/>
          <w:bCs/>
          <w:color w:val="2E75B6"/>
          <w:sz w:val="30"/>
          <w:szCs w:val="30"/>
          <w:rtl/>
        </w:rPr>
        <w:t xml:space="preserve">2. خطوات الاستجابة الفورية</w:t>
      </w:r>
    </w:p>
    <w:p>
      <w:pPr>
        <w:pStyle w:val="ListParagraph"/>
        <w:numPr>
          <w:ilvl w:val="0"/>
          <w:numId w:val="3"/>
        </w:numPr>
        <w:bidi/>
        <w:spacing w:after="100" w:line="300"/>
        <w:jc w:val="right"/>
      </w:pPr>
      <w:r>
        <w:rPr>
          <w:rFonts w:ascii="Arial" w:cs="Arial" w:eastAsia="Arial" w:hAnsi="Arial"/>
          <w:sz w:val="24"/>
          <w:szCs w:val="24"/>
          <w:rtl/>
        </w:rPr>
        <w:t xml:space="preserve">اكتشاف الحادث وتقدير حجمه.</w:t>
      </w:r>
    </w:p>
    <w:p>
      <w:pPr>
        <w:pStyle w:val="ListParagraph"/>
        <w:numPr>
          <w:ilvl w:val="0"/>
          <w:numId w:val="3"/>
        </w:numPr>
        <w:bidi/>
        <w:spacing w:after="100" w:line="300"/>
        <w:jc w:val="right"/>
      </w:pPr>
      <w:r>
        <w:rPr>
          <w:rFonts w:ascii="Arial" w:cs="Arial" w:eastAsia="Arial" w:hAnsi="Arial"/>
          <w:sz w:val="24"/>
          <w:szCs w:val="24"/>
          <w:rtl/>
        </w:rPr>
        <w:t xml:space="preserve">احتواء الحادث ومنع تفاقمه.</w:t>
      </w:r>
    </w:p>
    <w:p>
      <w:pPr>
        <w:pStyle w:val="ListParagraph"/>
        <w:numPr>
          <w:ilvl w:val="0"/>
          <w:numId w:val="3"/>
        </w:numPr>
        <w:bidi/>
        <w:spacing w:after="100" w:line="300"/>
        <w:jc w:val="right"/>
      </w:pPr>
      <w:r>
        <w:rPr>
          <w:rFonts w:ascii="Arial" w:cs="Arial" w:eastAsia="Arial" w:hAnsi="Arial"/>
          <w:sz w:val="24"/>
          <w:szCs w:val="24"/>
          <w:rtl/>
        </w:rPr>
        <w:t xml:space="preserve">توثيق جميع تفاصيل الحادث.</w:t>
      </w:r>
    </w:p>
    <w:p>
      <w:pPr>
        <w:pStyle w:val="ListParagraph"/>
        <w:numPr>
          <w:ilvl w:val="0"/>
          <w:numId w:val="3"/>
        </w:numPr>
        <w:bidi/>
        <w:spacing w:after="100" w:line="300"/>
        <w:jc w:val="right"/>
      </w:pPr>
      <w:r>
        <w:rPr>
          <w:rFonts w:ascii="Arial" w:cs="Arial" w:eastAsia="Arial" w:hAnsi="Arial"/>
          <w:sz w:val="24"/>
          <w:szCs w:val="24"/>
          <w:rtl/>
        </w:rPr>
        <w:t xml:space="preserve">تشكيل فريق الاستجابة.</w:t>
      </w:r>
    </w:p>
    <w:p>
      <w:pPr>
        <w:pStyle w:val="ListParagraph"/>
        <w:numPr>
          <w:ilvl w:val="0"/>
          <w:numId w:val="3"/>
        </w:numPr>
        <w:bidi/>
        <w:spacing w:after="100" w:line="300"/>
        <w:jc w:val="right"/>
      </w:pPr>
      <w:r>
        <w:rPr>
          <w:rFonts w:ascii="Arial" w:cs="Arial" w:eastAsia="Arial" w:hAnsi="Arial"/>
          <w:sz w:val="24"/>
          <w:szCs w:val="24"/>
          <w:rtl/>
        </w:rPr>
        <w:t xml:space="preserve">تقييم البيانات المتأثرة.</w:t>
      </w:r>
    </w:p>
    <w:p>
      <w:pPr>
        <w:pStyle w:val="Heading2"/>
        <w:bidi/>
        <w:spacing w:after="160" w:before="280"/>
        <w:jc w:val="right"/>
      </w:pPr>
      <w:r>
        <w:rPr>
          <w:rFonts w:ascii="Arial" w:cs="Arial" w:eastAsia="Arial" w:hAnsi="Arial"/>
          <w:b/>
          <w:bCs/>
          <w:color w:val="2E75B6"/>
          <w:sz w:val="30"/>
          <w:szCs w:val="30"/>
          <w:rtl/>
        </w:rPr>
        <w:t xml:space="preserve">3. الإخطار النظامي</w:t>
      </w:r>
    </w:p>
    <w:p>
      <w:pPr>
        <w:bidi/>
        <w:spacing w:after="140" w:line="320"/>
        <w:jc w:val="both"/>
      </w:pPr>
      <w:r>
        <w:rPr>
          <w:rFonts w:ascii="Arial" w:cs="Arial" w:eastAsia="Arial" w:hAnsi="Arial"/>
          <w:sz w:val="24"/>
          <w:szCs w:val="24"/>
          <w:rtl/>
        </w:rPr>
        <w:t xml:space="preserve">وفقاً لنظام PDPL، يجب على جهة التحكم إخطار سدايا فور علمها بحادث تسرب البيانات، خلال مهلة زمنية محددة. ويشمل الإخطار:</w:t>
      </w:r>
    </w:p>
    <w:p>
      <w:pPr>
        <w:pStyle w:val="ListParagraph"/>
        <w:numPr>
          <w:ilvl w:val="0"/>
          <w:numId w:val="2"/>
        </w:numPr>
        <w:bidi/>
        <w:spacing w:after="100" w:line="300"/>
        <w:jc w:val="right"/>
      </w:pPr>
      <w:r>
        <w:rPr>
          <w:rFonts w:ascii="Arial" w:cs="Arial" w:eastAsia="Arial" w:hAnsi="Arial"/>
          <w:sz w:val="24"/>
          <w:szCs w:val="24"/>
          <w:rtl/>
        </w:rPr>
        <w:t xml:space="preserve">طبيعة الحادث وأسبابه.</w:t>
      </w:r>
    </w:p>
    <w:p>
      <w:pPr>
        <w:pStyle w:val="ListParagraph"/>
        <w:numPr>
          <w:ilvl w:val="0"/>
          <w:numId w:val="2"/>
        </w:numPr>
        <w:bidi/>
        <w:spacing w:after="100" w:line="300"/>
        <w:jc w:val="right"/>
      </w:pPr>
      <w:r>
        <w:rPr>
          <w:rFonts w:ascii="Arial" w:cs="Arial" w:eastAsia="Arial" w:hAnsi="Arial"/>
          <w:sz w:val="24"/>
          <w:szCs w:val="24"/>
          <w:rtl/>
        </w:rPr>
        <w:t xml:space="preserve">البيانات المتأثرة وحجمها.</w:t>
      </w:r>
    </w:p>
    <w:p>
      <w:pPr>
        <w:pStyle w:val="ListParagraph"/>
        <w:numPr>
          <w:ilvl w:val="0"/>
          <w:numId w:val="2"/>
        </w:numPr>
        <w:bidi/>
        <w:spacing w:after="100" w:line="300"/>
        <w:jc w:val="right"/>
      </w:pPr>
      <w:r>
        <w:rPr>
          <w:rFonts w:ascii="Arial" w:cs="Arial" w:eastAsia="Arial" w:hAnsi="Arial"/>
          <w:sz w:val="24"/>
          <w:szCs w:val="24"/>
          <w:rtl/>
        </w:rPr>
        <w:t xml:space="preserve">عدد أصحاب البيانات المتأثرين.</w:t>
      </w:r>
    </w:p>
    <w:p>
      <w:pPr>
        <w:pStyle w:val="ListParagraph"/>
        <w:numPr>
          <w:ilvl w:val="0"/>
          <w:numId w:val="2"/>
        </w:numPr>
        <w:bidi/>
        <w:spacing w:after="100" w:line="300"/>
        <w:jc w:val="right"/>
      </w:pPr>
      <w:r>
        <w:rPr>
          <w:rFonts w:ascii="Arial" w:cs="Arial" w:eastAsia="Arial" w:hAnsi="Arial"/>
          <w:sz w:val="24"/>
          <w:szCs w:val="24"/>
          <w:rtl/>
        </w:rPr>
        <w:t xml:space="preserve">التدابير المتخذة للاحتواء.</w:t>
      </w:r>
    </w:p>
    <w:p>
      <w:pPr>
        <w:pStyle w:val="ListParagraph"/>
        <w:numPr>
          <w:ilvl w:val="0"/>
          <w:numId w:val="2"/>
        </w:numPr>
        <w:bidi/>
        <w:spacing w:after="100" w:line="300"/>
        <w:jc w:val="right"/>
      </w:pPr>
      <w:r>
        <w:rPr>
          <w:rFonts w:ascii="Arial" w:cs="Arial" w:eastAsia="Arial" w:hAnsi="Arial"/>
          <w:sz w:val="24"/>
          <w:szCs w:val="24"/>
          <w:rtl/>
        </w:rPr>
        <w:t xml:space="preserve">التدابير المقترحة للمنع المستقبلي.</w:t>
      </w:r>
    </w:p>
    <w:p>
      <w:pPr>
        <w:pStyle w:val="Heading2"/>
        <w:bidi/>
        <w:spacing w:after="160" w:before="280"/>
        <w:jc w:val="right"/>
      </w:pPr>
      <w:r>
        <w:rPr>
          <w:rFonts w:ascii="Arial" w:cs="Arial" w:eastAsia="Arial" w:hAnsi="Arial"/>
          <w:b/>
          <w:bCs/>
          <w:color w:val="2E75B6"/>
          <w:sz w:val="30"/>
          <w:szCs w:val="30"/>
          <w:rtl/>
        </w:rPr>
        <w:t xml:space="preserve">4. إخطار أصحاب البيانات</w:t>
      </w:r>
    </w:p>
    <w:p>
      <w:pPr>
        <w:bidi/>
        <w:spacing w:after="140" w:line="320"/>
        <w:jc w:val="both"/>
      </w:pPr>
      <w:r>
        <w:rPr>
          <w:rFonts w:ascii="Arial" w:cs="Arial" w:eastAsia="Arial" w:hAnsi="Arial"/>
          <w:sz w:val="24"/>
          <w:szCs w:val="24"/>
          <w:rtl/>
        </w:rPr>
        <w:t xml:space="preserve">في حالات الحوادث الجسيمة التي تنطوي على مخاطر عالية على أصحاب البيانات، يجب إخطارهم مباشرةً، مع:</w:t>
      </w:r>
    </w:p>
    <w:p>
      <w:pPr>
        <w:pStyle w:val="ListParagraph"/>
        <w:numPr>
          <w:ilvl w:val="0"/>
          <w:numId w:val="2"/>
        </w:numPr>
        <w:bidi/>
        <w:spacing w:after="100" w:line="300"/>
        <w:jc w:val="right"/>
      </w:pPr>
      <w:r>
        <w:rPr>
          <w:rFonts w:ascii="Arial" w:cs="Arial" w:eastAsia="Arial" w:hAnsi="Arial"/>
          <w:sz w:val="24"/>
          <w:szCs w:val="24"/>
          <w:rtl/>
        </w:rPr>
        <w:t xml:space="preserve">وصف واضح للحادث.</w:t>
      </w:r>
    </w:p>
    <w:p>
      <w:pPr>
        <w:pStyle w:val="ListParagraph"/>
        <w:numPr>
          <w:ilvl w:val="0"/>
          <w:numId w:val="2"/>
        </w:numPr>
        <w:bidi/>
        <w:spacing w:after="100" w:line="300"/>
        <w:jc w:val="right"/>
      </w:pPr>
      <w:r>
        <w:rPr>
          <w:rFonts w:ascii="Arial" w:cs="Arial" w:eastAsia="Arial" w:hAnsi="Arial"/>
          <w:sz w:val="24"/>
          <w:szCs w:val="24"/>
          <w:rtl/>
        </w:rPr>
        <w:t xml:space="preserve">البيانات المتأثرة.</w:t>
      </w:r>
    </w:p>
    <w:p>
      <w:pPr>
        <w:pStyle w:val="ListParagraph"/>
        <w:numPr>
          <w:ilvl w:val="0"/>
          <w:numId w:val="2"/>
        </w:numPr>
        <w:bidi/>
        <w:spacing w:after="100" w:line="300"/>
        <w:jc w:val="right"/>
      </w:pPr>
      <w:r>
        <w:rPr>
          <w:rFonts w:ascii="Arial" w:cs="Arial" w:eastAsia="Arial" w:hAnsi="Arial"/>
          <w:sz w:val="24"/>
          <w:szCs w:val="24"/>
          <w:rtl/>
        </w:rPr>
        <w:t xml:space="preserve">التدابير المتخذة.</w:t>
      </w:r>
    </w:p>
    <w:p>
      <w:pPr>
        <w:pStyle w:val="ListParagraph"/>
        <w:numPr>
          <w:ilvl w:val="0"/>
          <w:numId w:val="2"/>
        </w:numPr>
        <w:bidi/>
        <w:spacing w:after="100" w:line="300"/>
        <w:jc w:val="right"/>
      </w:pPr>
      <w:r>
        <w:rPr>
          <w:rFonts w:ascii="Arial" w:cs="Arial" w:eastAsia="Arial" w:hAnsi="Arial"/>
          <w:sz w:val="24"/>
          <w:szCs w:val="24"/>
          <w:rtl/>
        </w:rPr>
        <w:t xml:space="preserve">الإجراءات الموصى بها للحماية.</w:t>
      </w:r>
    </w:p>
    <w:p>
      <w:pPr>
        <w:pStyle w:val="ListParagraph"/>
        <w:numPr>
          <w:ilvl w:val="0"/>
          <w:numId w:val="2"/>
        </w:numPr>
        <w:bidi/>
        <w:spacing w:after="100" w:line="300"/>
        <w:jc w:val="right"/>
      </w:pPr>
      <w:r>
        <w:rPr>
          <w:rFonts w:ascii="Arial" w:cs="Arial" w:eastAsia="Arial" w:hAnsi="Arial"/>
          <w:sz w:val="24"/>
          <w:szCs w:val="24"/>
          <w:rtl/>
        </w:rPr>
        <w:t xml:space="preserve">بيانات الاتصال لمزيد من المعلومات.</w:t>
      </w:r>
    </w:p>
    <w:p>
      <w:pPr>
        <w:pStyle w:val="Heading2"/>
        <w:bidi/>
        <w:spacing w:after="160" w:before="280"/>
        <w:jc w:val="right"/>
      </w:pPr>
      <w:r>
        <w:rPr>
          <w:rFonts w:ascii="Arial" w:cs="Arial" w:eastAsia="Arial" w:hAnsi="Arial"/>
          <w:b/>
          <w:bCs/>
          <w:color w:val="2E75B6"/>
          <w:sz w:val="30"/>
          <w:szCs w:val="30"/>
          <w:rtl/>
        </w:rPr>
        <w:t xml:space="preserve">5. التحقيق والمعالجة</w:t>
      </w:r>
    </w:p>
    <w:p>
      <w:pPr>
        <w:pStyle w:val="ListParagraph"/>
        <w:numPr>
          <w:ilvl w:val="0"/>
          <w:numId w:val="3"/>
        </w:numPr>
        <w:bidi/>
        <w:spacing w:after="100" w:line="300"/>
        <w:jc w:val="right"/>
      </w:pPr>
      <w:r>
        <w:rPr>
          <w:rFonts w:ascii="Arial" w:cs="Arial" w:eastAsia="Arial" w:hAnsi="Arial"/>
          <w:sz w:val="24"/>
          <w:szCs w:val="24"/>
          <w:rtl/>
        </w:rPr>
        <w:t xml:space="preserve">تحقيق شامل في أسباب الحادث.</w:t>
      </w:r>
    </w:p>
    <w:p>
      <w:pPr>
        <w:pStyle w:val="ListParagraph"/>
        <w:numPr>
          <w:ilvl w:val="0"/>
          <w:numId w:val="3"/>
        </w:numPr>
        <w:bidi/>
        <w:spacing w:after="100" w:line="300"/>
        <w:jc w:val="right"/>
      </w:pPr>
      <w:r>
        <w:rPr>
          <w:rFonts w:ascii="Arial" w:cs="Arial" w:eastAsia="Arial" w:hAnsi="Arial"/>
          <w:sz w:val="24"/>
          <w:szCs w:val="24"/>
          <w:rtl/>
        </w:rPr>
        <w:t xml:space="preserve">معالجة الأسباب الجذرية.</w:t>
      </w:r>
    </w:p>
    <w:p>
      <w:pPr>
        <w:pStyle w:val="ListParagraph"/>
        <w:numPr>
          <w:ilvl w:val="0"/>
          <w:numId w:val="3"/>
        </w:numPr>
        <w:bidi/>
        <w:spacing w:after="100" w:line="300"/>
        <w:jc w:val="right"/>
      </w:pPr>
      <w:r>
        <w:rPr>
          <w:rFonts w:ascii="Arial" w:cs="Arial" w:eastAsia="Arial" w:hAnsi="Arial"/>
          <w:sz w:val="24"/>
          <w:szCs w:val="24"/>
          <w:rtl/>
        </w:rPr>
        <w:t xml:space="preserve">تطوير ضوابط إضافية لمنع التكرار.</w:t>
      </w:r>
    </w:p>
    <w:p>
      <w:pPr>
        <w:pStyle w:val="ListParagraph"/>
        <w:numPr>
          <w:ilvl w:val="0"/>
          <w:numId w:val="3"/>
        </w:numPr>
        <w:bidi/>
        <w:spacing w:after="100" w:line="300"/>
        <w:jc w:val="right"/>
      </w:pPr>
      <w:r>
        <w:rPr>
          <w:rFonts w:ascii="Arial" w:cs="Arial" w:eastAsia="Arial" w:hAnsi="Arial"/>
          <w:sz w:val="24"/>
          <w:szCs w:val="24"/>
          <w:rtl/>
        </w:rPr>
        <w:t xml:space="preserve">التواصل مع الجهات المختصة (الأمن السيبراني).</w:t>
      </w:r>
    </w:p>
    <w:p>
      <w:pPr>
        <w:pStyle w:val="ListParagraph"/>
        <w:numPr>
          <w:ilvl w:val="0"/>
          <w:numId w:val="3"/>
        </w:numPr>
        <w:bidi/>
        <w:spacing w:after="100" w:line="300"/>
        <w:jc w:val="right"/>
      </w:pPr>
      <w:r>
        <w:rPr>
          <w:rFonts w:ascii="Arial" w:cs="Arial" w:eastAsia="Arial" w:hAnsi="Arial"/>
          <w:sz w:val="24"/>
          <w:szCs w:val="24"/>
          <w:rtl/>
        </w:rPr>
        <w:t xml:space="preserve">التعويض المناسب للمتأثرين.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العقوبات في حالة المخالفة</w:t>
      </w:r>
    </w:p>
    <w:p>
      <w:pPr>
        <w:bidi/>
        <w:spacing w:after="140" w:line="320"/>
        <w:jc w:val="both"/>
      </w:pPr>
      <w:r>
        <w:rPr>
          <w:rFonts w:ascii="Arial" w:cs="Arial" w:eastAsia="Arial" w:hAnsi="Arial"/>
          <w:sz w:val="24"/>
          <w:szCs w:val="24"/>
          <w:rtl/>
        </w:rPr>
        <w:t xml:space="preserve">يفرض النظام عقوبات صارمة على المخالفات، تتدرج بحسب طبيعة المخالفة وشدتها: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نوع المخالفة</w:t>
            </w:r>
          </w:p>
        </w:tc>
        <w:tc>
          <w:tcPr>
            <w:tcW w:type="dxa" w:w="55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العقوبة</w:t>
            </w:r>
          </w:p>
        </w:tc>
      </w:tr>
      <w:tr>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إفصاح بيانات حساسة بشكل غير مشروع</w:t>
            </w:r>
          </w:p>
        </w:tc>
        <w:tc>
          <w:tcPr>
            <w:tcW w:type="dxa" w:w="5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السجن مدة لا تزيد على سنتين، وغرامة لا تزيد على 3 ملايين ريال</w:t>
            </w:r>
          </w:p>
        </w:tc>
      </w:tr>
      <w:tr>
        <w:tc>
          <w:tcPr>
            <w:tcW w:type="dxa" w:w="3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مخالفات أخرى لأحكام النظام</w:t>
            </w:r>
          </w:p>
        </w:tc>
        <w:tc>
          <w:tcPr>
            <w:tcW w:type="dxa" w:w="5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تحذير، أو غرامة لا تزيد على 5 ملايين ريال</w:t>
            </w:r>
          </w:p>
        </w:tc>
      </w:tr>
      <w:tr>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المخالفة المتكررة</w:t>
            </w:r>
          </w:p>
        </w:tc>
        <w:tc>
          <w:tcPr>
            <w:tcW w:type="dxa" w:w="5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مضاعفة الغرامة إلى 10 ملايين ريال</w:t>
            </w:r>
          </w:p>
        </w:tc>
      </w:tr>
      <w:tr>
        <w:tc>
          <w:tcPr>
            <w:tcW w:type="dxa" w:w="3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نقل البيانات خارج المملكة بدون مسوغ</w:t>
            </w:r>
          </w:p>
        </w:tc>
        <w:tc>
          <w:tcPr>
            <w:tcW w:type="dxa" w:w="5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غرامة وفق ما تحدده اللائحة</w:t>
            </w:r>
          </w:p>
        </w:tc>
      </w:tr>
      <w:tr>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عدم الإخطار بحوادث التسرب</w:t>
            </w:r>
          </w:p>
        </w:tc>
        <w:tc>
          <w:tcPr>
            <w:tcW w:type="dxa" w:w="5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غرامة إدارية</w:t>
            </w:r>
          </w:p>
        </w:tc>
      </w:tr>
      <w:tr>
        <w:tc>
          <w:tcPr>
            <w:tcW w:type="dxa" w:w="3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انتهاكات تتعلق بالأطفال</w:t>
            </w:r>
          </w:p>
        </w:tc>
        <w:tc>
          <w:tcPr>
            <w:tcW w:type="dxa" w:w="5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عقوبات مشددة</w:t>
            </w:r>
          </w:p>
        </w:tc>
      </w:tr>
    </w:tbl>
    <w:p>
      <w:pPr>
        <w:bidi/>
        <w:spacing w:after="140" w:line="320"/>
        <w:jc w:val="both"/>
      </w:pPr>
      <w:r>
        <w:rPr>
          <w:rFonts w:ascii="Arial" w:cs="Arial" w:eastAsia="Arial" w:hAnsi="Arial"/>
          <w:sz w:val="24"/>
          <w:szCs w:val="24"/>
          <w:rtl/>
        </w:rPr>
        <w:t xml:space="preserve">بالإضافة إلى العقوبات الجزائية، قد يحق لأصحاب البيانات المتأثرين المطالبة بتعويضات مدنية عن الأضرار التي لحقت بهم.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التحديات الشائعة في تطبيق النظام</w:t>
      </w:r>
    </w:p>
    <w:p>
      <w:pPr>
        <w:pStyle w:val="Heading2"/>
        <w:bidi/>
        <w:spacing w:after="160" w:before="280"/>
        <w:jc w:val="right"/>
      </w:pPr>
      <w:r>
        <w:rPr>
          <w:rFonts w:ascii="Arial" w:cs="Arial" w:eastAsia="Arial" w:hAnsi="Arial"/>
          <w:b/>
          <w:bCs/>
          <w:color w:val="2E75B6"/>
          <w:sz w:val="30"/>
          <w:szCs w:val="30"/>
          <w:rtl/>
        </w:rPr>
        <w:t xml:space="preserve">1. الحجم الكبير للبيانات</w:t>
      </w:r>
    </w:p>
    <w:p>
      <w:pPr>
        <w:bidi/>
        <w:spacing w:after="140" w:line="320"/>
        <w:jc w:val="both"/>
      </w:pPr>
      <w:r>
        <w:rPr>
          <w:rFonts w:ascii="Arial" w:cs="Arial" w:eastAsia="Arial" w:hAnsi="Arial"/>
          <w:sz w:val="24"/>
          <w:szCs w:val="24"/>
          <w:rtl/>
        </w:rPr>
        <w:t xml:space="preserve">التحدي: الشركات المساهمة تحوز بيانات لآلاف المساهمين، مما يجعل تطبيق المتطلبات تحدياً تشغيلياً.</w:t>
      </w:r>
    </w:p>
    <w:p>
      <w:pPr>
        <w:bidi/>
        <w:spacing w:after="140" w:line="320"/>
        <w:jc w:val="both"/>
      </w:pPr>
      <w:r>
        <w:rPr>
          <w:rFonts w:ascii="Arial" w:cs="Arial" w:eastAsia="Arial" w:hAnsi="Arial"/>
          <w:sz w:val="24"/>
          <w:szCs w:val="24"/>
          <w:rtl/>
        </w:rPr>
        <w:t xml:space="preserve">الحل: استخدام أدوات أتمتة متقدمة، تصنيف البيانات بطرق منهجية، الاستثمار في الأنظمة المتطورة.</w:t>
      </w:r>
    </w:p>
    <w:p>
      <w:pPr>
        <w:pStyle w:val="Heading2"/>
        <w:bidi/>
        <w:spacing w:after="160" w:before="280"/>
        <w:jc w:val="right"/>
      </w:pPr>
      <w:r>
        <w:rPr>
          <w:rFonts w:ascii="Arial" w:cs="Arial" w:eastAsia="Arial" w:hAnsi="Arial"/>
          <w:b/>
          <w:bCs/>
          <w:color w:val="2E75B6"/>
          <w:sz w:val="30"/>
          <w:szCs w:val="30"/>
          <w:rtl/>
        </w:rPr>
        <w:t xml:space="preserve">2. التكامل مع الأنظمة القديمة</w:t>
      </w:r>
    </w:p>
    <w:p>
      <w:pPr>
        <w:bidi/>
        <w:spacing w:after="140" w:line="320"/>
        <w:jc w:val="both"/>
      </w:pPr>
      <w:r>
        <w:rPr>
          <w:rFonts w:ascii="Arial" w:cs="Arial" w:eastAsia="Arial" w:hAnsi="Arial"/>
          <w:sz w:val="24"/>
          <w:szCs w:val="24"/>
          <w:rtl/>
        </w:rPr>
        <w:t xml:space="preserve">التحدي: الأنظمة القديمة قد لا تدعم متطلبات الخصوصية الحديثة.</w:t>
      </w:r>
    </w:p>
    <w:p>
      <w:pPr>
        <w:bidi/>
        <w:spacing w:after="140" w:line="320"/>
        <w:jc w:val="both"/>
      </w:pPr>
      <w:r>
        <w:rPr>
          <w:rFonts w:ascii="Arial" w:cs="Arial" w:eastAsia="Arial" w:hAnsi="Arial"/>
          <w:sz w:val="24"/>
          <w:szCs w:val="24"/>
          <w:rtl/>
        </w:rPr>
        <w:t xml:space="preserve">الحل: التحديث التدريجي، استخدام طبقات وسيطة، الانتقال للسحابة.</w:t>
      </w:r>
    </w:p>
    <w:p>
      <w:pPr>
        <w:pStyle w:val="Heading2"/>
        <w:bidi/>
        <w:spacing w:after="160" w:before="280"/>
        <w:jc w:val="right"/>
      </w:pPr>
      <w:r>
        <w:rPr>
          <w:rFonts w:ascii="Arial" w:cs="Arial" w:eastAsia="Arial" w:hAnsi="Arial"/>
          <w:b/>
          <w:bCs/>
          <w:color w:val="2E75B6"/>
          <w:sz w:val="30"/>
          <w:szCs w:val="30"/>
          <w:rtl/>
        </w:rPr>
        <w:t xml:space="preserve">3. ثقافة المنظمة</w:t>
      </w:r>
    </w:p>
    <w:p>
      <w:pPr>
        <w:bidi/>
        <w:spacing w:after="140" w:line="320"/>
        <w:jc w:val="both"/>
      </w:pPr>
      <w:r>
        <w:rPr>
          <w:rFonts w:ascii="Arial" w:cs="Arial" w:eastAsia="Arial" w:hAnsi="Arial"/>
          <w:sz w:val="24"/>
          <w:szCs w:val="24"/>
          <w:rtl/>
        </w:rPr>
        <w:t xml:space="preserve">التحدي: تغيير الثقافة المؤسسية للتعامل مع البيانات بحساسية أعلى.</w:t>
      </w:r>
    </w:p>
    <w:p>
      <w:pPr>
        <w:bidi/>
        <w:spacing w:after="140" w:line="320"/>
        <w:jc w:val="both"/>
      </w:pPr>
      <w:r>
        <w:rPr>
          <w:rFonts w:ascii="Arial" w:cs="Arial" w:eastAsia="Arial" w:hAnsi="Arial"/>
          <w:sz w:val="24"/>
          <w:szCs w:val="24"/>
          <w:rtl/>
        </w:rPr>
        <w:t xml:space="preserve">الحل: برامج تدريبية مستمرة، نشر الوعي بأهمية الخصوصية، قيادة فاعلة من الإدارة العليا.</w:t>
      </w:r>
    </w:p>
    <w:p>
      <w:pPr>
        <w:pStyle w:val="Heading2"/>
        <w:bidi/>
        <w:spacing w:after="160" w:before="280"/>
        <w:jc w:val="right"/>
      </w:pPr>
      <w:r>
        <w:rPr>
          <w:rFonts w:ascii="Arial" w:cs="Arial" w:eastAsia="Arial" w:hAnsi="Arial"/>
          <w:b/>
          <w:bCs/>
          <w:color w:val="2E75B6"/>
          <w:sz w:val="30"/>
          <w:szCs w:val="30"/>
          <w:rtl/>
        </w:rPr>
        <w:t xml:space="preserve">4. التعامل مع الأطراف الثالثة</w:t>
      </w:r>
    </w:p>
    <w:p>
      <w:pPr>
        <w:bidi/>
        <w:spacing w:after="140" w:line="320"/>
        <w:jc w:val="both"/>
      </w:pPr>
      <w:r>
        <w:rPr>
          <w:rFonts w:ascii="Arial" w:cs="Arial" w:eastAsia="Arial" w:hAnsi="Arial"/>
          <w:sz w:val="24"/>
          <w:szCs w:val="24"/>
          <w:rtl/>
        </w:rPr>
        <w:t xml:space="preserve">التحدي: ضمان امتثال جميع الشركاء والموردين.</w:t>
      </w:r>
    </w:p>
    <w:p>
      <w:pPr>
        <w:bidi/>
        <w:spacing w:after="140" w:line="320"/>
        <w:jc w:val="both"/>
      </w:pPr>
      <w:r>
        <w:rPr>
          <w:rFonts w:ascii="Arial" w:cs="Arial" w:eastAsia="Arial" w:hAnsi="Arial"/>
          <w:sz w:val="24"/>
          <w:szCs w:val="24"/>
          <w:rtl/>
        </w:rPr>
        <w:t xml:space="preserve">الحل: عقود واضحة، تدقيق دوري، اختيار شركاء ملتزمين.</w:t>
      </w:r>
    </w:p>
    <w:p>
      <w:pPr>
        <w:pStyle w:val="Heading2"/>
        <w:bidi/>
        <w:spacing w:after="160" w:before="280"/>
        <w:jc w:val="right"/>
      </w:pPr>
      <w:r>
        <w:rPr>
          <w:rFonts w:ascii="Arial" w:cs="Arial" w:eastAsia="Arial" w:hAnsi="Arial"/>
          <w:b/>
          <w:bCs/>
          <w:color w:val="2E75B6"/>
          <w:sz w:val="30"/>
          <w:szCs w:val="30"/>
          <w:rtl/>
        </w:rPr>
        <w:t xml:space="preserve">5. النقل عبر الحدود</w:t>
      </w:r>
    </w:p>
    <w:p>
      <w:pPr>
        <w:bidi/>
        <w:spacing w:after="140" w:line="320"/>
        <w:jc w:val="both"/>
      </w:pPr>
      <w:r>
        <w:rPr>
          <w:rFonts w:ascii="Arial" w:cs="Arial" w:eastAsia="Arial" w:hAnsi="Arial"/>
          <w:sz w:val="24"/>
          <w:szCs w:val="24"/>
          <w:rtl/>
        </w:rPr>
        <w:t xml:space="preserve">التحدي: التعامل مع المساهمين الأجانب يستوجب نقل بيانات عبر الحدود.</w:t>
      </w:r>
    </w:p>
    <w:p>
      <w:pPr>
        <w:bidi/>
        <w:spacing w:after="140" w:line="320"/>
        <w:jc w:val="both"/>
      </w:pPr>
      <w:r>
        <w:rPr>
          <w:rFonts w:ascii="Arial" w:cs="Arial" w:eastAsia="Arial" w:hAnsi="Arial"/>
          <w:sz w:val="24"/>
          <w:szCs w:val="24"/>
          <w:rtl/>
        </w:rPr>
        <w:t xml:space="preserve">الحل: الحصول على الموافقات اللازمة، استخدام آليات معتمدة، التواصل مع سدايا.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أفضل الممارسات في حماية بيانات المساهمين</w:t>
      </w:r>
    </w:p>
    <w:p>
      <w:pPr>
        <w:pStyle w:val="ListParagraph"/>
        <w:numPr>
          <w:ilvl w:val="0"/>
          <w:numId w:val="3"/>
        </w:numPr>
        <w:bidi/>
        <w:spacing w:after="100" w:line="300"/>
        <w:jc w:val="right"/>
      </w:pPr>
      <w:r>
        <w:rPr>
          <w:rFonts w:ascii="Arial" w:cs="Arial" w:eastAsia="Arial" w:hAnsi="Arial"/>
          <w:sz w:val="24"/>
          <w:szCs w:val="24"/>
          <w:rtl/>
        </w:rPr>
        <w:t xml:space="preserve">الخصوصية بالتصميم (Privacy by Design): تضمين متطلبات الخصوصية في تصميم الأنظمة من البداية.</w:t>
      </w:r>
    </w:p>
    <w:p>
      <w:pPr>
        <w:pStyle w:val="ListParagraph"/>
        <w:numPr>
          <w:ilvl w:val="0"/>
          <w:numId w:val="3"/>
        </w:numPr>
        <w:bidi/>
        <w:spacing w:after="100" w:line="300"/>
        <w:jc w:val="right"/>
      </w:pPr>
      <w:r>
        <w:rPr>
          <w:rFonts w:ascii="Arial" w:cs="Arial" w:eastAsia="Arial" w:hAnsi="Arial"/>
          <w:sz w:val="24"/>
          <w:szCs w:val="24"/>
          <w:rtl/>
        </w:rPr>
        <w:t xml:space="preserve">الخصوصية افتراضياً (Privacy by Default): جعل الإعدادات الافتراضية هي الأكثر حماية للخصوصية.</w:t>
      </w:r>
    </w:p>
    <w:p>
      <w:pPr>
        <w:pStyle w:val="ListParagraph"/>
        <w:numPr>
          <w:ilvl w:val="0"/>
          <w:numId w:val="3"/>
        </w:numPr>
        <w:bidi/>
        <w:spacing w:after="100" w:line="300"/>
        <w:jc w:val="right"/>
      </w:pPr>
      <w:r>
        <w:rPr>
          <w:rFonts w:ascii="Arial" w:cs="Arial" w:eastAsia="Arial" w:hAnsi="Arial"/>
          <w:sz w:val="24"/>
          <w:szCs w:val="24"/>
          <w:rtl/>
        </w:rPr>
        <w:t xml:space="preserve">التقليل من البيانات: عدم جمع بيانات إضافية بدون مبرر.</w:t>
      </w:r>
    </w:p>
    <w:p>
      <w:pPr>
        <w:pStyle w:val="ListParagraph"/>
        <w:numPr>
          <w:ilvl w:val="0"/>
          <w:numId w:val="3"/>
        </w:numPr>
        <w:bidi/>
        <w:spacing w:after="100" w:line="300"/>
        <w:jc w:val="right"/>
      </w:pPr>
      <w:r>
        <w:rPr>
          <w:rFonts w:ascii="Arial" w:cs="Arial" w:eastAsia="Arial" w:hAnsi="Arial"/>
          <w:sz w:val="24"/>
          <w:szCs w:val="24"/>
          <w:rtl/>
        </w:rPr>
        <w:t xml:space="preserve">التشفير الشامل: تشفير كل البيانات في حالتي التخزين والنقل.</w:t>
      </w:r>
    </w:p>
    <w:p>
      <w:pPr>
        <w:pStyle w:val="ListParagraph"/>
        <w:numPr>
          <w:ilvl w:val="0"/>
          <w:numId w:val="3"/>
        </w:numPr>
        <w:bidi/>
        <w:spacing w:after="100" w:line="300"/>
        <w:jc w:val="right"/>
      </w:pPr>
      <w:r>
        <w:rPr>
          <w:rFonts w:ascii="Arial" w:cs="Arial" w:eastAsia="Arial" w:hAnsi="Arial"/>
          <w:sz w:val="24"/>
          <w:szCs w:val="24"/>
          <w:rtl/>
        </w:rPr>
        <w:t xml:space="preserve">التحقق المتعدد: اعتماد التحقق المتعدد العوامل لجميع عمليات الوصول الحساسة.</w:t>
      </w:r>
    </w:p>
    <w:p>
      <w:pPr>
        <w:pStyle w:val="ListParagraph"/>
        <w:numPr>
          <w:ilvl w:val="0"/>
          <w:numId w:val="3"/>
        </w:numPr>
        <w:bidi/>
        <w:spacing w:after="100" w:line="300"/>
        <w:jc w:val="right"/>
      </w:pPr>
      <w:r>
        <w:rPr>
          <w:rFonts w:ascii="Arial" w:cs="Arial" w:eastAsia="Arial" w:hAnsi="Arial"/>
          <w:sz w:val="24"/>
          <w:szCs w:val="24"/>
          <w:rtl/>
        </w:rPr>
        <w:t xml:space="preserve">التدريب المستمر: تدريب جميع الموظفين بشكل دوري على متطلبات الخصوصية.</w:t>
      </w:r>
    </w:p>
    <w:p>
      <w:pPr>
        <w:pStyle w:val="ListParagraph"/>
        <w:numPr>
          <w:ilvl w:val="0"/>
          <w:numId w:val="3"/>
        </w:numPr>
        <w:bidi/>
        <w:spacing w:after="100" w:line="300"/>
        <w:jc w:val="right"/>
      </w:pPr>
      <w:r>
        <w:rPr>
          <w:rFonts w:ascii="Arial" w:cs="Arial" w:eastAsia="Arial" w:hAnsi="Arial"/>
          <w:sz w:val="24"/>
          <w:szCs w:val="24"/>
          <w:rtl/>
        </w:rPr>
        <w:t xml:space="preserve">المراجعة الدورية: مراجعات داخلية وخارجية منتظمة للامتثال.</w:t>
      </w:r>
    </w:p>
    <w:p>
      <w:pPr>
        <w:pStyle w:val="ListParagraph"/>
        <w:numPr>
          <w:ilvl w:val="0"/>
          <w:numId w:val="3"/>
        </w:numPr>
        <w:bidi/>
        <w:spacing w:after="100" w:line="300"/>
        <w:jc w:val="right"/>
      </w:pPr>
      <w:r>
        <w:rPr>
          <w:rFonts w:ascii="Arial" w:cs="Arial" w:eastAsia="Arial" w:hAnsi="Arial"/>
          <w:sz w:val="24"/>
          <w:szCs w:val="24"/>
          <w:rtl/>
        </w:rPr>
        <w:t xml:space="preserve">الاستجابة السريعة: خطط واضحة للاستجابة للحوادث والشكاوى.</w:t>
      </w:r>
    </w:p>
    <w:p>
      <w:pPr>
        <w:pStyle w:val="ListParagraph"/>
        <w:numPr>
          <w:ilvl w:val="0"/>
          <w:numId w:val="3"/>
        </w:numPr>
        <w:bidi/>
        <w:spacing w:after="100" w:line="300"/>
        <w:jc w:val="right"/>
      </w:pPr>
      <w:r>
        <w:rPr>
          <w:rFonts w:ascii="Arial" w:cs="Arial" w:eastAsia="Arial" w:hAnsi="Arial"/>
          <w:sz w:val="24"/>
          <w:szCs w:val="24"/>
          <w:rtl/>
        </w:rPr>
        <w:t xml:space="preserve">الشفافية: التواصل الواضح مع المساهمين حول كيفية معالجة بياناتهم.</w:t>
      </w:r>
    </w:p>
    <w:p>
      <w:pPr>
        <w:pStyle w:val="ListParagraph"/>
        <w:numPr>
          <w:ilvl w:val="0"/>
          <w:numId w:val="3"/>
        </w:numPr>
        <w:bidi/>
        <w:spacing w:after="100" w:line="300"/>
        <w:jc w:val="right"/>
      </w:pPr>
      <w:r>
        <w:rPr>
          <w:rFonts w:ascii="Arial" w:cs="Arial" w:eastAsia="Arial" w:hAnsi="Arial"/>
          <w:sz w:val="24"/>
          <w:szCs w:val="24"/>
          <w:rtl/>
        </w:rPr>
        <w:t xml:space="preserve">التحسين المستمر: تطوير الإجراءات والأنظمة بشكل مستمر بناءً على التجارب والمستجدات.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قائمة مراجعة الامتثال لـ PDPL</w:t>
      </w:r>
    </w:p>
    <w:p>
      <w:pPr>
        <w:pStyle w:val="Heading3"/>
        <w:bidi/>
        <w:spacing w:after="120" w:before="200"/>
        <w:jc w:val="right"/>
      </w:pPr>
      <w:r>
        <w:rPr>
          <w:rFonts w:ascii="Arial" w:cs="Arial" w:eastAsia="Arial" w:hAnsi="Arial"/>
          <w:b/>
          <w:bCs/>
          <w:color w:val="1F4E79"/>
          <w:sz w:val="26"/>
          <w:szCs w:val="26"/>
          <w:rtl/>
        </w:rPr>
        <w:t xml:space="preserve">على المستوى المؤسسي</w:t>
      </w:r>
    </w:p>
    <w:p>
      <w:pPr>
        <w:pStyle w:val="ListParagraph"/>
        <w:numPr>
          <w:ilvl w:val="0"/>
          <w:numId w:val="2"/>
        </w:numPr>
        <w:bidi/>
        <w:spacing w:after="100" w:line="300"/>
        <w:jc w:val="right"/>
      </w:pPr>
      <w:r>
        <w:rPr>
          <w:rFonts w:ascii="Arial" w:cs="Arial" w:eastAsia="Arial" w:hAnsi="Arial"/>
          <w:sz w:val="24"/>
          <w:szCs w:val="24"/>
          <w:rtl/>
        </w:rPr>
        <w:t xml:space="preserve">تعيين مسؤول حماية البيانات (DPO).</w:t>
      </w:r>
    </w:p>
    <w:p>
      <w:pPr>
        <w:pStyle w:val="ListParagraph"/>
        <w:numPr>
          <w:ilvl w:val="0"/>
          <w:numId w:val="2"/>
        </w:numPr>
        <w:bidi/>
        <w:spacing w:after="100" w:line="300"/>
        <w:jc w:val="right"/>
      </w:pPr>
      <w:r>
        <w:rPr>
          <w:rFonts w:ascii="Arial" w:cs="Arial" w:eastAsia="Arial" w:hAnsi="Arial"/>
          <w:sz w:val="24"/>
          <w:szCs w:val="24"/>
          <w:rtl/>
        </w:rPr>
        <w:t xml:space="preserve">تشكيل لجنة حماية البيانات.</w:t>
      </w:r>
    </w:p>
    <w:p>
      <w:pPr>
        <w:pStyle w:val="ListParagraph"/>
        <w:numPr>
          <w:ilvl w:val="0"/>
          <w:numId w:val="2"/>
        </w:numPr>
        <w:bidi/>
        <w:spacing w:after="100" w:line="300"/>
        <w:jc w:val="right"/>
      </w:pPr>
      <w:r>
        <w:rPr>
          <w:rFonts w:ascii="Arial" w:cs="Arial" w:eastAsia="Arial" w:hAnsi="Arial"/>
          <w:sz w:val="24"/>
          <w:szCs w:val="24"/>
          <w:rtl/>
        </w:rPr>
        <w:t xml:space="preserve">اعتماد سياسات الخصوصية.</w:t>
      </w:r>
    </w:p>
    <w:p>
      <w:pPr>
        <w:pStyle w:val="ListParagraph"/>
        <w:numPr>
          <w:ilvl w:val="0"/>
          <w:numId w:val="2"/>
        </w:numPr>
        <w:bidi/>
        <w:spacing w:after="100" w:line="300"/>
        <w:jc w:val="right"/>
      </w:pPr>
      <w:r>
        <w:rPr>
          <w:rFonts w:ascii="Arial" w:cs="Arial" w:eastAsia="Arial" w:hAnsi="Arial"/>
          <w:sz w:val="24"/>
          <w:szCs w:val="24"/>
          <w:rtl/>
        </w:rPr>
        <w:t xml:space="preserve">التسجيل في السجل الوطني لدى سدايا.</w:t>
      </w:r>
    </w:p>
    <w:p>
      <w:pPr>
        <w:pStyle w:val="ListParagraph"/>
        <w:numPr>
          <w:ilvl w:val="0"/>
          <w:numId w:val="2"/>
        </w:numPr>
        <w:bidi/>
        <w:spacing w:after="100" w:line="300"/>
        <w:jc w:val="right"/>
      </w:pPr>
      <w:r>
        <w:rPr>
          <w:rFonts w:ascii="Arial" w:cs="Arial" w:eastAsia="Arial" w:hAnsi="Arial"/>
          <w:sz w:val="24"/>
          <w:szCs w:val="24"/>
          <w:rtl/>
        </w:rPr>
        <w:t xml:space="preserve">تخصيص ميزانية لبرنامج الامتثال.</w:t>
      </w:r>
    </w:p>
    <w:p>
      <w:pPr>
        <w:pStyle w:val="Heading3"/>
        <w:bidi/>
        <w:spacing w:after="120" w:before="200"/>
        <w:jc w:val="right"/>
      </w:pPr>
      <w:r>
        <w:rPr>
          <w:rFonts w:ascii="Arial" w:cs="Arial" w:eastAsia="Arial" w:hAnsi="Arial"/>
          <w:b/>
          <w:bCs/>
          <w:color w:val="1F4E79"/>
          <w:sz w:val="26"/>
          <w:szCs w:val="26"/>
          <w:rtl/>
        </w:rPr>
        <w:t xml:space="preserve">على مستوى التوثيق</w:t>
      </w:r>
    </w:p>
    <w:p>
      <w:pPr>
        <w:pStyle w:val="ListParagraph"/>
        <w:numPr>
          <w:ilvl w:val="0"/>
          <w:numId w:val="2"/>
        </w:numPr>
        <w:bidi/>
        <w:spacing w:after="100" w:line="300"/>
        <w:jc w:val="right"/>
      </w:pPr>
      <w:r>
        <w:rPr>
          <w:rFonts w:ascii="Arial" w:cs="Arial" w:eastAsia="Arial" w:hAnsi="Arial"/>
          <w:sz w:val="24"/>
          <w:szCs w:val="24"/>
          <w:rtl/>
        </w:rPr>
        <w:t xml:space="preserve">جرد شامل للبيانات الشخصية.</w:t>
      </w:r>
    </w:p>
    <w:p>
      <w:pPr>
        <w:pStyle w:val="ListParagraph"/>
        <w:numPr>
          <w:ilvl w:val="0"/>
          <w:numId w:val="2"/>
        </w:numPr>
        <w:bidi/>
        <w:spacing w:after="100" w:line="300"/>
        <w:jc w:val="right"/>
      </w:pPr>
      <w:r>
        <w:rPr>
          <w:rFonts w:ascii="Arial" w:cs="Arial" w:eastAsia="Arial" w:hAnsi="Arial"/>
          <w:sz w:val="24"/>
          <w:szCs w:val="24"/>
          <w:rtl/>
        </w:rPr>
        <w:t xml:space="preserve">سجل أنشطة المعالجة (Records of Processing Activities).</w:t>
      </w:r>
    </w:p>
    <w:p>
      <w:pPr>
        <w:pStyle w:val="ListParagraph"/>
        <w:numPr>
          <w:ilvl w:val="0"/>
          <w:numId w:val="2"/>
        </w:numPr>
        <w:bidi/>
        <w:spacing w:after="100" w:line="300"/>
        <w:jc w:val="right"/>
      </w:pPr>
      <w:r>
        <w:rPr>
          <w:rFonts w:ascii="Arial" w:cs="Arial" w:eastAsia="Arial" w:hAnsi="Arial"/>
          <w:sz w:val="24"/>
          <w:szCs w:val="24"/>
          <w:rtl/>
        </w:rPr>
        <w:t xml:space="preserve">تقييمات أثر الخصوصية (DPIAs).</w:t>
      </w:r>
    </w:p>
    <w:p>
      <w:pPr>
        <w:pStyle w:val="ListParagraph"/>
        <w:numPr>
          <w:ilvl w:val="0"/>
          <w:numId w:val="2"/>
        </w:numPr>
        <w:bidi/>
        <w:spacing w:after="100" w:line="300"/>
        <w:jc w:val="right"/>
      </w:pPr>
      <w:r>
        <w:rPr>
          <w:rFonts w:ascii="Arial" w:cs="Arial" w:eastAsia="Arial" w:hAnsi="Arial"/>
          <w:sz w:val="24"/>
          <w:szCs w:val="24"/>
          <w:rtl/>
        </w:rPr>
        <w:t xml:space="preserve">سياسات وإجراءات مكتوبة.</w:t>
      </w:r>
    </w:p>
    <w:p>
      <w:pPr>
        <w:pStyle w:val="ListParagraph"/>
        <w:numPr>
          <w:ilvl w:val="0"/>
          <w:numId w:val="2"/>
        </w:numPr>
        <w:bidi/>
        <w:spacing w:after="100" w:line="300"/>
        <w:jc w:val="right"/>
      </w:pPr>
      <w:r>
        <w:rPr>
          <w:rFonts w:ascii="Arial" w:cs="Arial" w:eastAsia="Arial" w:hAnsi="Arial"/>
          <w:sz w:val="24"/>
          <w:szCs w:val="24"/>
          <w:rtl/>
        </w:rPr>
        <w:t xml:space="preserve">إشعارات الخصوصية للمساهمين.</w:t>
      </w:r>
    </w:p>
    <w:p>
      <w:pPr>
        <w:pStyle w:val="Heading3"/>
        <w:bidi/>
        <w:spacing w:after="120" w:before="200"/>
        <w:jc w:val="right"/>
      </w:pPr>
      <w:r>
        <w:rPr>
          <w:rFonts w:ascii="Arial" w:cs="Arial" w:eastAsia="Arial" w:hAnsi="Arial"/>
          <w:b/>
          <w:bCs/>
          <w:color w:val="1F4E79"/>
          <w:sz w:val="26"/>
          <w:szCs w:val="26"/>
          <w:rtl/>
        </w:rPr>
        <w:t xml:space="preserve">على المستوى التقني</w:t>
      </w:r>
    </w:p>
    <w:p>
      <w:pPr>
        <w:pStyle w:val="ListParagraph"/>
        <w:numPr>
          <w:ilvl w:val="0"/>
          <w:numId w:val="2"/>
        </w:numPr>
        <w:bidi/>
        <w:spacing w:after="100" w:line="300"/>
        <w:jc w:val="right"/>
      </w:pPr>
      <w:r>
        <w:rPr>
          <w:rFonts w:ascii="Arial" w:cs="Arial" w:eastAsia="Arial" w:hAnsi="Arial"/>
          <w:sz w:val="24"/>
          <w:szCs w:val="24"/>
          <w:rtl/>
        </w:rPr>
        <w:t xml:space="preserve">تشفير شامل للبيانات.</w:t>
      </w:r>
    </w:p>
    <w:p>
      <w:pPr>
        <w:pStyle w:val="ListParagraph"/>
        <w:numPr>
          <w:ilvl w:val="0"/>
          <w:numId w:val="2"/>
        </w:numPr>
        <w:bidi/>
        <w:spacing w:after="100" w:line="300"/>
        <w:jc w:val="right"/>
      </w:pPr>
      <w:r>
        <w:rPr>
          <w:rFonts w:ascii="Arial" w:cs="Arial" w:eastAsia="Arial" w:hAnsi="Arial"/>
          <w:sz w:val="24"/>
          <w:szCs w:val="24"/>
          <w:rtl/>
        </w:rPr>
        <w:t xml:space="preserve">ضوابط الوصول المتدرج.</w:t>
      </w:r>
    </w:p>
    <w:p>
      <w:pPr>
        <w:pStyle w:val="ListParagraph"/>
        <w:numPr>
          <w:ilvl w:val="0"/>
          <w:numId w:val="2"/>
        </w:numPr>
        <w:bidi/>
        <w:spacing w:after="100" w:line="300"/>
        <w:jc w:val="right"/>
      </w:pPr>
      <w:r>
        <w:rPr>
          <w:rFonts w:ascii="Arial" w:cs="Arial" w:eastAsia="Arial" w:hAnsi="Arial"/>
          <w:sz w:val="24"/>
          <w:szCs w:val="24"/>
          <w:rtl/>
        </w:rPr>
        <w:t xml:space="preserve">التحقق المتعدد العوامل.</w:t>
      </w:r>
    </w:p>
    <w:p>
      <w:pPr>
        <w:pStyle w:val="ListParagraph"/>
        <w:numPr>
          <w:ilvl w:val="0"/>
          <w:numId w:val="2"/>
        </w:numPr>
        <w:bidi/>
        <w:spacing w:after="100" w:line="300"/>
        <w:jc w:val="right"/>
      </w:pPr>
      <w:r>
        <w:rPr>
          <w:rFonts w:ascii="Arial" w:cs="Arial" w:eastAsia="Arial" w:hAnsi="Arial"/>
          <w:sz w:val="24"/>
          <w:szCs w:val="24"/>
          <w:rtl/>
        </w:rPr>
        <w:t xml:space="preserve">سجلات العمليات والمراقبة.</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 والتعافي.</w:t>
      </w:r>
    </w:p>
    <w:p>
      <w:pPr>
        <w:pStyle w:val="Heading3"/>
        <w:bidi/>
        <w:spacing w:after="120" w:before="200"/>
        <w:jc w:val="right"/>
      </w:pPr>
      <w:r>
        <w:rPr>
          <w:rFonts w:ascii="Arial" w:cs="Arial" w:eastAsia="Arial" w:hAnsi="Arial"/>
          <w:b/>
          <w:bCs/>
          <w:color w:val="1F4E79"/>
          <w:sz w:val="26"/>
          <w:szCs w:val="26"/>
          <w:rtl/>
        </w:rPr>
        <w:t xml:space="preserve">على مستوى العمليات</w:t>
      </w:r>
    </w:p>
    <w:p>
      <w:pPr>
        <w:pStyle w:val="ListParagraph"/>
        <w:numPr>
          <w:ilvl w:val="0"/>
          <w:numId w:val="2"/>
        </w:numPr>
        <w:bidi/>
        <w:spacing w:after="100" w:line="300"/>
        <w:jc w:val="right"/>
      </w:pPr>
      <w:r>
        <w:rPr>
          <w:rFonts w:ascii="Arial" w:cs="Arial" w:eastAsia="Arial" w:hAnsi="Arial"/>
          <w:sz w:val="24"/>
          <w:szCs w:val="24"/>
          <w:rtl/>
        </w:rPr>
        <w:t xml:space="preserve">إجراءات للاستجابة لطلبات أصحاب البيانات.</w:t>
      </w:r>
    </w:p>
    <w:p>
      <w:pPr>
        <w:pStyle w:val="ListParagraph"/>
        <w:numPr>
          <w:ilvl w:val="0"/>
          <w:numId w:val="2"/>
        </w:numPr>
        <w:bidi/>
        <w:spacing w:after="100" w:line="300"/>
        <w:jc w:val="right"/>
      </w:pPr>
      <w:r>
        <w:rPr>
          <w:rFonts w:ascii="Arial" w:cs="Arial" w:eastAsia="Arial" w:hAnsi="Arial"/>
          <w:sz w:val="24"/>
          <w:szCs w:val="24"/>
          <w:rtl/>
        </w:rPr>
        <w:t xml:space="preserve">خطة الاستجابة لحوادث التسرب.</w:t>
      </w:r>
    </w:p>
    <w:p>
      <w:pPr>
        <w:pStyle w:val="ListParagraph"/>
        <w:numPr>
          <w:ilvl w:val="0"/>
          <w:numId w:val="2"/>
        </w:numPr>
        <w:bidi/>
        <w:spacing w:after="100" w:line="300"/>
        <w:jc w:val="right"/>
      </w:pPr>
      <w:r>
        <w:rPr>
          <w:rFonts w:ascii="Arial" w:cs="Arial" w:eastAsia="Arial" w:hAnsi="Arial"/>
          <w:sz w:val="24"/>
          <w:szCs w:val="24"/>
          <w:rtl/>
        </w:rPr>
        <w:t xml:space="preserve">إجراءات إدارة الموافقات.</w:t>
      </w:r>
    </w:p>
    <w:p>
      <w:pPr>
        <w:pStyle w:val="ListParagraph"/>
        <w:numPr>
          <w:ilvl w:val="0"/>
          <w:numId w:val="2"/>
        </w:numPr>
        <w:bidi/>
        <w:spacing w:after="100" w:line="300"/>
        <w:jc w:val="right"/>
      </w:pPr>
      <w:r>
        <w:rPr>
          <w:rFonts w:ascii="Arial" w:cs="Arial" w:eastAsia="Arial" w:hAnsi="Arial"/>
          <w:sz w:val="24"/>
          <w:szCs w:val="24"/>
          <w:rtl/>
        </w:rPr>
        <w:t xml:space="preserve">ضوابط الاحتفاظ والإتلاف.</w:t>
      </w:r>
    </w:p>
    <w:p>
      <w:pPr>
        <w:pStyle w:val="ListParagraph"/>
        <w:numPr>
          <w:ilvl w:val="0"/>
          <w:numId w:val="2"/>
        </w:numPr>
        <w:bidi/>
        <w:spacing w:after="100" w:line="300"/>
        <w:jc w:val="right"/>
      </w:pPr>
      <w:r>
        <w:rPr>
          <w:rFonts w:ascii="Arial" w:cs="Arial" w:eastAsia="Arial" w:hAnsi="Arial"/>
          <w:sz w:val="24"/>
          <w:szCs w:val="24"/>
          <w:rtl/>
        </w:rPr>
        <w:t xml:space="preserve">إجراءات تدقيق الموردين.</w:t>
      </w:r>
    </w:p>
    <w:p>
      <w:pPr>
        <w:pStyle w:val="Heading3"/>
        <w:bidi/>
        <w:spacing w:after="120" w:before="200"/>
        <w:jc w:val="right"/>
      </w:pPr>
      <w:r>
        <w:rPr>
          <w:rFonts w:ascii="Arial" w:cs="Arial" w:eastAsia="Arial" w:hAnsi="Arial"/>
          <w:b/>
          <w:bCs/>
          <w:color w:val="1F4E79"/>
          <w:sz w:val="26"/>
          <w:szCs w:val="26"/>
          <w:rtl/>
        </w:rPr>
        <w:t xml:space="preserve">على مستوى الكفاءات</w:t>
      </w:r>
    </w:p>
    <w:p>
      <w:pPr>
        <w:pStyle w:val="ListParagraph"/>
        <w:numPr>
          <w:ilvl w:val="0"/>
          <w:numId w:val="2"/>
        </w:numPr>
        <w:bidi/>
        <w:spacing w:after="100" w:line="300"/>
        <w:jc w:val="right"/>
      </w:pPr>
      <w:r>
        <w:rPr>
          <w:rFonts w:ascii="Arial" w:cs="Arial" w:eastAsia="Arial" w:hAnsi="Arial"/>
          <w:sz w:val="24"/>
          <w:szCs w:val="24"/>
          <w:rtl/>
        </w:rPr>
        <w:t xml:space="preserve">تدريب جميع الموظفين على المتطلبات.</w:t>
      </w:r>
    </w:p>
    <w:p>
      <w:pPr>
        <w:pStyle w:val="ListParagraph"/>
        <w:numPr>
          <w:ilvl w:val="0"/>
          <w:numId w:val="2"/>
        </w:numPr>
        <w:bidi/>
        <w:spacing w:after="100" w:line="300"/>
        <w:jc w:val="right"/>
      </w:pPr>
      <w:r>
        <w:rPr>
          <w:rFonts w:ascii="Arial" w:cs="Arial" w:eastAsia="Arial" w:hAnsi="Arial"/>
          <w:sz w:val="24"/>
          <w:szCs w:val="24"/>
          <w:rtl/>
        </w:rPr>
        <w:t xml:space="preserve">تدريبات متخصصة لفرق العمل الحساسة.</w:t>
      </w:r>
    </w:p>
    <w:p>
      <w:pPr>
        <w:pStyle w:val="ListParagraph"/>
        <w:numPr>
          <w:ilvl w:val="0"/>
          <w:numId w:val="2"/>
        </w:numPr>
        <w:bidi/>
        <w:spacing w:after="100" w:line="300"/>
        <w:jc w:val="right"/>
      </w:pPr>
      <w:r>
        <w:rPr>
          <w:rFonts w:ascii="Arial" w:cs="Arial" w:eastAsia="Arial" w:hAnsi="Arial"/>
          <w:sz w:val="24"/>
          <w:szCs w:val="24"/>
          <w:rtl/>
        </w:rPr>
        <w:t xml:space="preserve">توعية المساهمين بحقوقهم.</w:t>
      </w:r>
    </w:p>
    <w:p>
      <w:pPr>
        <w:pStyle w:val="ListParagraph"/>
        <w:numPr>
          <w:ilvl w:val="0"/>
          <w:numId w:val="2"/>
        </w:numPr>
        <w:bidi/>
        <w:spacing w:after="100" w:line="300"/>
        <w:jc w:val="right"/>
      </w:pPr>
      <w:r>
        <w:rPr>
          <w:rFonts w:ascii="Arial" w:cs="Arial" w:eastAsia="Arial" w:hAnsi="Arial"/>
          <w:sz w:val="24"/>
          <w:szCs w:val="24"/>
          <w:rtl/>
        </w:rPr>
        <w:t xml:space="preserve">شهادات احترافية للمعنيين.</w:t>
      </w:r>
    </w:p>
    <w:p>
      <w:pPr>
        <w:pStyle w:val="ListParagraph"/>
        <w:numPr>
          <w:ilvl w:val="0"/>
          <w:numId w:val="2"/>
        </w:numPr>
        <w:bidi/>
        <w:spacing w:after="100" w:line="300"/>
        <w:jc w:val="right"/>
      </w:pPr>
      <w:r>
        <w:rPr>
          <w:rFonts w:ascii="Arial" w:cs="Arial" w:eastAsia="Arial" w:hAnsi="Arial"/>
          <w:sz w:val="24"/>
          <w:szCs w:val="24"/>
          <w:rtl/>
        </w:rPr>
        <w:t xml:space="preserve">تحديث مستمر للمعرفة.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حماية بيانات المساهمين الشخصية ليست مجرد التزام قانوني، بل ركيزة أساسية لبناء الثقة بين الشركة ومساهميها. ومع دخول نظام حماية البيانات الشخصية (PDPL) حيز التنفيذ الكامل، أصبح الامتثال له ضرورة لا خياراً، خاصةً مع العقوبات الصارمة التي قد تصل إلى 10 ملايين ريال في حالات التكرار.</w:t>
      </w:r>
    </w:p>
    <w:p>
      <w:pPr>
        <w:bidi/>
        <w:spacing w:after="140" w:line="320"/>
        <w:jc w:val="both"/>
      </w:pPr>
      <w:r>
        <w:rPr>
          <w:rFonts w:ascii="Arial" w:cs="Arial" w:eastAsia="Arial" w:hAnsi="Arial"/>
          <w:sz w:val="24"/>
          <w:szCs w:val="24"/>
          <w:rtl/>
        </w:rPr>
        <w:t xml:space="preserve">الشركات الرائدة تنظر إلى حماية البيانات كفرصة لتعزيز سمعتها والتمايز عن منافسيها، لا كعبء تنظيمي. والاستثمار في برنامج امتثال متكامل - يشمل الجوانب التشريعية والتقنية والتنظيمية - يحقق فوائد طويلة الأمد، تتجاوز مجرد تجنب العقوبات إلى بناء علاقة قوية مع المساهمين.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نظام PDPL دخل حيز التنفيذ الكامل في 14 سبتمبر 2024م، وتشرف عليه سدايا. 2) العقوبات تصل إلى 5 ملايين ريال (10 ملايين في التكرار) والسجن في حالات معينة. 3) الشركة هي "جهة التحكم" ومركز إيداع وأمثاله هم "جهات معالجة". 4) الأسس القانونية للمعالجة في سجل المساهمين تشمل: متطلب نظامي، تنفيذ عقد، مصالح مشروعة، موافقة. 5) أصحاب البيانات لهم 8 حقوق رئيسية يجب تيسير ممارستها. 6) مبادئ Privacy by Design و Privacy by Default هي مفتاح الامتثال الفعّال. 7) خطة الاستجابة لحوادث التسرب وإخطار سدايا واجبان نظاميان.</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حماية البيانات الشخصية الصادر بالمرسوم الملكي رقم (م/19)، المعدّل بالمرسوم الملكي رقم (م/148).</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حماية البيانات الشخصية.</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للهيئة السعودية للبيانات والذكاء الاصطناعي (سدايا) - sdaia.gov.sa</w:t>
      </w:r>
    </w:p>
    <w:p>
      <w:pPr>
        <w:pStyle w:val="ListParagraph"/>
        <w:numPr>
          <w:ilvl w:val="0"/>
          <w:numId w:val="2"/>
        </w:numPr>
        <w:bidi/>
        <w:spacing w:after="100" w:line="300"/>
        <w:jc w:val="right"/>
      </w:pPr>
      <w:r>
        <w:rPr>
          <w:rFonts w:ascii="Arial" w:cs="Arial" w:eastAsia="Arial" w:hAnsi="Arial"/>
          <w:sz w:val="24"/>
          <w:szCs w:val="24"/>
          <w:rtl/>
        </w:rPr>
        <w:t xml:space="preserve">بوابة حماية البيانات الشخصية - dgp.sdaia.gov.sa</w:t>
      </w:r>
    </w:p>
    <w:p>
      <w:pPr>
        <w:pStyle w:val="ListParagraph"/>
        <w:numPr>
          <w:ilvl w:val="0"/>
          <w:numId w:val="2"/>
        </w:numPr>
        <w:bidi/>
        <w:spacing w:after="100" w:line="300"/>
        <w:jc w:val="right"/>
      </w:pPr>
      <w:r>
        <w:rPr>
          <w:rFonts w:ascii="Arial" w:cs="Arial" w:eastAsia="Arial" w:hAnsi="Arial"/>
          <w:sz w:val="24"/>
          <w:szCs w:val="24"/>
          <w:rtl/>
        </w:rPr>
        <w:t xml:space="preserve">اللائحة العامة لحماية البيانات الأوروبية (GDPR).</w:t>
      </w:r>
    </w:p>
    <w:p>
      <w:pPr>
        <w:pStyle w:val="ListParagraph"/>
        <w:numPr>
          <w:ilvl w:val="0"/>
          <w:numId w:val="2"/>
        </w:numPr>
        <w:bidi/>
        <w:spacing w:after="100" w:line="300"/>
        <w:jc w:val="right"/>
      </w:pPr>
      <w:r>
        <w:rPr>
          <w:rFonts w:ascii="Arial" w:cs="Arial" w:eastAsia="Arial" w:hAnsi="Arial"/>
          <w:sz w:val="24"/>
          <w:szCs w:val="24"/>
          <w:rtl/>
        </w:rPr>
        <w:t xml:space="preserve">معيار ISO/IEC 27701 لإدارة معلومات الخصوصية.</w:t>
      </w:r>
    </w:p>
    <w:p>
      <w:pPr>
        <w:pStyle w:val="ListParagraph"/>
        <w:numPr>
          <w:ilvl w:val="0"/>
          <w:numId w:val="2"/>
        </w:numPr>
        <w:bidi/>
        <w:spacing w:after="100" w:line="300"/>
        <w:jc w:val="right"/>
      </w:pPr>
      <w:r>
        <w:rPr>
          <w:rFonts w:ascii="Arial" w:cs="Arial" w:eastAsia="Arial" w:hAnsi="Arial"/>
          <w:sz w:val="24"/>
          <w:szCs w:val="24"/>
          <w:rtl/>
        </w:rPr>
        <w:t xml:space="preserve">مبادئ منظمة التعاون الاقتصادي والتنمية لحماية الخصوصية.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حماية البيانات الشخصية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سرية بيانات المساهمين وحماية الخصوصية</dc:title>
  <dc:creator>Corporate Governance Knowledge Base</dc:creator>
  <cp:lastModifiedBy>Un-named</cp:lastModifiedBy>
  <cp:revision>1</cp:revision>
  <dcterms:created xsi:type="dcterms:W3CDTF">2026-05-16T00:13:39.253Z</dcterms:created>
  <dcterms:modified xsi:type="dcterms:W3CDTF">2026-05-16T00:13:39.254Z</dcterms:modified>
</cp:coreProperties>
</file>

<file path=docProps/custom.xml><?xml version="1.0" encoding="utf-8"?>
<Properties xmlns="http://schemas.openxmlformats.org/officeDocument/2006/custom-properties" xmlns:vt="http://schemas.openxmlformats.org/officeDocument/2006/docPropsVTypes"/>
</file>