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00" w:before="200"/>
        <w:jc w:val="center"/>
      </w:pPr>
      <w:r>
        <w:rPr>
          <w:rFonts w:ascii="Arial" w:cs="Arial" w:eastAsia="Arial" w:hAnsi="Arial"/>
          <w:b/>
          <w:bCs/>
          <w:color w:val="1F4E79"/>
          <w:sz w:val="44"/>
          <w:szCs w:val="44"/>
          <w:rtl/>
        </w:rPr>
        <w:t xml:space="preserve">التقارير والإفصاحات المتعلقة بالملكية</w:t>
      </w:r>
    </w:p>
    <w:p>
      <w:pPr>
        <w:bidi/>
        <w:spacing w:after="400"/>
        <w:jc w:val="center"/>
      </w:pPr>
      <w:r>
        <w:rPr>
          <w:rFonts w:ascii="Arial" w:cs="Arial" w:eastAsia="Arial" w:hAnsi="Arial"/>
          <w:i/>
          <w:iCs/>
          <w:color w:val="2E75B6"/>
          <w:sz w:val="26"/>
          <w:szCs w:val="26"/>
          <w:rtl/>
        </w:rPr>
        <w:t xml:space="preserve">تقارير كبار المساهمين، الإفصاحات الجوهرية، والتقارير الدورية</w:t>
      </w:r>
    </w:p>
    <w:p>
      <w:pPr>
        <w:pBdr>
          <w:bottom w:val="single" w:color="1F4E79" w:sz="12" w:space="4"/>
        </w:pBdr>
        <w:spacing w:after="300"/>
      </w:pPr>
    </w:p>
    <w:p>
      <w:pPr>
        <w:pStyle w:val="Heading1"/>
        <w:bidi/>
        <w:spacing w:after="200" w:before="360"/>
        <w:jc w:val="right"/>
      </w:pPr>
      <w:r>
        <w:rPr>
          <w:rFonts w:ascii="Arial" w:cs="Arial" w:eastAsia="Arial" w:hAnsi="Arial"/>
          <w:b/>
          <w:bCs/>
          <w:color w:val="1F4E79"/>
          <w:sz w:val="36"/>
          <w:szCs w:val="36"/>
          <w:rtl/>
        </w:rPr>
        <w:t xml:space="preserve">مقدمة</w:t>
      </w:r>
    </w:p>
    <w:p>
      <w:pPr>
        <w:bidi/>
        <w:spacing w:after="140" w:line="320"/>
        <w:jc w:val="both"/>
      </w:pPr>
      <w:r>
        <w:rPr>
          <w:rFonts w:ascii="Arial" w:cs="Arial" w:eastAsia="Arial" w:hAnsi="Arial"/>
          <w:sz w:val="24"/>
          <w:szCs w:val="24"/>
          <w:rtl/>
        </w:rPr>
        <w:t xml:space="preserve">الإفصاح والشفافية هما الركنان الأساسيان للأسواق المالية الكفؤة، وعنصران رئيسيان في حوكمة الشركات الرشيدة. وفي سياق إدارة سجل المساهمين، تكتسب التقارير والإفصاحات المتعلقة بالملكية أهمية خاصة، لأنها تُمكّن المستثمرين والمنظمين والجمهور من فهم هيكل ملكية الشركة، وتتبع التغيرات الجوهرية فيها، واتخاذ قرارات استثمارية مدروسة.</w:t>
      </w:r>
    </w:p>
    <w:p>
      <w:pPr>
        <w:bidi/>
        <w:spacing w:after="140" w:line="320"/>
        <w:jc w:val="both"/>
      </w:pPr>
      <w:r>
        <w:rPr>
          <w:rFonts w:ascii="Arial" w:cs="Arial" w:eastAsia="Arial" w:hAnsi="Arial"/>
          <w:sz w:val="24"/>
          <w:szCs w:val="24"/>
          <w:rtl/>
        </w:rPr>
        <w:t xml:space="preserve">تفرض التشريعات السعودية - وعلى رأسها نظام السوق المالية ولوائحه التنفيذية، ولائحة حوكمة الشركات - منظومة متكاملة من الإفصاحات الإلزامية المتعلقة بالملكية، تتنوع بين الدورية والفورية والاستثنائية. ويُلزم المساهمون الذين يحوزون نسباً معينة بالإفصاح عن ملكيتهم بشكل مستمر، كما تُلزم الشركات بنشر تقارير دورية شاملة عن هيكل المساهمين.</w:t>
      </w:r>
    </w:p>
    <w:p>
      <w:pPr>
        <w:bidi/>
        <w:spacing w:after="140" w:line="320"/>
        <w:jc w:val="both"/>
      </w:pPr>
      <w:r>
        <w:rPr>
          <w:rFonts w:ascii="Arial" w:cs="Arial" w:eastAsia="Arial" w:hAnsi="Arial"/>
          <w:sz w:val="24"/>
          <w:szCs w:val="24"/>
          <w:rtl/>
        </w:rPr>
        <w:t xml:space="preserve">في هذا المقال، نستعرض جميع أنواع التقارير والإفصاحات المتعلقة بالملكية في السوق السعودي، مع التركيز على المتطلبات التفصيلية، المسؤوليات، والإجراءات العملية لإعدادها وتقديمها.</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أولاً: أهمية الإفصاح المتعلق بالملكية</w:t>
      </w:r>
    </w:p>
    <w:p>
      <w:pPr>
        <w:bidi/>
        <w:spacing w:after="140" w:line="320"/>
        <w:jc w:val="both"/>
      </w:pPr>
      <w:r>
        <w:rPr>
          <w:rFonts w:ascii="Arial" w:cs="Arial" w:eastAsia="Arial" w:hAnsi="Arial"/>
          <w:sz w:val="24"/>
          <w:szCs w:val="24"/>
          <w:rtl/>
        </w:rPr>
        <w:t xml:space="preserve">قبل التفصيل في أنواع الإفصاحات، من المفيد فهم الأسباب التي تجعل هذه الإفصاحات ضرورية وذات قيمة:</w:t>
      </w:r>
    </w:p>
    <w:p>
      <w:pPr>
        <w:pStyle w:val="Heading2"/>
        <w:bidi/>
        <w:spacing w:after="160" w:before="280"/>
        <w:jc w:val="right"/>
      </w:pPr>
      <w:r>
        <w:rPr>
          <w:rFonts w:ascii="Arial" w:cs="Arial" w:eastAsia="Arial" w:hAnsi="Arial"/>
          <w:b/>
          <w:bCs/>
          <w:color w:val="2E75B6"/>
          <w:sz w:val="30"/>
          <w:szCs w:val="30"/>
          <w:rtl/>
        </w:rPr>
        <w:t xml:space="preserve">1. حماية المستثمرين</w:t>
      </w:r>
    </w:p>
    <w:p>
      <w:pPr>
        <w:bidi/>
        <w:spacing w:after="140" w:line="320"/>
        <w:jc w:val="both"/>
      </w:pPr>
      <w:r>
        <w:rPr>
          <w:rFonts w:ascii="Arial" w:cs="Arial" w:eastAsia="Arial" w:hAnsi="Arial"/>
          <w:sz w:val="24"/>
          <w:szCs w:val="24"/>
          <w:rtl/>
        </w:rPr>
        <w:t xml:space="preserve">الإفصاح يُمكّن المستثمرين من معرفة هيكل الملكية، ومن يسيطر على الشركة فعلياً، ومن لديه القدرة على التأثير في قراراتها. هذه المعلومات جوهرية لاتخاذ قرارات استثمارية مدروسة.</w:t>
      </w:r>
    </w:p>
    <w:p>
      <w:pPr>
        <w:pStyle w:val="Heading2"/>
        <w:bidi/>
        <w:spacing w:after="160" w:before="280"/>
        <w:jc w:val="right"/>
      </w:pPr>
      <w:r>
        <w:rPr>
          <w:rFonts w:ascii="Arial" w:cs="Arial" w:eastAsia="Arial" w:hAnsi="Arial"/>
          <w:b/>
          <w:bCs/>
          <w:color w:val="2E75B6"/>
          <w:sz w:val="30"/>
          <w:szCs w:val="30"/>
          <w:rtl/>
        </w:rPr>
        <w:t xml:space="preserve">2. منع التداول بناءً على المعلومات الداخلية</w:t>
      </w:r>
    </w:p>
    <w:p>
      <w:pPr>
        <w:bidi/>
        <w:spacing w:after="140" w:line="320"/>
        <w:jc w:val="both"/>
      </w:pPr>
      <w:r>
        <w:rPr>
          <w:rFonts w:ascii="Arial" w:cs="Arial" w:eastAsia="Arial" w:hAnsi="Arial"/>
          <w:sz w:val="24"/>
          <w:szCs w:val="24"/>
          <w:rtl/>
        </w:rPr>
        <w:t xml:space="preserve">الإفصاح الفوري عن التغيرات في الملكية يقلل الفروقات المعلوماتية بين المتعاملين، ويمنع استفادة فئة محدودة من المعلومات على حساب الجمهور.</w:t>
      </w:r>
    </w:p>
    <w:p>
      <w:pPr>
        <w:pStyle w:val="Heading2"/>
        <w:bidi/>
        <w:spacing w:after="160" w:before="280"/>
        <w:jc w:val="right"/>
      </w:pPr>
      <w:r>
        <w:rPr>
          <w:rFonts w:ascii="Arial" w:cs="Arial" w:eastAsia="Arial" w:hAnsi="Arial"/>
          <w:b/>
          <w:bCs/>
          <w:color w:val="2E75B6"/>
          <w:sz w:val="30"/>
          <w:szCs w:val="30"/>
          <w:rtl/>
        </w:rPr>
        <w:t xml:space="preserve">3. تعزيز الثقة في السوق</w:t>
      </w:r>
    </w:p>
    <w:p>
      <w:pPr>
        <w:bidi/>
        <w:spacing w:after="140" w:line="320"/>
        <w:jc w:val="both"/>
      </w:pPr>
      <w:r>
        <w:rPr>
          <w:rFonts w:ascii="Arial" w:cs="Arial" w:eastAsia="Arial" w:hAnsi="Arial"/>
          <w:sz w:val="24"/>
          <w:szCs w:val="24"/>
          <w:rtl/>
        </w:rPr>
        <w:t xml:space="preserve">الشفافية في الملكية تُعزز ثقة المستثمرين المحليين والأجانب في السوق المالية، وتجذب رؤوس الأموال للاستثمار.</w:t>
      </w:r>
    </w:p>
    <w:p>
      <w:pPr>
        <w:pStyle w:val="Heading2"/>
        <w:bidi/>
        <w:spacing w:after="160" w:before="280"/>
        <w:jc w:val="right"/>
      </w:pPr>
      <w:r>
        <w:rPr>
          <w:rFonts w:ascii="Arial" w:cs="Arial" w:eastAsia="Arial" w:hAnsi="Arial"/>
          <w:b/>
          <w:bCs/>
          <w:color w:val="2E75B6"/>
          <w:sz w:val="30"/>
          <w:szCs w:val="30"/>
          <w:rtl/>
        </w:rPr>
        <w:t xml:space="preserve">4. كشف تركز الملكية وآثاره</w:t>
      </w:r>
    </w:p>
    <w:p>
      <w:pPr>
        <w:bidi/>
        <w:spacing w:after="140" w:line="320"/>
        <w:jc w:val="both"/>
      </w:pPr>
      <w:r>
        <w:rPr>
          <w:rFonts w:ascii="Arial" w:cs="Arial" w:eastAsia="Arial" w:hAnsi="Arial"/>
          <w:sz w:val="24"/>
          <w:szCs w:val="24"/>
          <w:rtl/>
        </w:rPr>
        <w:t xml:space="preserve">الإفصاح يُمكّن من رصد تركز الملكية في يد فئة محدودة، وما قد ينتج عنه من مخاطر على حقوق الأقلية أو سيولة السهم.</w:t>
      </w:r>
    </w:p>
    <w:p>
      <w:pPr>
        <w:pStyle w:val="Heading2"/>
        <w:bidi/>
        <w:spacing w:after="160" w:before="280"/>
        <w:jc w:val="right"/>
      </w:pPr>
      <w:r>
        <w:rPr>
          <w:rFonts w:ascii="Arial" w:cs="Arial" w:eastAsia="Arial" w:hAnsi="Arial"/>
          <w:b/>
          <w:bCs/>
          <w:color w:val="2E75B6"/>
          <w:sz w:val="30"/>
          <w:szCs w:val="30"/>
          <w:rtl/>
        </w:rPr>
        <w:t xml:space="preserve">5. مراقبة الاستحواذات والاندماجات</w:t>
      </w:r>
    </w:p>
    <w:p>
      <w:pPr>
        <w:bidi/>
        <w:spacing w:after="140" w:line="320"/>
        <w:jc w:val="both"/>
      </w:pPr>
      <w:r>
        <w:rPr>
          <w:rFonts w:ascii="Arial" w:cs="Arial" w:eastAsia="Arial" w:hAnsi="Arial"/>
          <w:sz w:val="24"/>
          <w:szCs w:val="24"/>
          <w:rtl/>
        </w:rPr>
        <w:t xml:space="preserve">الإفصاح المبكر عن تجميع نسب معينة من الأسهم يُمكّن من رصد محاولات الاستحواذ، وتطبيق القواعد الناظمة لها.</w:t>
      </w:r>
    </w:p>
    <w:p>
      <w:pPr>
        <w:pStyle w:val="Heading2"/>
        <w:bidi/>
        <w:spacing w:after="160" w:before="280"/>
        <w:jc w:val="right"/>
      </w:pPr>
      <w:r>
        <w:rPr>
          <w:rFonts w:ascii="Arial" w:cs="Arial" w:eastAsia="Arial" w:hAnsi="Arial"/>
          <w:b/>
          <w:bCs/>
          <w:color w:val="2E75B6"/>
          <w:sz w:val="30"/>
          <w:szCs w:val="30"/>
          <w:rtl/>
        </w:rPr>
        <w:t xml:space="preserve">6. مكافحة غسل الأموال</w:t>
      </w:r>
    </w:p>
    <w:p>
      <w:pPr>
        <w:bidi/>
        <w:spacing w:after="140" w:line="320"/>
        <w:jc w:val="both"/>
      </w:pPr>
      <w:r>
        <w:rPr>
          <w:rFonts w:ascii="Arial" w:cs="Arial" w:eastAsia="Arial" w:hAnsi="Arial"/>
          <w:sz w:val="24"/>
          <w:szCs w:val="24"/>
          <w:rtl/>
        </w:rPr>
        <w:t xml:space="preserve">الإفصاح عن المستفيدين الحقيقيين يُسهم في مكافحة غسل الأموال وتمويل الإرهاب، وفقاً للمعايير الدولية.</w:t>
      </w:r>
    </w:p>
    <w:p>
      <w:pPr>
        <w:pStyle w:val="Heading2"/>
        <w:bidi/>
        <w:spacing w:after="160" w:before="280"/>
        <w:jc w:val="right"/>
      </w:pPr>
      <w:r>
        <w:rPr>
          <w:rFonts w:ascii="Arial" w:cs="Arial" w:eastAsia="Arial" w:hAnsi="Arial"/>
          <w:b/>
          <w:bCs/>
          <w:color w:val="2E75B6"/>
          <w:sz w:val="30"/>
          <w:szCs w:val="30"/>
          <w:rtl/>
        </w:rPr>
        <w:t xml:space="preserve">7. الامتثال للمعايير الدولية</w:t>
      </w:r>
    </w:p>
    <w:p>
      <w:pPr>
        <w:bidi/>
        <w:spacing w:after="140" w:line="320"/>
        <w:jc w:val="both"/>
      </w:pPr>
      <w:r>
        <w:rPr>
          <w:rFonts w:ascii="Arial" w:cs="Arial" w:eastAsia="Arial" w:hAnsi="Arial"/>
          <w:sz w:val="24"/>
          <w:szCs w:val="24"/>
          <w:rtl/>
        </w:rPr>
        <w:t xml:space="preserve">الإفصاحات المتطورة تُسهم في تصنيف السوق السعودي ضمن الأسواق الناشئة والمتقدمة في المؤشرات الدولية، مما يجذب الاستثمار الأجنبي.</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D9E2F3" w:val="clear"/>
            <w:tcMar>
              <w:top w:type="dxa" w:w="160"/>
              <w:left w:type="dxa" w:w="200"/>
              <w:bottom w:type="dxa" w:w="160"/>
              <w:right w:type="dxa" w:w="200"/>
            </w:tcMar>
          </w:tcPr>
          <w:p>
            <w:pPr>
              <w:bidi/>
              <w:spacing w:after="100"/>
              <w:jc w:val="right"/>
            </w:pPr>
            <w:r>
              <w:rPr>
                <w:rFonts w:ascii="Arial" w:cs="Arial" w:eastAsia="Arial" w:hAnsi="Arial"/>
                <w:b/>
                <w:bCs/>
                <w:color w:val="1F4E79"/>
                <w:sz w:val="26"/>
                <w:szCs w:val="26"/>
                <w:rtl/>
              </w:rPr>
              <w:t xml:space="preserve">💡 معلومة محورية</w:t>
            </w:r>
          </w:p>
          <w:p>
            <w:pPr>
              <w:bidi/>
              <w:spacing w:line="300"/>
              <w:jc w:val="both"/>
            </w:pPr>
            <w:r>
              <w:rPr>
                <w:rFonts w:ascii="Arial" w:cs="Arial" w:eastAsia="Arial" w:hAnsi="Arial"/>
                <w:sz w:val="24"/>
                <w:szCs w:val="24"/>
                <w:rtl/>
              </w:rPr>
              <w:t xml:space="preserve">وفقاً لمؤشرات هيئة السوق المالية، تُعدّ الإفصاحات المتعلقة بالملكية من أكثر الإفصاحات تأثيراً على ثقة المستثمرين، وأن الشركات الأكثر شفافية في هذا الجانب تحقق عادةً تقييمات أعلى وعوائد استثمارية أفضل على المدى الطويل.</w:t>
            </w:r>
          </w:p>
        </w:tc>
      </w:tr>
    </w:tbl>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ثانياً: الإطار التنظيمي للإفصاحات</w:t>
      </w:r>
    </w:p>
    <w:p>
      <w:pPr>
        <w:bidi/>
        <w:spacing w:after="140" w:line="320"/>
        <w:jc w:val="both"/>
      </w:pPr>
      <w:r>
        <w:rPr>
          <w:rFonts w:ascii="Arial" w:cs="Arial" w:eastAsia="Arial" w:hAnsi="Arial"/>
          <w:sz w:val="24"/>
          <w:szCs w:val="24"/>
          <w:rtl/>
        </w:rPr>
        <w:t xml:space="preserve">تخضع الإفصاحات المتعلقة بالملكية في المملكة العربية السعودية لمنظومة متكاملة من التشريعات واللوائح:</w:t>
      </w:r>
    </w:p>
    <w:p>
      <w:pPr>
        <w:pStyle w:val="Heading2"/>
        <w:bidi/>
        <w:spacing w:after="160" w:before="280"/>
        <w:jc w:val="right"/>
      </w:pPr>
      <w:r>
        <w:rPr>
          <w:rFonts w:ascii="Arial" w:cs="Arial" w:eastAsia="Arial" w:hAnsi="Arial"/>
          <w:b/>
          <w:bCs/>
          <w:color w:val="2E75B6"/>
          <w:sz w:val="30"/>
          <w:szCs w:val="30"/>
          <w:rtl/>
        </w:rPr>
        <w:t xml:space="preserve">1. نظام السوق المالية</w:t>
      </w:r>
    </w:p>
    <w:p>
      <w:pPr>
        <w:bidi/>
        <w:spacing w:after="140" w:line="320"/>
        <w:jc w:val="both"/>
      </w:pPr>
      <w:r>
        <w:rPr>
          <w:rFonts w:ascii="Arial" w:cs="Arial" w:eastAsia="Arial" w:hAnsi="Arial"/>
          <w:sz w:val="24"/>
          <w:szCs w:val="24"/>
          <w:rtl/>
        </w:rPr>
        <w:t xml:space="preserve">ينظم نظام السوق المالية الصادر بالمرسوم الملكي رقم (م/30) الإطار العام للإفصاحات في السوق، ويُحدد الصلاحيات الأساسية لهيئة السوق المالية في تنظيم هذه الإفصاحات.</w:t>
      </w:r>
    </w:p>
    <w:p>
      <w:pPr>
        <w:pStyle w:val="Heading2"/>
        <w:bidi/>
        <w:spacing w:after="160" w:before="280"/>
        <w:jc w:val="right"/>
      </w:pPr>
      <w:r>
        <w:rPr>
          <w:rFonts w:ascii="Arial" w:cs="Arial" w:eastAsia="Arial" w:hAnsi="Arial"/>
          <w:b/>
          <w:bCs/>
          <w:color w:val="2E75B6"/>
          <w:sz w:val="30"/>
          <w:szCs w:val="30"/>
          <w:rtl/>
        </w:rPr>
        <w:t xml:space="preserve">2. قواعد الإدراج والالتزامات المستمرة</w:t>
      </w:r>
    </w:p>
    <w:p>
      <w:pPr>
        <w:bidi/>
        <w:spacing w:after="140" w:line="320"/>
        <w:jc w:val="both"/>
      </w:pPr>
      <w:r>
        <w:rPr>
          <w:rFonts w:ascii="Arial" w:cs="Arial" w:eastAsia="Arial" w:hAnsi="Arial"/>
          <w:sz w:val="24"/>
          <w:szCs w:val="24"/>
          <w:rtl/>
        </w:rPr>
        <w:t xml:space="preserve">تُحدد هذه القواعد التفاصيل الإلزامية للإفصاحات التي يجب على الشركات المدرجة الالتزام بها بشكل مستمر، وتشمل:</w:t>
      </w:r>
    </w:p>
    <w:p>
      <w:pPr>
        <w:pStyle w:val="ListParagraph"/>
        <w:numPr>
          <w:ilvl w:val="0"/>
          <w:numId w:val="2"/>
        </w:numPr>
        <w:bidi/>
        <w:spacing w:after="100" w:line="300"/>
        <w:jc w:val="right"/>
      </w:pPr>
      <w:r>
        <w:rPr>
          <w:rFonts w:ascii="Arial" w:cs="Arial" w:eastAsia="Arial" w:hAnsi="Arial"/>
          <w:sz w:val="24"/>
          <w:szCs w:val="24"/>
          <w:rtl/>
        </w:rPr>
        <w:t xml:space="preserve">الإفصاحات الفورية عن المعلومات الجوهرية.</w:t>
      </w:r>
    </w:p>
    <w:p>
      <w:pPr>
        <w:pStyle w:val="ListParagraph"/>
        <w:numPr>
          <w:ilvl w:val="0"/>
          <w:numId w:val="2"/>
        </w:numPr>
        <w:bidi/>
        <w:spacing w:after="100" w:line="300"/>
        <w:jc w:val="right"/>
      </w:pPr>
      <w:r>
        <w:rPr>
          <w:rFonts w:ascii="Arial" w:cs="Arial" w:eastAsia="Arial" w:hAnsi="Arial"/>
          <w:sz w:val="24"/>
          <w:szCs w:val="24"/>
          <w:rtl/>
        </w:rPr>
        <w:t xml:space="preserve">الإفصاحات الدورية (الربعية، نصف السنوية، السنوية).</w:t>
      </w:r>
    </w:p>
    <w:p>
      <w:pPr>
        <w:pStyle w:val="ListParagraph"/>
        <w:numPr>
          <w:ilvl w:val="0"/>
          <w:numId w:val="2"/>
        </w:numPr>
        <w:bidi/>
        <w:spacing w:after="100" w:line="300"/>
        <w:jc w:val="right"/>
      </w:pPr>
      <w:r>
        <w:rPr>
          <w:rFonts w:ascii="Arial" w:cs="Arial" w:eastAsia="Arial" w:hAnsi="Arial"/>
          <w:sz w:val="24"/>
          <w:szCs w:val="24"/>
          <w:rtl/>
        </w:rPr>
        <w:t xml:space="preserve">الإفصاحات الخاصة بالملكية.</w:t>
      </w:r>
    </w:p>
    <w:p>
      <w:pPr>
        <w:pStyle w:val="ListParagraph"/>
        <w:numPr>
          <w:ilvl w:val="0"/>
          <w:numId w:val="2"/>
        </w:numPr>
        <w:bidi/>
        <w:spacing w:after="100" w:line="300"/>
        <w:jc w:val="right"/>
      </w:pPr>
      <w:r>
        <w:rPr>
          <w:rFonts w:ascii="Arial" w:cs="Arial" w:eastAsia="Arial" w:hAnsi="Arial"/>
          <w:sz w:val="24"/>
          <w:szCs w:val="24"/>
          <w:rtl/>
        </w:rPr>
        <w:t xml:space="preserve">الإفصاحات في حالات معينة (الاستحواذ، الاندماج، إلخ).</w:t>
      </w:r>
    </w:p>
    <w:p>
      <w:pPr>
        <w:pStyle w:val="Heading2"/>
        <w:bidi/>
        <w:spacing w:after="160" w:before="280"/>
        <w:jc w:val="right"/>
      </w:pPr>
      <w:r>
        <w:rPr>
          <w:rFonts w:ascii="Arial" w:cs="Arial" w:eastAsia="Arial" w:hAnsi="Arial"/>
          <w:b/>
          <w:bCs/>
          <w:color w:val="2E75B6"/>
          <w:sz w:val="30"/>
          <w:szCs w:val="30"/>
          <w:rtl/>
        </w:rPr>
        <w:t xml:space="preserve">3. لائحة حوكمة الشركات</w:t>
      </w:r>
    </w:p>
    <w:p>
      <w:pPr>
        <w:bidi/>
        <w:spacing w:after="140" w:line="320"/>
        <w:jc w:val="both"/>
      </w:pPr>
      <w:r>
        <w:rPr>
          <w:rFonts w:ascii="Arial" w:cs="Arial" w:eastAsia="Arial" w:hAnsi="Arial"/>
          <w:sz w:val="24"/>
          <w:szCs w:val="24"/>
          <w:rtl/>
        </w:rPr>
        <w:t xml:space="preserve">تُحدد متطلبات إضافية للإفصاحات، خاصةً في الأمور المتعلقة بهيكل الملكية، تعاملات الأطراف ذات العلاقة، ومكافآت الإدارة.</w:t>
      </w:r>
    </w:p>
    <w:p>
      <w:pPr>
        <w:pStyle w:val="Heading2"/>
        <w:bidi/>
        <w:spacing w:after="160" w:before="280"/>
        <w:jc w:val="right"/>
      </w:pPr>
      <w:r>
        <w:rPr>
          <w:rFonts w:ascii="Arial" w:cs="Arial" w:eastAsia="Arial" w:hAnsi="Arial"/>
          <w:b/>
          <w:bCs/>
          <w:color w:val="2E75B6"/>
          <w:sz w:val="30"/>
          <w:szCs w:val="30"/>
          <w:rtl/>
        </w:rPr>
        <w:t xml:space="preserve">4. لائحة الأشخاص ذوي العلاقة</w:t>
      </w:r>
    </w:p>
    <w:p>
      <w:pPr>
        <w:bidi/>
        <w:spacing w:after="140" w:line="320"/>
        <w:jc w:val="both"/>
      </w:pPr>
      <w:r>
        <w:rPr>
          <w:rFonts w:ascii="Arial" w:cs="Arial" w:eastAsia="Arial" w:hAnsi="Arial"/>
          <w:sz w:val="24"/>
          <w:szCs w:val="24"/>
          <w:rtl/>
        </w:rPr>
        <w:t xml:space="preserve">تتعلق بالإفصاح عن ملكيات الأشخاص ذوي العلاقة بالشركة، كأعضاء مجلس الإدارة وكبار التنفيذيين.</w:t>
      </w:r>
    </w:p>
    <w:p>
      <w:pPr>
        <w:pStyle w:val="Heading2"/>
        <w:bidi/>
        <w:spacing w:after="160" w:before="280"/>
        <w:jc w:val="right"/>
      </w:pPr>
      <w:r>
        <w:rPr>
          <w:rFonts w:ascii="Arial" w:cs="Arial" w:eastAsia="Arial" w:hAnsi="Arial"/>
          <w:b/>
          <w:bCs/>
          <w:color w:val="2E75B6"/>
          <w:sz w:val="30"/>
          <w:szCs w:val="30"/>
          <w:rtl/>
        </w:rPr>
        <w:t xml:space="preserve">5. قواعد الاستحواذ والاندماج</w:t>
      </w:r>
    </w:p>
    <w:p>
      <w:pPr>
        <w:bidi/>
        <w:spacing w:after="140" w:line="320"/>
        <w:jc w:val="both"/>
      </w:pPr>
      <w:r>
        <w:rPr>
          <w:rFonts w:ascii="Arial" w:cs="Arial" w:eastAsia="Arial" w:hAnsi="Arial"/>
          <w:sz w:val="24"/>
          <w:szCs w:val="24"/>
          <w:rtl/>
        </w:rPr>
        <w:t xml:space="preserve">تُحدد متطلبات الإفصاح الخاصة بعمليات الاستحواذ، عند تجاوز نسب معينة من الملكية.</w:t>
      </w:r>
    </w:p>
    <w:p>
      <w:pPr>
        <w:pStyle w:val="Heading2"/>
        <w:bidi/>
        <w:spacing w:after="160" w:before="280"/>
        <w:jc w:val="right"/>
      </w:pPr>
      <w:r>
        <w:rPr>
          <w:rFonts w:ascii="Arial" w:cs="Arial" w:eastAsia="Arial" w:hAnsi="Arial"/>
          <w:b/>
          <w:bCs/>
          <w:color w:val="2E75B6"/>
          <w:sz w:val="30"/>
          <w:szCs w:val="30"/>
          <w:rtl/>
        </w:rPr>
        <w:t xml:space="preserve">6. لائحة سلوك السوق</w:t>
      </w:r>
    </w:p>
    <w:p>
      <w:pPr>
        <w:bidi/>
        <w:spacing w:after="140" w:line="320"/>
        <w:jc w:val="both"/>
      </w:pPr>
      <w:r>
        <w:rPr>
          <w:rFonts w:ascii="Arial" w:cs="Arial" w:eastAsia="Arial" w:hAnsi="Arial"/>
          <w:sz w:val="24"/>
          <w:szCs w:val="24"/>
          <w:rtl/>
        </w:rPr>
        <w:t xml:space="preserve">تتعلق بالإفصاحات المرتبطة بمكافحة التداول بناءً على المعلومات الداخلية وحماية السوق من التلاعب.</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ثالثاً: أنواع الإفصاحات المتعلقة بالملكية</w:t>
      </w:r>
    </w:p>
    <w:p>
      <w:pPr>
        <w:pStyle w:val="Heading2"/>
        <w:bidi/>
        <w:spacing w:after="160" w:before="280"/>
        <w:jc w:val="right"/>
      </w:pPr>
      <w:r>
        <w:rPr>
          <w:rFonts w:ascii="Arial" w:cs="Arial" w:eastAsia="Arial" w:hAnsi="Arial"/>
          <w:b/>
          <w:bCs/>
          <w:color w:val="2E75B6"/>
          <w:sz w:val="30"/>
          <w:szCs w:val="30"/>
          <w:rtl/>
        </w:rPr>
        <w:t xml:space="preserve">1. إفصاحات الشركة عن هيكل الملكية</w:t>
      </w:r>
    </w:p>
    <w:p>
      <w:pPr>
        <w:bidi/>
        <w:spacing w:after="140" w:line="320"/>
        <w:jc w:val="both"/>
      </w:pPr>
      <w:r>
        <w:rPr>
          <w:rFonts w:ascii="Arial" w:cs="Arial" w:eastAsia="Arial" w:hAnsi="Arial"/>
          <w:sz w:val="24"/>
          <w:szCs w:val="24"/>
          <w:rtl/>
        </w:rPr>
        <w:t xml:space="preserve">تُلزم الشركة بنشر معلومات دورية عن هيكل ملكيتها، وأبرز هذه الإفصاحات:</w:t>
      </w:r>
    </w:p>
    <w:p>
      <w:pPr>
        <w:pStyle w:val="Heading3"/>
        <w:bidi/>
        <w:spacing w:after="120" w:before="200"/>
        <w:jc w:val="right"/>
      </w:pPr>
      <w:r>
        <w:rPr>
          <w:rFonts w:ascii="Arial" w:cs="Arial" w:eastAsia="Arial" w:hAnsi="Arial"/>
          <w:b/>
          <w:bCs/>
          <w:color w:val="1F4E79"/>
          <w:sz w:val="26"/>
          <w:szCs w:val="26"/>
          <w:rtl/>
        </w:rPr>
        <w:t xml:space="preserve">التقرير الشهري لكبار المساهمين</w:t>
      </w:r>
    </w:p>
    <w:p>
      <w:pPr>
        <w:bidi/>
        <w:spacing w:after="140" w:line="320"/>
        <w:jc w:val="both"/>
      </w:pPr>
      <w:r>
        <w:rPr>
          <w:rFonts w:ascii="Arial" w:cs="Arial" w:eastAsia="Arial" w:hAnsi="Arial"/>
          <w:sz w:val="24"/>
          <w:szCs w:val="24"/>
          <w:rtl/>
        </w:rPr>
        <w:t xml:space="preserve">تقرير شهري يُنشر عبر منصة "تداول" بأسماء المساهمين الذين يملكون نسبة 5% فأكثر من رأس مال الشركة المدرجة، مع تفاصيل ملكياتهم.</w:t>
      </w:r>
    </w:p>
    <w:p>
      <w:pPr>
        <w:pStyle w:val="ListParagraph"/>
        <w:numPr>
          <w:ilvl w:val="0"/>
          <w:numId w:val="2"/>
        </w:numPr>
        <w:bidi/>
        <w:spacing w:after="100" w:line="300"/>
        <w:jc w:val="right"/>
      </w:pPr>
      <w:r>
        <w:rPr>
          <w:rFonts w:ascii="Arial" w:cs="Arial" w:eastAsia="Arial" w:hAnsi="Arial"/>
          <w:sz w:val="24"/>
          <w:szCs w:val="24"/>
          <w:rtl/>
        </w:rPr>
        <w:t xml:space="preserve">يتضمن أسماء كبار المساهمين.</w:t>
      </w:r>
    </w:p>
    <w:p>
      <w:pPr>
        <w:pStyle w:val="ListParagraph"/>
        <w:numPr>
          <w:ilvl w:val="0"/>
          <w:numId w:val="2"/>
        </w:numPr>
        <w:bidi/>
        <w:spacing w:after="100" w:line="300"/>
        <w:jc w:val="right"/>
      </w:pPr>
      <w:r>
        <w:rPr>
          <w:rFonts w:ascii="Arial" w:cs="Arial" w:eastAsia="Arial" w:hAnsi="Arial"/>
          <w:sz w:val="24"/>
          <w:szCs w:val="24"/>
          <w:rtl/>
        </w:rPr>
        <w:t xml:space="preserve">نسبة ملكية كل منهم.</w:t>
      </w:r>
    </w:p>
    <w:p>
      <w:pPr>
        <w:pStyle w:val="ListParagraph"/>
        <w:numPr>
          <w:ilvl w:val="0"/>
          <w:numId w:val="2"/>
        </w:numPr>
        <w:bidi/>
        <w:spacing w:after="100" w:line="300"/>
        <w:jc w:val="right"/>
      </w:pPr>
      <w:r>
        <w:rPr>
          <w:rFonts w:ascii="Arial" w:cs="Arial" w:eastAsia="Arial" w:hAnsi="Arial"/>
          <w:sz w:val="24"/>
          <w:szCs w:val="24"/>
          <w:rtl/>
        </w:rPr>
        <w:t xml:space="preserve">التغيرات منذ التقرير السابق.</w:t>
      </w:r>
    </w:p>
    <w:p>
      <w:pPr>
        <w:pStyle w:val="ListParagraph"/>
        <w:numPr>
          <w:ilvl w:val="0"/>
          <w:numId w:val="2"/>
        </w:numPr>
        <w:bidi/>
        <w:spacing w:after="100" w:line="300"/>
        <w:jc w:val="right"/>
      </w:pPr>
      <w:r>
        <w:rPr>
          <w:rFonts w:ascii="Arial" w:cs="Arial" w:eastAsia="Arial" w:hAnsi="Arial"/>
          <w:sz w:val="24"/>
          <w:szCs w:val="24"/>
          <w:rtl/>
        </w:rPr>
        <w:t xml:space="preserve">تاريخ التقرير.</w:t>
      </w:r>
    </w:p>
    <w:p>
      <w:pPr>
        <w:pStyle w:val="Heading3"/>
        <w:bidi/>
        <w:spacing w:after="120" w:before="200"/>
        <w:jc w:val="right"/>
      </w:pPr>
      <w:r>
        <w:rPr>
          <w:rFonts w:ascii="Arial" w:cs="Arial" w:eastAsia="Arial" w:hAnsi="Arial"/>
          <w:b/>
          <w:bCs/>
          <w:color w:val="1F4E79"/>
          <w:sz w:val="26"/>
          <w:szCs w:val="26"/>
          <w:rtl/>
        </w:rPr>
        <w:t xml:space="preserve">الإفصاح في التقرير السنوي</w:t>
      </w:r>
    </w:p>
    <w:p>
      <w:pPr>
        <w:bidi/>
        <w:spacing w:after="140" w:line="320"/>
        <w:jc w:val="both"/>
      </w:pPr>
      <w:r>
        <w:rPr>
          <w:rFonts w:ascii="Arial" w:cs="Arial" w:eastAsia="Arial" w:hAnsi="Arial"/>
          <w:sz w:val="24"/>
          <w:szCs w:val="24"/>
          <w:rtl/>
        </w:rPr>
        <w:t xml:space="preserve">يجب أن يتضمن التقرير السنوي لمجلس الإدارة معلومات تفصيلية عن هيكل الملكية:</w:t>
      </w:r>
    </w:p>
    <w:p>
      <w:pPr>
        <w:pStyle w:val="ListParagraph"/>
        <w:numPr>
          <w:ilvl w:val="0"/>
          <w:numId w:val="2"/>
        </w:numPr>
        <w:bidi/>
        <w:spacing w:after="100" w:line="300"/>
        <w:jc w:val="right"/>
      </w:pPr>
      <w:r>
        <w:rPr>
          <w:rFonts w:ascii="Arial" w:cs="Arial" w:eastAsia="Arial" w:hAnsi="Arial"/>
          <w:sz w:val="24"/>
          <w:szCs w:val="24"/>
          <w:rtl/>
        </w:rPr>
        <w:t xml:space="preserve">قائمة كبار المساهمين.</w:t>
      </w:r>
    </w:p>
    <w:p>
      <w:pPr>
        <w:pStyle w:val="ListParagraph"/>
        <w:numPr>
          <w:ilvl w:val="0"/>
          <w:numId w:val="2"/>
        </w:numPr>
        <w:bidi/>
        <w:spacing w:after="100" w:line="300"/>
        <w:jc w:val="right"/>
      </w:pPr>
      <w:r>
        <w:rPr>
          <w:rFonts w:ascii="Arial" w:cs="Arial" w:eastAsia="Arial" w:hAnsi="Arial"/>
          <w:sz w:val="24"/>
          <w:szCs w:val="24"/>
          <w:rtl/>
        </w:rPr>
        <w:t xml:space="preserve">نسبة ملكية كل فئة (أفراد، مؤسسات، حكومة، أجانب).</w:t>
      </w:r>
    </w:p>
    <w:p>
      <w:pPr>
        <w:pStyle w:val="ListParagraph"/>
        <w:numPr>
          <w:ilvl w:val="0"/>
          <w:numId w:val="2"/>
        </w:numPr>
        <w:bidi/>
        <w:spacing w:after="100" w:line="300"/>
        <w:jc w:val="right"/>
      </w:pPr>
      <w:r>
        <w:rPr>
          <w:rFonts w:ascii="Arial" w:cs="Arial" w:eastAsia="Arial" w:hAnsi="Arial"/>
          <w:sz w:val="24"/>
          <w:szCs w:val="24"/>
          <w:rtl/>
        </w:rPr>
        <w:t xml:space="preserve">ملكية أعضاء مجلس الإدارة وكبار التنفيذيين.</w:t>
      </w:r>
    </w:p>
    <w:p>
      <w:pPr>
        <w:pStyle w:val="ListParagraph"/>
        <w:numPr>
          <w:ilvl w:val="0"/>
          <w:numId w:val="2"/>
        </w:numPr>
        <w:bidi/>
        <w:spacing w:after="100" w:line="300"/>
        <w:jc w:val="right"/>
      </w:pPr>
      <w:r>
        <w:rPr>
          <w:rFonts w:ascii="Arial" w:cs="Arial" w:eastAsia="Arial" w:hAnsi="Arial"/>
          <w:sz w:val="24"/>
          <w:szCs w:val="24"/>
          <w:rtl/>
        </w:rPr>
        <w:t xml:space="preserve">التغيرات في الملكية خلال السنة.</w:t>
      </w:r>
    </w:p>
    <w:p>
      <w:pPr>
        <w:pStyle w:val="ListParagraph"/>
        <w:numPr>
          <w:ilvl w:val="0"/>
          <w:numId w:val="2"/>
        </w:numPr>
        <w:bidi/>
        <w:spacing w:after="100" w:line="300"/>
        <w:jc w:val="right"/>
      </w:pPr>
      <w:r>
        <w:rPr>
          <w:rFonts w:ascii="Arial" w:cs="Arial" w:eastAsia="Arial" w:hAnsi="Arial"/>
          <w:sz w:val="24"/>
          <w:szCs w:val="24"/>
          <w:rtl/>
        </w:rPr>
        <w:t xml:space="preserve">معلومات عن أسهم الخزينة (إن وُجدت).</w:t>
      </w:r>
    </w:p>
    <w:p>
      <w:pPr>
        <w:pStyle w:val="ListParagraph"/>
        <w:numPr>
          <w:ilvl w:val="0"/>
          <w:numId w:val="2"/>
        </w:numPr>
        <w:bidi/>
        <w:spacing w:after="100" w:line="300"/>
        <w:jc w:val="right"/>
      </w:pPr>
      <w:r>
        <w:rPr>
          <w:rFonts w:ascii="Arial" w:cs="Arial" w:eastAsia="Arial" w:hAnsi="Arial"/>
          <w:sz w:val="24"/>
          <w:szCs w:val="24"/>
          <w:rtl/>
        </w:rPr>
        <w:t xml:space="preserve">أسهم الموظفين والمحفزات.</w:t>
      </w:r>
    </w:p>
    <w:p>
      <w:pPr>
        <w:pStyle w:val="Heading3"/>
        <w:bidi/>
        <w:spacing w:after="120" w:before="200"/>
        <w:jc w:val="right"/>
      </w:pPr>
      <w:r>
        <w:rPr>
          <w:rFonts w:ascii="Arial" w:cs="Arial" w:eastAsia="Arial" w:hAnsi="Arial"/>
          <w:b/>
          <w:bCs/>
          <w:color w:val="1F4E79"/>
          <w:sz w:val="26"/>
          <w:szCs w:val="26"/>
          <w:rtl/>
        </w:rPr>
        <w:t xml:space="preserve">الإفصاح عن المستفيدين الحقيقيين</w:t>
      </w:r>
    </w:p>
    <w:p>
      <w:pPr>
        <w:bidi/>
        <w:spacing w:after="140" w:line="320"/>
        <w:jc w:val="both"/>
      </w:pPr>
      <w:r>
        <w:rPr>
          <w:rFonts w:ascii="Arial" w:cs="Arial" w:eastAsia="Arial" w:hAnsi="Arial"/>
          <w:sz w:val="24"/>
          <w:szCs w:val="24"/>
          <w:rtl/>
        </w:rPr>
        <w:t xml:space="preserve">في إطار الجهود الدولية لمكافحة غسل الأموال، يُلزم الإفصاح عن المستفيدين الحقيقيين النهائيين من ملكية الشركة. وهذه خدمة تقدمها وزارة التجارة عبر منصاتها الإلكترونية.</w:t>
      </w:r>
    </w:p>
    <w:p>
      <w:pPr>
        <w:pStyle w:val="Heading2"/>
        <w:bidi/>
        <w:spacing w:after="160" w:before="280"/>
        <w:jc w:val="right"/>
      </w:pPr>
      <w:r>
        <w:rPr>
          <w:rFonts w:ascii="Arial" w:cs="Arial" w:eastAsia="Arial" w:hAnsi="Arial"/>
          <w:b/>
          <w:bCs/>
          <w:color w:val="2E75B6"/>
          <w:sz w:val="30"/>
          <w:szCs w:val="30"/>
          <w:rtl/>
        </w:rPr>
        <w:t xml:space="preserve">2. إفصاحات المساهمين عن ملكياتهم</w:t>
      </w:r>
    </w:p>
    <w:p>
      <w:pPr>
        <w:bidi/>
        <w:spacing w:after="140" w:line="320"/>
        <w:jc w:val="both"/>
      </w:pPr>
      <w:r>
        <w:rPr>
          <w:rFonts w:ascii="Arial" w:cs="Arial" w:eastAsia="Arial" w:hAnsi="Arial"/>
          <w:sz w:val="24"/>
          <w:szCs w:val="24"/>
          <w:rtl/>
        </w:rPr>
        <w:t xml:space="preserve">يُلزم المساهمون الذين يحوزون نسباً معينة بالإفصاح المستمر عن ملكياتهم وتغيراتها:</w:t>
      </w:r>
    </w:p>
    <w:p>
      <w:pPr>
        <w:pStyle w:val="Heading3"/>
        <w:bidi/>
        <w:spacing w:after="120" w:before="200"/>
        <w:jc w:val="right"/>
      </w:pPr>
      <w:r>
        <w:rPr>
          <w:rFonts w:ascii="Arial" w:cs="Arial" w:eastAsia="Arial" w:hAnsi="Arial"/>
          <w:b/>
          <w:bCs/>
          <w:color w:val="1F4E79"/>
          <w:sz w:val="26"/>
          <w:szCs w:val="26"/>
          <w:rtl/>
        </w:rPr>
        <w:t xml:space="preserve">إفصاح ملكية 5% فأكثر</w:t>
      </w:r>
    </w:p>
    <w:p>
      <w:pPr>
        <w:bidi/>
        <w:spacing w:after="140" w:line="320"/>
        <w:jc w:val="both"/>
      </w:pPr>
      <w:r>
        <w:rPr>
          <w:rFonts w:ascii="Arial" w:cs="Arial" w:eastAsia="Arial" w:hAnsi="Arial"/>
          <w:sz w:val="24"/>
          <w:szCs w:val="24"/>
          <w:rtl/>
        </w:rPr>
        <w:t xml:space="preserve">يجب على كل شخص (طبيعي أو اعتباري) يصبح مالكاً لنسبة 5% أو أكثر من رأس مال الشركة المدرجة، الإفصاح عن ذلك خلال مهلة محددة. ويستمر الإلتزام بالإفصاح عند:</w:t>
      </w:r>
    </w:p>
    <w:p>
      <w:pPr>
        <w:pStyle w:val="ListParagraph"/>
        <w:numPr>
          <w:ilvl w:val="0"/>
          <w:numId w:val="2"/>
        </w:numPr>
        <w:bidi/>
        <w:spacing w:after="100" w:line="300"/>
        <w:jc w:val="right"/>
      </w:pPr>
      <w:r>
        <w:rPr>
          <w:rFonts w:ascii="Arial" w:cs="Arial" w:eastAsia="Arial" w:hAnsi="Arial"/>
          <w:sz w:val="24"/>
          <w:szCs w:val="24"/>
          <w:rtl/>
        </w:rPr>
        <w:t xml:space="preserve">الوصول لنسبة 5% للمرة الأولى.</w:t>
      </w:r>
    </w:p>
    <w:p>
      <w:pPr>
        <w:pStyle w:val="ListParagraph"/>
        <w:numPr>
          <w:ilvl w:val="0"/>
          <w:numId w:val="2"/>
        </w:numPr>
        <w:bidi/>
        <w:spacing w:after="100" w:line="300"/>
        <w:jc w:val="right"/>
      </w:pPr>
      <w:r>
        <w:rPr>
          <w:rFonts w:ascii="Arial" w:cs="Arial" w:eastAsia="Arial" w:hAnsi="Arial"/>
          <w:sz w:val="24"/>
          <w:szCs w:val="24"/>
          <w:rtl/>
        </w:rPr>
        <w:t xml:space="preserve">كل تغيير بنسبة 1% (زيادة أو نقص) فأكثر بعد ذلك.</w:t>
      </w:r>
    </w:p>
    <w:p>
      <w:pPr>
        <w:pStyle w:val="ListParagraph"/>
        <w:numPr>
          <w:ilvl w:val="0"/>
          <w:numId w:val="2"/>
        </w:numPr>
        <w:bidi/>
        <w:spacing w:after="100" w:line="300"/>
        <w:jc w:val="right"/>
      </w:pPr>
      <w:r>
        <w:rPr>
          <w:rFonts w:ascii="Arial" w:cs="Arial" w:eastAsia="Arial" w:hAnsi="Arial"/>
          <w:sz w:val="24"/>
          <w:szCs w:val="24"/>
          <w:rtl/>
        </w:rPr>
        <w:t xml:space="preserve">النزول تحت نسبة 5%.</w:t>
      </w:r>
    </w:p>
    <w:p>
      <w:pPr>
        <w:pStyle w:val="Heading3"/>
        <w:bidi/>
        <w:spacing w:after="120" w:before="200"/>
        <w:jc w:val="right"/>
      </w:pPr>
      <w:r>
        <w:rPr>
          <w:rFonts w:ascii="Arial" w:cs="Arial" w:eastAsia="Arial" w:hAnsi="Arial"/>
          <w:b/>
          <w:bCs/>
          <w:color w:val="1F4E79"/>
          <w:sz w:val="26"/>
          <w:szCs w:val="26"/>
          <w:rtl/>
        </w:rPr>
        <w:t xml:space="preserve">بيانات الإفصاح</w:t>
      </w:r>
    </w:p>
    <w:p>
      <w:pPr>
        <w:pStyle w:val="ListParagraph"/>
        <w:numPr>
          <w:ilvl w:val="0"/>
          <w:numId w:val="2"/>
        </w:numPr>
        <w:bidi/>
        <w:spacing w:after="100" w:line="300"/>
        <w:jc w:val="right"/>
      </w:pPr>
      <w:r>
        <w:rPr>
          <w:rFonts w:ascii="Arial" w:cs="Arial" w:eastAsia="Arial" w:hAnsi="Arial"/>
          <w:sz w:val="24"/>
          <w:szCs w:val="24"/>
          <w:rtl/>
        </w:rPr>
        <w:t xml:space="preserve">اسم المالك وبياناته.</w:t>
      </w:r>
    </w:p>
    <w:p>
      <w:pPr>
        <w:pStyle w:val="ListParagraph"/>
        <w:numPr>
          <w:ilvl w:val="0"/>
          <w:numId w:val="2"/>
        </w:numPr>
        <w:bidi/>
        <w:spacing w:after="100" w:line="300"/>
        <w:jc w:val="right"/>
      </w:pPr>
      <w:r>
        <w:rPr>
          <w:rFonts w:ascii="Arial" w:cs="Arial" w:eastAsia="Arial" w:hAnsi="Arial"/>
          <w:sz w:val="24"/>
          <w:szCs w:val="24"/>
          <w:rtl/>
        </w:rPr>
        <w:t xml:space="preserve">نوع المالك (فرد، شركة، حكومة، أجنبي).</w:t>
      </w:r>
    </w:p>
    <w:p>
      <w:pPr>
        <w:pStyle w:val="ListParagraph"/>
        <w:numPr>
          <w:ilvl w:val="0"/>
          <w:numId w:val="2"/>
        </w:numPr>
        <w:bidi/>
        <w:spacing w:after="100" w:line="300"/>
        <w:jc w:val="right"/>
      </w:pPr>
      <w:r>
        <w:rPr>
          <w:rFonts w:ascii="Arial" w:cs="Arial" w:eastAsia="Arial" w:hAnsi="Arial"/>
          <w:sz w:val="24"/>
          <w:szCs w:val="24"/>
          <w:rtl/>
        </w:rPr>
        <w:t xml:space="preserve">نسبة الملكية الجديدة.</w:t>
      </w:r>
    </w:p>
    <w:p>
      <w:pPr>
        <w:pStyle w:val="ListParagraph"/>
        <w:numPr>
          <w:ilvl w:val="0"/>
          <w:numId w:val="2"/>
        </w:numPr>
        <w:bidi/>
        <w:spacing w:after="100" w:line="300"/>
        <w:jc w:val="right"/>
      </w:pPr>
      <w:r>
        <w:rPr>
          <w:rFonts w:ascii="Arial" w:cs="Arial" w:eastAsia="Arial" w:hAnsi="Arial"/>
          <w:sz w:val="24"/>
          <w:szCs w:val="24"/>
          <w:rtl/>
        </w:rPr>
        <w:t xml:space="preserve">التغيير في النسبة.</w:t>
      </w:r>
    </w:p>
    <w:p>
      <w:pPr>
        <w:pStyle w:val="ListParagraph"/>
        <w:numPr>
          <w:ilvl w:val="0"/>
          <w:numId w:val="2"/>
        </w:numPr>
        <w:bidi/>
        <w:spacing w:after="100" w:line="300"/>
        <w:jc w:val="right"/>
      </w:pPr>
      <w:r>
        <w:rPr>
          <w:rFonts w:ascii="Arial" w:cs="Arial" w:eastAsia="Arial" w:hAnsi="Arial"/>
          <w:sz w:val="24"/>
          <w:szCs w:val="24"/>
          <w:rtl/>
        </w:rPr>
        <w:t xml:space="preserve">تاريخ ودواعي التغيير.</w:t>
      </w:r>
    </w:p>
    <w:p>
      <w:pPr>
        <w:pStyle w:val="ListParagraph"/>
        <w:numPr>
          <w:ilvl w:val="0"/>
          <w:numId w:val="2"/>
        </w:numPr>
        <w:bidi/>
        <w:spacing w:after="100" w:line="300"/>
        <w:jc w:val="right"/>
      </w:pPr>
      <w:r>
        <w:rPr>
          <w:rFonts w:ascii="Arial" w:cs="Arial" w:eastAsia="Arial" w:hAnsi="Arial"/>
          <w:sz w:val="24"/>
          <w:szCs w:val="24"/>
          <w:rtl/>
        </w:rPr>
        <w:t xml:space="preserve">هل الملكية مباشرة أو غير مباشرة.</w:t>
      </w:r>
    </w:p>
    <w:p>
      <w:pPr>
        <w:pStyle w:val="Heading3"/>
        <w:bidi/>
        <w:spacing w:after="120" w:before="200"/>
        <w:jc w:val="right"/>
      </w:pPr>
      <w:r>
        <w:rPr>
          <w:rFonts w:ascii="Arial" w:cs="Arial" w:eastAsia="Arial" w:hAnsi="Arial"/>
          <w:b/>
          <w:bCs/>
          <w:color w:val="1F4E79"/>
          <w:sz w:val="26"/>
          <w:szCs w:val="26"/>
          <w:rtl/>
        </w:rPr>
        <w:t xml:space="preserve">إفصاح كبار المسؤولين</w:t>
      </w:r>
    </w:p>
    <w:p>
      <w:pPr>
        <w:bidi/>
        <w:spacing w:after="140" w:line="320"/>
        <w:jc w:val="both"/>
      </w:pPr>
      <w:r>
        <w:rPr>
          <w:rFonts w:ascii="Arial" w:cs="Arial" w:eastAsia="Arial" w:hAnsi="Arial"/>
          <w:sz w:val="24"/>
          <w:szCs w:val="24"/>
          <w:rtl/>
        </w:rPr>
        <w:t xml:space="preserve">يجب على أعضاء مجلس الإدارة وكبار التنفيذيين في الشركة المدرجة الإفصاح عن:</w:t>
      </w:r>
    </w:p>
    <w:p>
      <w:pPr>
        <w:pStyle w:val="ListParagraph"/>
        <w:numPr>
          <w:ilvl w:val="0"/>
          <w:numId w:val="2"/>
        </w:numPr>
        <w:bidi/>
        <w:spacing w:after="100" w:line="300"/>
        <w:jc w:val="right"/>
      </w:pPr>
      <w:r>
        <w:rPr>
          <w:rFonts w:ascii="Arial" w:cs="Arial" w:eastAsia="Arial" w:hAnsi="Arial"/>
          <w:sz w:val="24"/>
          <w:szCs w:val="24"/>
          <w:rtl/>
        </w:rPr>
        <w:t xml:space="preserve">ملكياتهم الشخصية للأسهم.</w:t>
      </w:r>
    </w:p>
    <w:p>
      <w:pPr>
        <w:pStyle w:val="ListParagraph"/>
        <w:numPr>
          <w:ilvl w:val="0"/>
          <w:numId w:val="2"/>
        </w:numPr>
        <w:bidi/>
        <w:spacing w:after="100" w:line="300"/>
        <w:jc w:val="right"/>
      </w:pPr>
      <w:r>
        <w:rPr>
          <w:rFonts w:ascii="Arial" w:cs="Arial" w:eastAsia="Arial" w:hAnsi="Arial"/>
          <w:sz w:val="24"/>
          <w:szCs w:val="24"/>
          <w:rtl/>
        </w:rPr>
        <w:t xml:space="preserve">ملكيات أقاربهم من الدرجة الأولى.</w:t>
      </w:r>
    </w:p>
    <w:p>
      <w:pPr>
        <w:pStyle w:val="ListParagraph"/>
        <w:numPr>
          <w:ilvl w:val="0"/>
          <w:numId w:val="2"/>
        </w:numPr>
        <w:bidi/>
        <w:spacing w:after="100" w:line="300"/>
        <w:jc w:val="right"/>
      </w:pPr>
      <w:r>
        <w:rPr>
          <w:rFonts w:ascii="Arial" w:cs="Arial" w:eastAsia="Arial" w:hAnsi="Arial"/>
          <w:sz w:val="24"/>
          <w:szCs w:val="24"/>
          <w:rtl/>
        </w:rPr>
        <w:t xml:space="preserve">ملكيات الشركات التي يسيطرون عليها.</w:t>
      </w:r>
    </w:p>
    <w:p>
      <w:pPr>
        <w:pStyle w:val="ListParagraph"/>
        <w:numPr>
          <w:ilvl w:val="0"/>
          <w:numId w:val="2"/>
        </w:numPr>
        <w:bidi/>
        <w:spacing w:after="100" w:line="300"/>
        <w:jc w:val="right"/>
      </w:pPr>
      <w:r>
        <w:rPr>
          <w:rFonts w:ascii="Arial" w:cs="Arial" w:eastAsia="Arial" w:hAnsi="Arial"/>
          <w:sz w:val="24"/>
          <w:szCs w:val="24"/>
          <w:rtl/>
        </w:rPr>
        <w:t xml:space="preserve">كل تغيير في هذه الملكيات.</w:t>
      </w:r>
    </w:p>
    <w:p>
      <w:pPr>
        <w:pStyle w:val="Heading2"/>
        <w:bidi/>
        <w:spacing w:after="160" w:before="280"/>
        <w:jc w:val="right"/>
      </w:pPr>
      <w:r>
        <w:rPr>
          <w:rFonts w:ascii="Arial" w:cs="Arial" w:eastAsia="Arial" w:hAnsi="Arial"/>
          <w:b/>
          <w:bCs/>
          <w:color w:val="2E75B6"/>
          <w:sz w:val="30"/>
          <w:szCs w:val="30"/>
          <w:rtl/>
        </w:rPr>
        <w:t xml:space="preserve">3. الإفصاحات الفورية</w:t>
      </w:r>
    </w:p>
    <w:p>
      <w:pPr>
        <w:bidi/>
        <w:spacing w:after="140" w:line="320"/>
        <w:jc w:val="both"/>
      </w:pPr>
      <w:r>
        <w:rPr>
          <w:rFonts w:ascii="Arial" w:cs="Arial" w:eastAsia="Arial" w:hAnsi="Arial"/>
          <w:sz w:val="24"/>
          <w:szCs w:val="24"/>
          <w:rtl/>
        </w:rPr>
        <w:t xml:space="preserve">في حالات معينة، يجب الإفصاح فوراً ودون تأخير، تشمل:</w:t>
      </w:r>
    </w:p>
    <w:p>
      <w:pPr>
        <w:pStyle w:val="Heading3"/>
        <w:bidi/>
        <w:spacing w:after="120" w:before="200"/>
        <w:jc w:val="right"/>
      </w:pPr>
      <w:r>
        <w:rPr>
          <w:rFonts w:ascii="Arial" w:cs="Arial" w:eastAsia="Arial" w:hAnsi="Arial"/>
          <w:b/>
          <w:bCs/>
          <w:color w:val="1F4E79"/>
          <w:sz w:val="26"/>
          <w:szCs w:val="26"/>
          <w:rtl/>
        </w:rPr>
        <w:t xml:space="preserve">صفقات الاستحواذ والاندماج</w:t>
      </w:r>
    </w:p>
    <w:p>
      <w:pPr>
        <w:pStyle w:val="ListParagraph"/>
        <w:numPr>
          <w:ilvl w:val="0"/>
          <w:numId w:val="2"/>
        </w:numPr>
        <w:bidi/>
        <w:spacing w:after="100" w:line="300"/>
        <w:jc w:val="right"/>
      </w:pPr>
      <w:r>
        <w:rPr>
          <w:rFonts w:ascii="Arial" w:cs="Arial" w:eastAsia="Arial" w:hAnsi="Arial"/>
          <w:sz w:val="24"/>
          <w:szCs w:val="24"/>
          <w:rtl/>
        </w:rPr>
        <w:t xml:space="preserve">الإعلان عن نية الاستحواذ.</w:t>
      </w:r>
    </w:p>
    <w:p>
      <w:pPr>
        <w:pStyle w:val="ListParagraph"/>
        <w:numPr>
          <w:ilvl w:val="0"/>
          <w:numId w:val="2"/>
        </w:numPr>
        <w:bidi/>
        <w:spacing w:after="100" w:line="300"/>
        <w:jc w:val="right"/>
      </w:pPr>
      <w:r>
        <w:rPr>
          <w:rFonts w:ascii="Arial" w:cs="Arial" w:eastAsia="Arial" w:hAnsi="Arial"/>
          <w:sz w:val="24"/>
          <w:szCs w:val="24"/>
          <w:rtl/>
        </w:rPr>
        <w:t xml:space="preserve">التفاصيل الكاملة للصفقة.</w:t>
      </w:r>
    </w:p>
    <w:p>
      <w:pPr>
        <w:pStyle w:val="ListParagraph"/>
        <w:numPr>
          <w:ilvl w:val="0"/>
          <w:numId w:val="2"/>
        </w:numPr>
        <w:bidi/>
        <w:spacing w:after="100" w:line="300"/>
        <w:jc w:val="right"/>
      </w:pPr>
      <w:r>
        <w:rPr>
          <w:rFonts w:ascii="Arial" w:cs="Arial" w:eastAsia="Arial" w:hAnsi="Arial"/>
          <w:sz w:val="24"/>
          <w:szCs w:val="24"/>
          <w:rtl/>
        </w:rPr>
        <w:t xml:space="preserve">الأطراف ذات العلاقة.</w:t>
      </w:r>
    </w:p>
    <w:p>
      <w:pPr>
        <w:pStyle w:val="ListParagraph"/>
        <w:numPr>
          <w:ilvl w:val="0"/>
          <w:numId w:val="2"/>
        </w:numPr>
        <w:bidi/>
        <w:spacing w:after="100" w:line="300"/>
        <w:jc w:val="right"/>
      </w:pPr>
      <w:r>
        <w:rPr>
          <w:rFonts w:ascii="Arial" w:cs="Arial" w:eastAsia="Arial" w:hAnsi="Arial"/>
          <w:sz w:val="24"/>
          <w:szCs w:val="24"/>
          <w:rtl/>
        </w:rPr>
        <w:t xml:space="preserve">الشروط والمراحل.</w:t>
      </w:r>
    </w:p>
    <w:p>
      <w:pPr>
        <w:pStyle w:val="ListParagraph"/>
        <w:numPr>
          <w:ilvl w:val="0"/>
          <w:numId w:val="2"/>
        </w:numPr>
        <w:bidi/>
        <w:spacing w:after="100" w:line="300"/>
        <w:jc w:val="right"/>
      </w:pPr>
      <w:r>
        <w:rPr>
          <w:rFonts w:ascii="Arial" w:cs="Arial" w:eastAsia="Arial" w:hAnsi="Arial"/>
          <w:sz w:val="24"/>
          <w:szCs w:val="24"/>
          <w:rtl/>
        </w:rPr>
        <w:t xml:space="preserve">الموافقات المطلوبة.</w:t>
      </w:r>
    </w:p>
    <w:p>
      <w:pPr>
        <w:pStyle w:val="Heading3"/>
        <w:bidi/>
        <w:spacing w:after="120" w:before="200"/>
        <w:jc w:val="right"/>
      </w:pPr>
      <w:r>
        <w:rPr>
          <w:rFonts w:ascii="Arial" w:cs="Arial" w:eastAsia="Arial" w:hAnsi="Arial"/>
          <w:b/>
          <w:bCs/>
          <w:color w:val="1F4E79"/>
          <w:sz w:val="26"/>
          <w:szCs w:val="26"/>
          <w:rtl/>
        </w:rPr>
        <w:t xml:space="preserve">التغيرات في السيطرة</w:t>
      </w:r>
    </w:p>
    <w:p>
      <w:pPr>
        <w:pStyle w:val="ListParagraph"/>
        <w:numPr>
          <w:ilvl w:val="0"/>
          <w:numId w:val="2"/>
        </w:numPr>
        <w:bidi/>
        <w:spacing w:after="100" w:line="300"/>
        <w:jc w:val="right"/>
      </w:pPr>
      <w:r>
        <w:rPr>
          <w:rFonts w:ascii="Arial" w:cs="Arial" w:eastAsia="Arial" w:hAnsi="Arial"/>
          <w:sz w:val="24"/>
          <w:szCs w:val="24"/>
          <w:rtl/>
        </w:rPr>
        <w:t xml:space="preserve">الحالات التي تتغير فيها السيطرة على الشركة.</w:t>
      </w:r>
    </w:p>
    <w:p>
      <w:pPr>
        <w:pStyle w:val="ListParagraph"/>
        <w:numPr>
          <w:ilvl w:val="0"/>
          <w:numId w:val="2"/>
        </w:numPr>
        <w:bidi/>
        <w:spacing w:after="100" w:line="300"/>
        <w:jc w:val="right"/>
      </w:pPr>
      <w:r>
        <w:rPr>
          <w:rFonts w:ascii="Arial" w:cs="Arial" w:eastAsia="Arial" w:hAnsi="Arial"/>
          <w:sz w:val="24"/>
          <w:szCs w:val="24"/>
          <w:rtl/>
        </w:rPr>
        <w:t xml:space="preserve">بيع حصص كبيرة قد تؤثر على هيكل الإدارة.</w:t>
      </w:r>
    </w:p>
    <w:p>
      <w:pPr>
        <w:pStyle w:val="ListParagraph"/>
        <w:numPr>
          <w:ilvl w:val="0"/>
          <w:numId w:val="2"/>
        </w:numPr>
        <w:bidi/>
        <w:spacing w:after="100" w:line="300"/>
        <w:jc w:val="right"/>
      </w:pPr>
      <w:r>
        <w:rPr>
          <w:rFonts w:ascii="Arial" w:cs="Arial" w:eastAsia="Arial" w:hAnsi="Arial"/>
          <w:sz w:val="24"/>
          <w:szCs w:val="24"/>
          <w:rtl/>
        </w:rPr>
        <w:t xml:space="preserve">تحالفات بين مساهمين.</w:t>
      </w:r>
    </w:p>
    <w:p>
      <w:pPr>
        <w:pStyle w:val="Heading3"/>
        <w:bidi/>
        <w:spacing w:after="120" w:before="200"/>
        <w:jc w:val="right"/>
      </w:pPr>
      <w:r>
        <w:rPr>
          <w:rFonts w:ascii="Arial" w:cs="Arial" w:eastAsia="Arial" w:hAnsi="Arial"/>
          <w:b/>
          <w:bCs/>
          <w:color w:val="1F4E79"/>
          <w:sz w:val="26"/>
          <w:szCs w:val="26"/>
          <w:rtl/>
        </w:rPr>
        <w:t xml:space="preserve">معاملات الأطراف ذات العلاقة</w:t>
      </w:r>
    </w:p>
    <w:p>
      <w:pPr>
        <w:pStyle w:val="ListParagraph"/>
        <w:numPr>
          <w:ilvl w:val="0"/>
          <w:numId w:val="2"/>
        </w:numPr>
        <w:bidi/>
        <w:spacing w:after="100" w:line="300"/>
        <w:jc w:val="right"/>
      </w:pPr>
      <w:r>
        <w:rPr>
          <w:rFonts w:ascii="Arial" w:cs="Arial" w:eastAsia="Arial" w:hAnsi="Arial"/>
          <w:sz w:val="24"/>
          <w:szCs w:val="24"/>
          <w:rtl/>
        </w:rPr>
        <w:t xml:space="preserve">المعاملات التي يكون لأحد أعضاء المجلس أو كبار المساهمين مصلحة فيها.</w:t>
      </w:r>
    </w:p>
    <w:p>
      <w:pPr>
        <w:pStyle w:val="ListParagraph"/>
        <w:numPr>
          <w:ilvl w:val="0"/>
          <w:numId w:val="2"/>
        </w:numPr>
        <w:bidi/>
        <w:spacing w:after="100" w:line="300"/>
        <w:jc w:val="right"/>
      </w:pPr>
      <w:r>
        <w:rPr>
          <w:rFonts w:ascii="Arial" w:cs="Arial" w:eastAsia="Arial" w:hAnsi="Arial"/>
          <w:sz w:val="24"/>
          <w:szCs w:val="24"/>
          <w:rtl/>
        </w:rPr>
        <w:t xml:space="preserve">تفاصيل المعاملة وقيمتها.</w:t>
      </w:r>
    </w:p>
    <w:p>
      <w:pPr>
        <w:pStyle w:val="ListParagraph"/>
        <w:numPr>
          <w:ilvl w:val="0"/>
          <w:numId w:val="2"/>
        </w:numPr>
        <w:bidi/>
        <w:spacing w:after="100" w:line="300"/>
        <w:jc w:val="right"/>
      </w:pPr>
      <w:r>
        <w:rPr>
          <w:rFonts w:ascii="Arial" w:cs="Arial" w:eastAsia="Arial" w:hAnsi="Arial"/>
          <w:sz w:val="24"/>
          <w:szCs w:val="24"/>
          <w:rtl/>
        </w:rPr>
        <w:t xml:space="preserve">طبيعة المصلحة.</w:t>
      </w:r>
    </w:p>
    <w:p>
      <w:pPr>
        <w:pStyle w:val="ListParagraph"/>
        <w:numPr>
          <w:ilvl w:val="0"/>
          <w:numId w:val="2"/>
        </w:numPr>
        <w:bidi/>
        <w:spacing w:after="100" w:line="300"/>
        <w:jc w:val="right"/>
      </w:pPr>
      <w:r>
        <w:rPr>
          <w:rFonts w:ascii="Arial" w:cs="Arial" w:eastAsia="Arial" w:hAnsi="Arial"/>
          <w:sz w:val="24"/>
          <w:szCs w:val="24"/>
          <w:rtl/>
        </w:rPr>
        <w:t xml:space="preserve">موافقات الجهات المختصة.</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رابعاً: التقارير الدورية المتعلقة بالملكية</w:t>
      </w:r>
    </w:p>
    <w:p>
      <w:pPr>
        <w:bidi/>
        <w:spacing w:after="140" w:line="320"/>
        <w:jc w:val="both"/>
      </w:pPr>
      <w:r>
        <w:rPr>
          <w:rFonts w:ascii="Arial" w:cs="Arial" w:eastAsia="Arial" w:hAnsi="Arial"/>
          <w:sz w:val="24"/>
          <w:szCs w:val="24"/>
          <w:rtl/>
        </w:rPr>
        <w:t xml:space="preserve">تُلزم الشركات المدرجة بنشر مجموعة من التقارير الدورية التي تتضمن معلومات عن الملكية:</w:t>
      </w:r>
    </w:p>
    <w:p>
      <w:pPr>
        <w:pStyle w:val="Heading2"/>
        <w:bidi/>
        <w:spacing w:after="160" w:before="280"/>
        <w:jc w:val="right"/>
      </w:pPr>
      <w:r>
        <w:rPr>
          <w:rFonts w:ascii="Arial" w:cs="Arial" w:eastAsia="Arial" w:hAnsi="Arial"/>
          <w:b/>
          <w:bCs/>
          <w:color w:val="2E75B6"/>
          <w:sz w:val="30"/>
          <w:szCs w:val="30"/>
          <w:rtl/>
        </w:rPr>
        <w:t xml:space="preserve">1. التقرير الربعي</w:t>
      </w:r>
    </w:p>
    <w:p>
      <w:pPr>
        <w:bidi/>
        <w:spacing w:after="140" w:line="320"/>
        <w:jc w:val="both"/>
      </w:pPr>
      <w:r>
        <w:rPr>
          <w:rFonts w:ascii="Arial" w:cs="Arial" w:eastAsia="Arial" w:hAnsi="Arial"/>
          <w:sz w:val="24"/>
          <w:szCs w:val="24"/>
          <w:rtl/>
        </w:rPr>
        <w:t xml:space="preserve">ينشر كل ثلاثة أشهر، ويتضمن - فيما يخص الملكية:</w:t>
      </w:r>
    </w:p>
    <w:p>
      <w:pPr>
        <w:pStyle w:val="ListParagraph"/>
        <w:numPr>
          <w:ilvl w:val="0"/>
          <w:numId w:val="2"/>
        </w:numPr>
        <w:bidi/>
        <w:spacing w:after="100" w:line="300"/>
        <w:jc w:val="right"/>
      </w:pPr>
      <w:r>
        <w:rPr>
          <w:rFonts w:ascii="Arial" w:cs="Arial" w:eastAsia="Arial" w:hAnsi="Arial"/>
          <w:sz w:val="24"/>
          <w:szCs w:val="24"/>
          <w:rtl/>
        </w:rPr>
        <w:t xml:space="preserve">القوائم المالية المرحلية.</w:t>
      </w:r>
    </w:p>
    <w:p>
      <w:pPr>
        <w:pStyle w:val="ListParagraph"/>
        <w:numPr>
          <w:ilvl w:val="0"/>
          <w:numId w:val="2"/>
        </w:numPr>
        <w:bidi/>
        <w:spacing w:after="100" w:line="300"/>
        <w:jc w:val="right"/>
      </w:pPr>
      <w:r>
        <w:rPr>
          <w:rFonts w:ascii="Arial" w:cs="Arial" w:eastAsia="Arial" w:hAnsi="Arial"/>
          <w:sz w:val="24"/>
          <w:szCs w:val="24"/>
          <w:rtl/>
        </w:rPr>
        <w:t xml:space="preserve">التغيرات الجوهرية في هيكل الملكية.</w:t>
      </w:r>
    </w:p>
    <w:p>
      <w:pPr>
        <w:pStyle w:val="ListParagraph"/>
        <w:numPr>
          <w:ilvl w:val="0"/>
          <w:numId w:val="2"/>
        </w:numPr>
        <w:bidi/>
        <w:spacing w:after="100" w:line="300"/>
        <w:jc w:val="right"/>
      </w:pPr>
      <w:r>
        <w:rPr>
          <w:rFonts w:ascii="Arial" w:cs="Arial" w:eastAsia="Arial" w:hAnsi="Arial"/>
          <w:sz w:val="24"/>
          <w:szCs w:val="24"/>
          <w:rtl/>
        </w:rPr>
        <w:t xml:space="preserve">التوزيعات المرحلية إن وُجدت.</w:t>
      </w:r>
    </w:p>
    <w:p>
      <w:pPr>
        <w:pStyle w:val="ListParagraph"/>
        <w:numPr>
          <w:ilvl w:val="0"/>
          <w:numId w:val="2"/>
        </w:numPr>
        <w:bidi/>
        <w:spacing w:after="100" w:line="300"/>
        <w:jc w:val="right"/>
      </w:pPr>
      <w:r>
        <w:rPr>
          <w:rFonts w:ascii="Arial" w:cs="Arial" w:eastAsia="Arial" w:hAnsi="Arial"/>
          <w:sz w:val="24"/>
          <w:szCs w:val="24"/>
          <w:rtl/>
        </w:rPr>
        <w:t xml:space="preserve">أي معلومات جوهرية أخرى.</w:t>
      </w:r>
    </w:p>
    <w:p>
      <w:pPr>
        <w:pStyle w:val="Heading2"/>
        <w:bidi/>
        <w:spacing w:after="160" w:before="280"/>
        <w:jc w:val="right"/>
      </w:pPr>
      <w:r>
        <w:rPr>
          <w:rFonts w:ascii="Arial" w:cs="Arial" w:eastAsia="Arial" w:hAnsi="Arial"/>
          <w:b/>
          <w:bCs/>
          <w:color w:val="2E75B6"/>
          <w:sz w:val="30"/>
          <w:szCs w:val="30"/>
          <w:rtl/>
        </w:rPr>
        <w:t xml:space="preserve">2. التقرير نصف السنوي</w:t>
      </w:r>
    </w:p>
    <w:p>
      <w:pPr>
        <w:bidi/>
        <w:spacing w:after="140" w:line="320"/>
        <w:jc w:val="both"/>
      </w:pPr>
      <w:r>
        <w:rPr>
          <w:rFonts w:ascii="Arial" w:cs="Arial" w:eastAsia="Arial" w:hAnsi="Arial"/>
          <w:sz w:val="24"/>
          <w:szCs w:val="24"/>
          <w:rtl/>
        </w:rPr>
        <w:t xml:space="preserve">ينشر بعد انتهاء النصف الأول من السنة المالية، ويشمل تفاصيل أوسع من التقرير الربعي:</w:t>
      </w:r>
    </w:p>
    <w:p>
      <w:pPr>
        <w:pStyle w:val="ListParagraph"/>
        <w:numPr>
          <w:ilvl w:val="0"/>
          <w:numId w:val="2"/>
        </w:numPr>
        <w:bidi/>
        <w:spacing w:after="100" w:line="300"/>
        <w:jc w:val="right"/>
      </w:pPr>
      <w:r>
        <w:rPr>
          <w:rFonts w:ascii="Arial" w:cs="Arial" w:eastAsia="Arial" w:hAnsi="Arial"/>
          <w:sz w:val="24"/>
          <w:szCs w:val="24"/>
          <w:rtl/>
        </w:rPr>
        <w:t xml:space="preserve">القوائم المالية نصف السنوية المراجعة.</w:t>
      </w:r>
    </w:p>
    <w:p>
      <w:pPr>
        <w:pStyle w:val="ListParagraph"/>
        <w:numPr>
          <w:ilvl w:val="0"/>
          <w:numId w:val="2"/>
        </w:numPr>
        <w:bidi/>
        <w:spacing w:after="100" w:line="300"/>
        <w:jc w:val="right"/>
      </w:pPr>
      <w:r>
        <w:rPr>
          <w:rFonts w:ascii="Arial" w:cs="Arial" w:eastAsia="Arial" w:hAnsi="Arial"/>
          <w:sz w:val="24"/>
          <w:szCs w:val="24"/>
          <w:rtl/>
        </w:rPr>
        <w:t xml:space="preserve">تحليل أداء الشركة.</w:t>
      </w:r>
    </w:p>
    <w:p>
      <w:pPr>
        <w:pStyle w:val="ListParagraph"/>
        <w:numPr>
          <w:ilvl w:val="0"/>
          <w:numId w:val="2"/>
        </w:numPr>
        <w:bidi/>
        <w:spacing w:after="100" w:line="300"/>
        <w:jc w:val="right"/>
      </w:pPr>
      <w:r>
        <w:rPr>
          <w:rFonts w:ascii="Arial" w:cs="Arial" w:eastAsia="Arial" w:hAnsi="Arial"/>
          <w:sz w:val="24"/>
          <w:szCs w:val="24"/>
          <w:rtl/>
        </w:rPr>
        <w:t xml:space="preserve">التغيرات في هيكل الملكية.</w:t>
      </w:r>
    </w:p>
    <w:p>
      <w:pPr>
        <w:pStyle w:val="ListParagraph"/>
        <w:numPr>
          <w:ilvl w:val="0"/>
          <w:numId w:val="2"/>
        </w:numPr>
        <w:bidi/>
        <w:spacing w:after="100" w:line="300"/>
        <w:jc w:val="right"/>
      </w:pPr>
      <w:r>
        <w:rPr>
          <w:rFonts w:ascii="Arial" w:cs="Arial" w:eastAsia="Arial" w:hAnsi="Arial"/>
          <w:sz w:val="24"/>
          <w:szCs w:val="24"/>
          <w:rtl/>
        </w:rPr>
        <w:t xml:space="preserve">الإفصاحات المتعلقة بالأطراف ذات العلاقة.</w:t>
      </w:r>
    </w:p>
    <w:p>
      <w:pPr>
        <w:pStyle w:val="Heading2"/>
        <w:bidi/>
        <w:spacing w:after="160" w:before="280"/>
        <w:jc w:val="right"/>
      </w:pPr>
      <w:r>
        <w:rPr>
          <w:rFonts w:ascii="Arial" w:cs="Arial" w:eastAsia="Arial" w:hAnsi="Arial"/>
          <w:b/>
          <w:bCs/>
          <w:color w:val="2E75B6"/>
          <w:sz w:val="30"/>
          <w:szCs w:val="30"/>
          <w:rtl/>
        </w:rPr>
        <w:t xml:space="preserve">3. التقرير السنوي</w:t>
      </w:r>
    </w:p>
    <w:p>
      <w:pPr>
        <w:bidi/>
        <w:spacing w:after="140" w:line="320"/>
        <w:jc w:val="both"/>
      </w:pPr>
      <w:r>
        <w:rPr>
          <w:rFonts w:ascii="Arial" w:cs="Arial" w:eastAsia="Arial" w:hAnsi="Arial"/>
          <w:sz w:val="24"/>
          <w:szCs w:val="24"/>
          <w:rtl/>
        </w:rPr>
        <w:t xml:space="preserve">التقرير الأشمل والأكثر تفصيلاً، ويُعدّ المرجع الرئيسي لفهم الشركة. وفيما يخص الملكية، يتضمن:</w:t>
      </w:r>
    </w:p>
    <w:p>
      <w:pPr>
        <w:pStyle w:val="ListParagraph"/>
        <w:numPr>
          <w:ilvl w:val="0"/>
          <w:numId w:val="2"/>
        </w:numPr>
        <w:bidi/>
        <w:spacing w:after="100" w:line="300"/>
        <w:jc w:val="right"/>
      </w:pPr>
      <w:r>
        <w:rPr>
          <w:rFonts w:ascii="Arial" w:cs="Arial" w:eastAsia="Arial" w:hAnsi="Arial"/>
          <w:sz w:val="24"/>
          <w:szCs w:val="24"/>
          <w:rtl/>
        </w:rPr>
        <w:t xml:space="preserve">القوائم المالية المدققة.</w:t>
      </w:r>
    </w:p>
    <w:p>
      <w:pPr>
        <w:pStyle w:val="ListParagraph"/>
        <w:numPr>
          <w:ilvl w:val="0"/>
          <w:numId w:val="2"/>
        </w:numPr>
        <w:bidi/>
        <w:spacing w:after="100" w:line="300"/>
        <w:jc w:val="right"/>
      </w:pPr>
      <w:r>
        <w:rPr>
          <w:rFonts w:ascii="Arial" w:cs="Arial" w:eastAsia="Arial" w:hAnsi="Arial"/>
          <w:sz w:val="24"/>
          <w:szCs w:val="24"/>
          <w:rtl/>
        </w:rPr>
        <w:t xml:space="preserve">تقرير مجلس الإدارة الشامل.</w:t>
      </w:r>
    </w:p>
    <w:p>
      <w:pPr>
        <w:pStyle w:val="ListParagraph"/>
        <w:numPr>
          <w:ilvl w:val="0"/>
          <w:numId w:val="2"/>
        </w:numPr>
        <w:bidi/>
        <w:spacing w:after="100" w:line="300"/>
        <w:jc w:val="right"/>
      </w:pPr>
      <w:r>
        <w:rPr>
          <w:rFonts w:ascii="Arial" w:cs="Arial" w:eastAsia="Arial" w:hAnsi="Arial"/>
          <w:sz w:val="24"/>
          <w:szCs w:val="24"/>
          <w:rtl/>
        </w:rPr>
        <w:t xml:space="preserve">هيكل الملكية المفصّل.</w:t>
      </w:r>
    </w:p>
    <w:p>
      <w:pPr>
        <w:pStyle w:val="ListParagraph"/>
        <w:numPr>
          <w:ilvl w:val="0"/>
          <w:numId w:val="2"/>
        </w:numPr>
        <w:bidi/>
        <w:spacing w:after="100" w:line="300"/>
        <w:jc w:val="right"/>
      </w:pPr>
      <w:r>
        <w:rPr>
          <w:rFonts w:ascii="Arial" w:cs="Arial" w:eastAsia="Arial" w:hAnsi="Arial"/>
          <w:sz w:val="24"/>
          <w:szCs w:val="24"/>
          <w:rtl/>
        </w:rPr>
        <w:t xml:space="preserve">قائمة كبار المساهمين.</w:t>
      </w:r>
    </w:p>
    <w:p>
      <w:pPr>
        <w:pStyle w:val="ListParagraph"/>
        <w:numPr>
          <w:ilvl w:val="0"/>
          <w:numId w:val="2"/>
        </w:numPr>
        <w:bidi/>
        <w:spacing w:after="100" w:line="300"/>
        <w:jc w:val="right"/>
      </w:pPr>
      <w:r>
        <w:rPr>
          <w:rFonts w:ascii="Arial" w:cs="Arial" w:eastAsia="Arial" w:hAnsi="Arial"/>
          <w:sz w:val="24"/>
          <w:szCs w:val="24"/>
          <w:rtl/>
        </w:rPr>
        <w:t xml:space="preserve">ملكية أعضاء مجلس الإدارة والإدارة التنفيذية.</w:t>
      </w:r>
    </w:p>
    <w:p>
      <w:pPr>
        <w:pStyle w:val="ListParagraph"/>
        <w:numPr>
          <w:ilvl w:val="0"/>
          <w:numId w:val="2"/>
        </w:numPr>
        <w:bidi/>
        <w:spacing w:after="100" w:line="300"/>
        <w:jc w:val="right"/>
      </w:pPr>
      <w:r>
        <w:rPr>
          <w:rFonts w:ascii="Arial" w:cs="Arial" w:eastAsia="Arial" w:hAnsi="Arial"/>
          <w:sz w:val="24"/>
          <w:szCs w:val="24"/>
          <w:rtl/>
        </w:rPr>
        <w:t xml:space="preserve">التغيرات في الملكية خلال السنة.</w:t>
      </w:r>
    </w:p>
    <w:p>
      <w:pPr>
        <w:pStyle w:val="ListParagraph"/>
        <w:numPr>
          <w:ilvl w:val="0"/>
          <w:numId w:val="2"/>
        </w:numPr>
        <w:bidi/>
        <w:spacing w:after="100" w:line="300"/>
        <w:jc w:val="right"/>
      </w:pPr>
      <w:r>
        <w:rPr>
          <w:rFonts w:ascii="Arial" w:cs="Arial" w:eastAsia="Arial" w:hAnsi="Arial"/>
          <w:sz w:val="24"/>
          <w:szCs w:val="24"/>
          <w:rtl/>
        </w:rPr>
        <w:t xml:space="preserve">معاملات الأطراف ذات العلاقة.</w:t>
      </w:r>
    </w:p>
    <w:p>
      <w:pPr>
        <w:pStyle w:val="ListParagraph"/>
        <w:numPr>
          <w:ilvl w:val="0"/>
          <w:numId w:val="2"/>
        </w:numPr>
        <w:bidi/>
        <w:spacing w:after="100" w:line="300"/>
        <w:jc w:val="right"/>
      </w:pPr>
      <w:r>
        <w:rPr>
          <w:rFonts w:ascii="Arial" w:cs="Arial" w:eastAsia="Arial" w:hAnsi="Arial"/>
          <w:sz w:val="24"/>
          <w:szCs w:val="24"/>
          <w:rtl/>
        </w:rPr>
        <w:t xml:space="preserve">توزيعات الأرباح.</w:t>
      </w:r>
    </w:p>
    <w:p>
      <w:pPr>
        <w:pStyle w:val="ListParagraph"/>
        <w:numPr>
          <w:ilvl w:val="0"/>
          <w:numId w:val="2"/>
        </w:numPr>
        <w:bidi/>
        <w:spacing w:after="100" w:line="300"/>
        <w:jc w:val="right"/>
      </w:pPr>
      <w:r>
        <w:rPr>
          <w:rFonts w:ascii="Arial" w:cs="Arial" w:eastAsia="Arial" w:hAnsi="Arial"/>
          <w:sz w:val="24"/>
          <w:szCs w:val="24"/>
          <w:rtl/>
        </w:rPr>
        <w:t xml:space="preserve">سياسات الحوكمة.</w:t>
      </w:r>
    </w:p>
    <w:p>
      <w:pPr>
        <w:pStyle w:val="Heading2"/>
        <w:bidi/>
        <w:spacing w:after="160" w:before="280"/>
        <w:jc w:val="right"/>
      </w:pPr>
      <w:r>
        <w:rPr>
          <w:rFonts w:ascii="Arial" w:cs="Arial" w:eastAsia="Arial" w:hAnsi="Arial"/>
          <w:b/>
          <w:bCs/>
          <w:color w:val="2E75B6"/>
          <w:sz w:val="30"/>
          <w:szCs w:val="30"/>
          <w:rtl/>
        </w:rPr>
        <w:t xml:space="preserve">4. التقرير الشهري لكبار المساهمين</w:t>
      </w:r>
    </w:p>
    <w:p>
      <w:pPr>
        <w:bidi/>
        <w:spacing w:after="140" w:line="320"/>
        <w:jc w:val="both"/>
      </w:pPr>
      <w:r>
        <w:rPr>
          <w:rFonts w:ascii="Arial" w:cs="Arial" w:eastAsia="Arial" w:hAnsi="Arial"/>
          <w:sz w:val="24"/>
          <w:szCs w:val="24"/>
          <w:rtl/>
        </w:rPr>
        <w:t xml:space="preserve">ينشر شهرياً بشكل إلزامي عبر منصة "تداول"، ويتضمن:</w:t>
      </w:r>
    </w:p>
    <w:p>
      <w:pPr>
        <w:pStyle w:val="ListParagraph"/>
        <w:numPr>
          <w:ilvl w:val="0"/>
          <w:numId w:val="2"/>
        </w:numPr>
        <w:bidi/>
        <w:spacing w:after="100" w:line="300"/>
        <w:jc w:val="right"/>
      </w:pPr>
      <w:r>
        <w:rPr>
          <w:rFonts w:ascii="Arial" w:cs="Arial" w:eastAsia="Arial" w:hAnsi="Arial"/>
          <w:sz w:val="24"/>
          <w:szCs w:val="24"/>
          <w:rtl/>
        </w:rPr>
        <w:t xml:space="preserve">قائمة بأسماء المساهمين الذين يملكون 5% فأكثر.</w:t>
      </w:r>
    </w:p>
    <w:p>
      <w:pPr>
        <w:pStyle w:val="ListParagraph"/>
        <w:numPr>
          <w:ilvl w:val="0"/>
          <w:numId w:val="2"/>
        </w:numPr>
        <w:bidi/>
        <w:spacing w:after="100" w:line="300"/>
        <w:jc w:val="right"/>
      </w:pPr>
      <w:r>
        <w:rPr>
          <w:rFonts w:ascii="Arial" w:cs="Arial" w:eastAsia="Arial" w:hAnsi="Arial"/>
          <w:sz w:val="24"/>
          <w:szCs w:val="24"/>
          <w:rtl/>
        </w:rPr>
        <w:t xml:space="preserve">النسبة المملوكة لكل منهم.</w:t>
      </w:r>
    </w:p>
    <w:p>
      <w:pPr>
        <w:pStyle w:val="ListParagraph"/>
        <w:numPr>
          <w:ilvl w:val="0"/>
          <w:numId w:val="2"/>
        </w:numPr>
        <w:bidi/>
        <w:spacing w:after="100" w:line="300"/>
        <w:jc w:val="right"/>
      </w:pPr>
      <w:r>
        <w:rPr>
          <w:rFonts w:ascii="Arial" w:cs="Arial" w:eastAsia="Arial" w:hAnsi="Arial"/>
          <w:sz w:val="24"/>
          <w:szCs w:val="24"/>
          <w:rtl/>
        </w:rPr>
        <w:t xml:space="preserve">التغير منذ التقرير السابق.</w:t>
      </w:r>
    </w:p>
    <w:p>
      <w:pPr>
        <w:pStyle w:val="ListParagraph"/>
        <w:numPr>
          <w:ilvl w:val="0"/>
          <w:numId w:val="2"/>
        </w:numPr>
        <w:bidi/>
        <w:spacing w:after="100" w:line="300"/>
        <w:jc w:val="right"/>
      </w:pPr>
      <w:r>
        <w:rPr>
          <w:rFonts w:ascii="Arial" w:cs="Arial" w:eastAsia="Arial" w:hAnsi="Arial"/>
          <w:sz w:val="24"/>
          <w:szCs w:val="24"/>
          <w:rtl/>
        </w:rPr>
        <w:t xml:space="preserve">تاريخ التقرير.</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خامساً: الإفصاحات المرتبطة بالجمعيات العمومية</w:t>
      </w:r>
    </w:p>
    <w:p>
      <w:pPr>
        <w:bidi/>
        <w:spacing w:after="140" w:line="320"/>
        <w:jc w:val="both"/>
      </w:pPr>
      <w:r>
        <w:rPr>
          <w:rFonts w:ascii="Arial" w:cs="Arial" w:eastAsia="Arial" w:hAnsi="Arial"/>
          <w:sz w:val="24"/>
          <w:szCs w:val="24"/>
          <w:rtl/>
        </w:rPr>
        <w:t xml:space="preserve">تستوجب الجمعيات العمومية مجموعة من الإفصاحات المتعلقة بالملكية:</w:t>
      </w:r>
    </w:p>
    <w:p>
      <w:pPr>
        <w:pStyle w:val="Heading2"/>
        <w:bidi/>
        <w:spacing w:after="160" w:before="280"/>
        <w:jc w:val="right"/>
      </w:pPr>
      <w:r>
        <w:rPr>
          <w:rFonts w:ascii="Arial" w:cs="Arial" w:eastAsia="Arial" w:hAnsi="Arial"/>
          <w:b/>
          <w:bCs/>
          <w:color w:val="2E75B6"/>
          <w:sz w:val="30"/>
          <w:szCs w:val="30"/>
          <w:rtl/>
        </w:rPr>
        <w:t xml:space="preserve">1. قبل الجمعية</w:t>
      </w:r>
    </w:p>
    <w:p>
      <w:pPr>
        <w:pStyle w:val="ListParagraph"/>
        <w:numPr>
          <w:ilvl w:val="0"/>
          <w:numId w:val="2"/>
        </w:numPr>
        <w:bidi/>
        <w:spacing w:after="100" w:line="300"/>
        <w:jc w:val="right"/>
      </w:pPr>
      <w:r>
        <w:rPr>
          <w:rFonts w:ascii="Arial" w:cs="Arial" w:eastAsia="Arial" w:hAnsi="Arial"/>
          <w:sz w:val="24"/>
          <w:szCs w:val="24"/>
          <w:rtl/>
        </w:rPr>
        <w:t xml:space="preserve">الإفصاح عن دعوة الجمعية مع جدول الأعمال.</w:t>
      </w:r>
    </w:p>
    <w:p>
      <w:pPr>
        <w:pStyle w:val="ListParagraph"/>
        <w:numPr>
          <w:ilvl w:val="0"/>
          <w:numId w:val="2"/>
        </w:numPr>
        <w:bidi/>
        <w:spacing w:after="100" w:line="300"/>
        <w:jc w:val="right"/>
      </w:pPr>
      <w:r>
        <w:rPr>
          <w:rFonts w:ascii="Arial" w:cs="Arial" w:eastAsia="Arial" w:hAnsi="Arial"/>
          <w:sz w:val="24"/>
          <w:szCs w:val="24"/>
          <w:rtl/>
        </w:rPr>
        <w:t xml:space="preserve">نشر المستندات والوثائق المتعلقة بالقرارات المقترحة.</w:t>
      </w:r>
    </w:p>
    <w:p>
      <w:pPr>
        <w:pStyle w:val="ListParagraph"/>
        <w:numPr>
          <w:ilvl w:val="0"/>
          <w:numId w:val="2"/>
        </w:numPr>
        <w:bidi/>
        <w:spacing w:after="100" w:line="300"/>
        <w:jc w:val="right"/>
      </w:pPr>
      <w:r>
        <w:rPr>
          <w:rFonts w:ascii="Arial" w:cs="Arial" w:eastAsia="Arial" w:hAnsi="Arial"/>
          <w:sz w:val="24"/>
          <w:szCs w:val="24"/>
          <w:rtl/>
        </w:rPr>
        <w:t xml:space="preserve">الإفصاح عن أي تعاملات مع أطراف ذات علاقة معروضة للموافقة.</w:t>
      </w:r>
    </w:p>
    <w:p>
      <w:pPr>
        <w:pStyle w:val="ListParagraph"/>
        <w:numPr>
          <w:ilvl w:val="0"/>
          <w:numId w:val="2"/>
        </w:numPr>
        <w:bidi/>
        <w:spacing w:after="100" w:line="300"/>
        <w:jc w:val="right"/>
      </w:pPr>
      <w:r>
        <w:rPr>
          <w:rFonts w:ascii="Arial" w:cs="Arial" w:eastAsia="Arial" w:hAnsi="Arial"/>
          <w:sz w:val="24"/>
          <w:szCs w:val="24"/>
          <w:rtl/>
        </w:rPr>
        <w:t xml:space="preserve">الإفصاح عن سياسات المكافآت والتعويضات.</w:t>
      </w:r>
    </w:p>
    <w:p>
      <w:pPr>
        <w:pStyle w:val="ListParagraph"/>
        <w:numPr>
          <w:ilvl w:val="0"/>
          <w:numId w:val="2"/>
        </w:numPr>
        <w:bidi/>
        <w:spacing w:after="100" w:line="300"/>
        <w:jc w:val="right"/>
      </w:pPr>
      <w:r>
        <w:rPr>
          <w:rFonts w:ascii="Arial" w:cs="Arial" w:eastAsia="Arial" w:hAnsi="Arial"/>
          <w:sz w:val="24"/>
          <w:szCs w:val="24"/>
          <w:rtl/>
        </w:rPr>
        <w:t xml:space="preserve">الإفصاح عن ترشيحات أعضاء مجلس الإدارة وسيرهم الذاتية.</w:t>
      </w:r>
    </w:p>
    <w:p>
      <w:pPr>
        <w:pStyle w:val="Heading2"/>
        <w:bidi/>
        <w:spacing w:after="160" w:before="280"/>
        <w:jc w:val="right"/>
      </w:pPr>
      <w:r>
        <w:rPr>
          <w:rFonts w:ascii="Arial" w:cs="Arial" w:eastAsia="Arial" w:hAnsi="Arial"/>
          <w:b/>
          <w:bCs/>
          <w:color w:val="2E75B6"/>
          <w:sz w:val="30"/>
          <w:szCs w:val="30"/>
          <w:rtl/>
        </w:rPr>
        <w:t xml:space="preserve">2. خلال الجمعية</w:t>
      </w:r>
    </w:p>
    <w:p>
      <w:pPr>
        <w:pStyle w:val="ListParagraph"/>
        <w:numPr>
          <w:ilvl w:val="0"/>
          <w:numId w:val="2"/>
        </w:numPr>
        <w:bidi/>
        <w:spacing w:after="100" w:line="300"/>
        <w:jc w:val="right"/>
      </w:pPr>
      <w:r>
        <w:rPr>
          <w:rFonts w:ascii="Arial" w:cs="Arial" w:eastAsia="Arial" w:hAnsi="Arial"/>
          <w:sz w:val="24"/>
          <w:szCs w:val="24"/>
          <w:rtl/>
        </w:rPr>
        <w:t xml:space="preserve">توفير قائمة الحضور وعدد الأسهم الممثلة.</w:t>
      </w:r>
    </w:p>
    <w:p>
      <w:pPr>
        <w:pStyle w:val="ListParagraph"/>
        <w:numPr>
          <w:ilvl w:val="0"/>
          <w:numId w:val="2"/>
        </w:numPr>
        <w:bidi/>
        <w:spacing w:after="100" w:line="300"/>
        <w:jc w:val="right"/>
      </w:pPr>
      <w:r>
        <w:rPr>
          <w:rFonts w:ascii="Arial" w:cs="Arial" w:eastAsia="Arial" w:hAnsi="Arial"/>
          <w:sz w:val="24"/>
          <w:szCs w:val="24"/>
          <w:rtl/>
        </w:rPr>
        <w:t xml:space="preserve">توضيح النصاب القانوني.</w:t>
      </w:r>
    </w:p>
    <w:p>
      <w:pPr>
        <w:pStyle w:val="ListParagraph"/>
        <w:numPr>
          <w:ilvl w:val="0"/>
          <w:numId w:val="2"/>
        </w:numPr>
        <w:bidi/>
        <w:spacing w:after="100" w:line="300"/>
        <w:jc w:val="right"/>
      </w:pPr>
      <w:r>
        <w:rPr>
          <w:rFonts w:ascii="Arial" w:cs="Arial" w:eastAsia="Arial" w:hAnsi="Arial"/>
          <w:sz w:val="24"/>
          <w:szCs w:val="24"/>
          <w:rtl/>
        </w:rPr>
        <w:t xml:space="preserve">الإفصاح عن نتائج التصويت لحظياً.</w:t>
      </w:r>
    </w:p>
    <w:p>
      <w:pPr>
        <w:pStyle w:val="ListParagraph"/>
        <w:numPr>
          <w:ilvl w:val="0"/>
          <w:numId w:val="2"/>
        </w:numPr>
        <w:bidi/>
        <w:spacing w:after="100" w:line="300"/>
        <w:jc w:val="right"/>
      </w:pPr>
      <w:r>
        <w:rPr>
          <w:rFonts w:ascii="Arial" w:cs="Arial" w:eastAsia="Arial" w:hAnsi="Arial"/>
          <w:sz w:val="24"/>
          <w:szCs w:val="24"/>
          <w:rtl/>
        </w:rPr>
        <w:t xml:space="preserve">توثيق الاعتراضات والتحفظات.</w:t>
      </w:r>
    </w:p>
    <w:p>
      <w:pPr>
        <w:pStyle w:val="Heading2"/>
        <w:bidi/>
        <w:spacing w:after="160" w:before="280"/>
        <w:jc w:val="right"/>
      </w:pPr>
      <w:r>
        <w:rPr>
          <w:rFonts w:ascii="Arial" w:cs="Arial" w:eastAsia="Arial" w:hAnsi="Arial"/>
          <w:b/>
          <w:bCs/>
          <w:color w:val="2E75B6"/>
          <w:sz w:val="30"/>
          <w:szCs w:val="30"/>
          <w:rtl/>
        </w:rPr>
        <w:t xml:space="preserve">3. بعد الجمعية</w:t>
      </w:r>
    </w:p>
    <w:p>
      <w:pPr>
        <w:pStyle w:val="ListParagraph"/>
        <w:numPr>
          <w:ilvl w:val="0"/>
          <w:numId w:val="2"/>
        </w:numPr>
        <w:bidi/>
        <w:spacing w:after="100" w:line="300"/>
        <w:jc w:val="right"/>
      </w:pPr>
      <w:r>
        <w:rPr>
          <w:rFonts w:ascii="Arial" w:cs="Arial" w:eastAsia="Arial" w:hAnsi="Arial"/>
          <w:sz w:val="24"/>
          <w:szCs w:val="24"/>
          <w:rtl/>
        </w:rPr>
        <w:t xml:space="preserve">الإفصاح الفوري عن نتائج الجمعية.</w:t>
      </w:r>
    </w:p>
    <w:p>
      <w:pPr>
        <w:pStyle w:val="ListParagraph"/>
        <w:numPr>
          <w:ilvl w:val="0"/>
          <w:numId w:val="2"/>
        </w:numPr>
        <w:bidi/>
        <w:spacing w:after="100" w:line="300"/>
        <w:jc w:val="right"/>
      </w:pPr>
      <w:r>
        <w:rPr>
          <w:rFonts w:ascii="Arial" w:cs="Arial" w:eastAsia="Arial" w:hAnsi="Arial"/>
          <w:sz w:val="24"/>
          <w:szCs w:val="24"/>
          <w:rtl/>
        </w:rPr>
        <w:t xml:space="preserve">نشر محضر الجمعية والقرارات المعتمدة.</w:t>
      </w:r>
    </w:p>
    <w:p>
      <w:pPr>
        <w:pStyle w:val="ListParagraph"/>
        <w:numPr>
          <w:ilvl w:val="0"/>
          <w:numId w:val="2"/>
        </w:numPr>
        <w:bidi/>
        <w:spacing w:after="100" w:line="300"/>
        <w:jc w:val="right"/>
      </w:pPr>
      <w:r>
        <w:rPr>
          <w:rFonts w:ascii="Arial" w:cs="Arial" w:eastAsia="Arial" w:hAnsi="Arial"/>
          <w:sz w:val="24"/>
          <w:szCs w:val="24"/>
          <w:rtl/>
        </w:rPr>
        <w:t xml:space="preserve">الإفصاح عن التوزيعات المعتمدة وتواريخها.</w:t>
      </w:r>
    </w:p>
    <w:p>
      <w:pPr>
        <w:pStyle w:val="ListParagraph"/>
        <w:numPr>
          <w:ilvl w:val="0"/>
          <w:numId w:val="2"/>
        </w:numPr>
        <w:bidi/>
        <w:spacing w:after="100" w:line="300"/>
        <w:jc w:val="right"/>
      </w:pPr>
      <w:r>
        <w:rPr>
          <w:rFonts w:ascii="Arial" w:cs="Arial" w:eastAsia="Arial" w:hAnsi="Arial"/>
          <w:sz w:val="24"/>
          <w:szCs w:val="24"/>
          <w:rtl/>
        </w:rPr>
        <w:t xml:space="preserve">نشر التعديلات على النظام الأساس (إن وُجدت).</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سادساً: الإفصاحات في الحالات الخاصة</w:t>
      </w:r>
    </w:p>
    <w:p>
      <w:pPr>
        <w:pStyle w:val="Heading2"/>
        <w:bidi/>
        <w:spacing w:after="160" w:before="280"/>
        <w:jc w:val="right"/>
      </w:pPr>
      <w:r>
        <w:rPr>
          <w:rFonts w:ascii="Arial" w:cs="Arial" w:eastAsia="Arial" w:hAnsi="Arial"/>
          <w:b/>
          <w:bCs/>
          <w:color w:val="2E75B6"/>
          <w:sz w:val="30"/>
          <w:szCs w:val="30"/>
          <w:rtl/>
        </w:rPr>
        <w:t xml:space="preserve">1. زيادة رأس المال</w:t>
      </w:r>
    </w:p>
    <w:p>
      <w:pPr>
        <w:bidi/>
        <w:spacing w:after="140" w:line="320"/>
        <w:jc w:val="both"/>
      </w:pPr>
      <w:r>
        <w:rPr>
          <w:rFonts w:ascii="Arial" w:cs="Arial" w:eastAsia="Arial" w:hAnsi="Arial"/>
          <w:sz w:val="24"/>
          <w:szCs w:val="24"/>
          <w:rtl/>
        </w:rPr>
        <w:t xml:space="preserve">عند قرار زيادة رأس المال، تستوجب عدة إفصاحات:</w:t>
      </w:r>
    </w:p>
    <w:p>
      <w:pPr>
        <w:pStyle w:val="ListParagraph"/>
        <w:numPr>
          <w:ilvl w:val="0"/>
          <w:numId w:val="2"/>
        </w:numPr>
        <w:bidi/>
        <w:spacing w:after="100" w:line="300"/>
        <w:jc w:val="right"/>
      </w:pPr>
      <w:r>
        <w:rPr>
          <w:rFonts w:ascii="Arial" w:cs="Arial" w:eastAsia="Arial" w:hAnsi="Arial"/>
          <w:sz w:val="24"/>
          <w:szCs w:val="24"/>
          <w:rtl/>
        </w:rPr>
        <w:t xml:space="preserve">الإعلان عن قرار الزيادة وأسبابها.</w:t>
      </w:r>
    </w:p>
    <w:p>
      <w:pPr>
        <w:pStyle w:val="ListParagraph"/>
        <w:numPr>
          <w:ilvl w:val="0"/>
          <w:numId w:val="2"/>
        </w:numPr>
        <w:bidi/>
        <w:spacing w:after="100" w:line="300"/>
        <w:jc w:val="right"/>
      </w:pPr>
      <w:r>
        <w:rPr>
          <w:rFonts w:ascii="Arial" w:cs="Arial" w:eastAsia="Arial" w:hAnsi="Arial"/>
          <w:sz w:val="24"/>
          <w:szCs w:val="24"/>
          <w:rtl/>
        </w:rPr>
        <w:t xml:space="preserve">آلية الزيادة (طرح عام، خاص، حقوق أولوية).</w:t>
      </w:r>
    </w:p>
    <w:p>
      <w:pPr>
        <w:pStyle w:val="ListParagraph"/>
        <w:numPr>
          <w:ilvl w:val="0"/>
          <w:numId w:val="2"/>
        </w:numPr>
        <w:bidi/>
        <w:spacing w:after="100" w:line="300"/>
        <w:jc w:val="right"/>
      </w:pPr>
      <w:r>
        <w:rPr>
          <w:rFonts w:ascii="Arial" w:cs="Arial" w:eastAsia="Arial" w:hAnsi="Arial"/>
          <w:sz w:val="24"/>
          <w:szCs w:val="24"/>
          <w:rtl/>
        </w:rPr>
        <w:t xml:space="preserve">سعر الإصدار.</w:t>
      </w:r>
    </w:p>
    <w:p>
      <w:pPr>
        <w:pStyle w:val="ListParagraph"/>
        <w:numPr>
          <w:ilvl w:val="0"/>
          <w:numId w:val="2"/>
        </w:numPr>
        <w:bidi/>
        <w:spacing w:after="100" w:line="300"/>
        <w:jc w:val="right"/>
      </w:pPr>
      <w:r>
        <w:rPr>
          <w:rFonts w:ascii="Arial" w:cs="Arial" w:eastAsia="Arial" w:hAnsi="Arial"/>
          <w:sz w:val="24"/>
          <w:szCs w:val="24"/>
          <w:rtl/>
        </w:rPr>
        <w:t xml:space="preserve">الجدول الزمني للتنفيذ.</w:t>
      </w:r>
    </w:p>
    <w:p>
      <w:pPr>
        <w:pStyle w:val="ListParagraph"/>
        <w:numPr>
          <w:ilvl w:val="0"/>
          <w:numId w:val="2"/>
        </w:numPr>
        <w:bidi/>
        <w:spacing w:after="100" w:line="300"/>
        <w:jc w:val="right"/>
      </w:pPr>
      <w:r>
        <w:rPr>
          <w:rFonts w:ascii="Arial" w:cs="Arial" w:eastAsia="Arial" w:hAnsi="Arial"/>
          <w:sz w:val="24"/>
          <w:szCs w:val="24"/>
          <w:rtl/>
        </w:rPr>
        <w:t xml:space="preserve">تأثير الزيادة على هيكل الملكية.</w:t>
      </w:r>
    </w:p>
    <w:p>
      <w:pPr>
        <w:pStyle w:val="ListParagraph"/>
        <w:numPr>
          <w:ilvl w:val="0"/>
          <w:numId w:val="2"/>
        </w:numPr>
        <w:bidi/>
        <w:spacing w:after="100" w:line="300"/>
        <w:jc w:val="right"/>
      </w:pPr>
      <w:r>
        <w:rPr>
          <w:rFonts w:ascii="Arial" w:cs="Arial" w:eastAsia="Arial" w:hAnsi="Arial"/>
          <w:sz w:val="24"/>
          <w:szCs w:val="24"/>
          <w:rtl/>
        </w:rPr>
        <w:t xml:space="preserve">نشرة الإصدار التفصيلية.</w:t>
      </w:r>
    </w:p>
    <w:p>
      <w:pPr>
        <w:pStyle w:val="Heading2"/>
        <w:bidi/>
        <w:spacing w:after="160" w:before="280"/>
        <w:jc w:val="right"/>
      </w:pPr>
      <w:r>
        <w:rPr>
          <w:rFonts w:ascii="Arial" w:cs="Arial" w:eastAsia="Arial" w:hAnsi="Arial"/>
          <w:b/>
          <w:bCs/>
          <w:color w:val="2E75B6"/>
          <w:sz w:val="30"/>
          <w:szCs w:val="30"/>
          <w:rtl/>
        </w:rPr>
        <w:t xml:space="preserve">2. تخفيض رأس المال</w:t>
      </w:r>
    </w:p>
    <w:p>
      <w:pPr>
        <w:pStyle w:val="ListParagraph"/>
        <w:numPr>
          <w:ilvl w:val="0"/>
          <w:numId w:val="2"/>
        </w:numPr>
        <w:bidi/>
        <w:spacing w:after="100" w:line="300"/>
        <w:jc w:val="right"/>
      </w:pPr>
      <w:r>
        <w:rPr>
          <w:rFonts w:ascii="Arial" w:cs="Arial" w:eastAsia="Arial" w:hAnsi="Arial"/>
          <w:sz w:val="24"/>
          <w:szCs w:val="24"/>
          <w:rtl/>
        </w:rPr>
        <w:t xml:space="preserve">الإعلان عن قرار التخفيض ومبرراته.</w:t>
      </w:r>
    </w:p>
    <w:p>
      <w:pPr>
        <w:pStyle w:val="ListParagraph"/>
        <w:numPr>
          <w:ilvl w:val="0"/>
          <w:numId w:val="2"/>
        </w:numPr>
        <w:bidi/>
        <w:spacing w:after="100" w:line="300"/>
        <w:jc w:val="right"/>
      </w:pPr>
      <w:r>
        <w:rPr>
          <w:rFonts w:ascii="Arial" w:cs="Arial" w:eastAsia="Arial" w:hAnsi="Arial"/>
          <w:sz w:val="24"/>
          <w:szCs w:val="24"/>
          <w:rtl/>
        </w:rPr>
        <w:t xml:space="preserve">آلية التخفيض.</w:t>
      </w:r>
    </w:p>
    <w:p>
      <w:pPr>
        <w:pStyle w:val="ListParagraph"/>
        <w:numPr>
          <w:ilvl w:val="0"/>
          <w:numId w:val="2"/>
        </w:numPr>
        <w:bidi/>
        <w:spacing w:after="100" w:line="300"/>
        <w:jc w:val="right"/>
      </w:pPr>
      <w:r>
        <w:rPr>
          <w:rFonts w:ascii="Arial" w:cs="Arial" w:eastAsia="Arial" w:hAnsi="Arial"/>
          <w:sz w:val="24"/>
          <w:szCs w:val="24"/>
          <w:rtl/>
        </w:rPr>
        <w:t xml:space="preserve">نسبة التخفيض.</w:t>
      </w:r>
    </w:p>
    <w:p>
      <w:pPr>
        <w:pStyle w:val="ListParagraph"/>
        <w:numPr>
          <w:ilvl w:val="0"/>
          <w:numId w:val="2"/>
        </w:numPr>
        <w:bidi/>
        <w:spacing w:after="100" w:line="300"/>
        <w:jc w:val="right"/>
      </w:pPr>
      <w:r>
        <w:rPr>
          <w:rFonts w:ascii="Arial" w:cs="Arial" w:eastAsia="Arial" w:hAnsi="Arial"/>
          <w:sz w:val="24"/>
          <w:szCs w:val="24"/>
          <w:rtl/>
        </w:rPr>
        <w:t xml:space="preserve">تأثير التخفيض على المساهمين.</w:t>
      </w:r>
    </w:p>
    <w:p>
      <w:pPr>
        <w:pStyle w:val="ListParagraph"/>
        <w:numPr>
          <w:ilvl w:val="0"/>
          <w:numId w:val="2"/>
        </w:numPr>
        <w:bidi/>
        <w:spacing w:after="100" w:line="300"/>
        <w:jc w:val="right"/>
      </w:pPr>
      <w:r>
        <w:rPr>
          <w:rFonts w:ascii="Arial" w:cs="Arial" w:eastAsia="Arial" w:hAnsi="Arial"/>
          <w:sz w:val="24"/>
          <w:szCs w:val="24"/>
          <w:rtl/>
        </w:rPr>
        <w:t xml:space="preserve">الموافقات المطلوبة.</w:t>
      </w:r>
    </w:p>
    <w:p>
      <w:pPr>
        <w:pStyle w:val="Heading2"/>
        <w:bidi/>
        <w:spacing w:after="160" w:before="280"/>
        <w:jc w:val="right"/>
      </w:pPr>
      <w:r>
        <w:rPr>
          <w:rFonts w:ascii="Arial" w:cs="Arial" w:eastAsia="Arial" w:hAnsi="Arial"/>
          <w:b/>
          <w:bCs/>
          <w:color w:val="2E75B6"/>
          <w:sz w:val="30"/>
          <w:szCs w:val="30"/>
          <w:rtl/>
        </w:rPr>
        <w:t xml:space="preserve">3. الاستحواذ والاندماج</w:t>
      </w:r>
    </w:p>
    <w:p>
      <w:pPr>
        <w:pStyle w:val="ListParagraph"/>
        <w:numPr>
          <w:ilvl w:val="0"/>
          <w:numId w:val="2"/>
        </w:numPr>
        <w:bidi/>
        <w:spacing w:after="100" w:line="300"/>
        <w:jc w:val="right"/>
      </w:pPr>
      <w:r>
        <w:rPr>
          <w:rFonts w:ascii="Arial" w:cs="Arial" w:eastAsia="Arial" w:hAnsi="Arial"/>
          <w:sz w:val="24"/>
          <w:szCs w:val="24"/>
          <w:rtl/>
        </w:rPr>
        <w:t xml:space="preserve">نية الاستحواذ أو الاندماج.</w:t>
      </w:r>
    </w:p>
    <w:p>
      <w:pPr>
        <w:pStyle w:val="ListParagraph"/>
        <w:numPr>
          <w:ilvl w:val="0"/>
          <w:numId w:val="2"/>
        </w:numPr>
        <w:bidi/>
        <w:spacing w:after="100" w:line="300"/>
        <w:jc w:val="right"/>
      </w:pPr>
      <w:r>
        <w:rPr>
          <w:rFonts w:ascii="Arial" w:cs="Arial" w:eastAsia="Arial" w:hAnsi="Arial"/>
          <w:sz w:val="24"/>
          <w:szCs w:val="24"/>
          <w:rtl/>
        </w:rPr>
        <w:t xml:space="preserve">تفاصيل الصفقة.</w:t>
      </w:r>
    </w:p>
    <w:p>
      <w:pPr>
        <w:pStyle w:val="ListParagraph"/>
        <w:numPr>
          <w:ilvl w:val="0"/>
          <w:numId w:val="2"/>
        </w:numPr>
        <w:bidi/>
        <w:spacing w:after="100" w:line="300"/>
        <w:jc w:val="right"/>
      </w:pPr>
      <w:r>
        <w:rPr>
          <w:rFonts w:ascii="Arial" w:cs="Arial" w:eastAsia="Arial" w:hAnsi="Arial"/>
          <w:sz w:val="24"/>
          <w:szCs w:val="24"/>
          <w:rtl/>
        </w:rPr>
        <w:t xml:space="preserve">الجدول الزمني.</w:t>
      </w:r>
    </w:p>
    <w:p>
      <w:pPr>
        <w:pStyle w:val="ListParagraph"/>
        <w:numPr>
          <w:ilvl w:val="0"/>
          <w:numId w:val="2"/>
        </w:numPr>
        <w:bidi/>
        <w:spacing w:after="100" w:line="300"/>
        <w:jc w:val="right"/>
      </w:pPr>
      <w:r>
        <w:rPr>
          <w:rFonts w:ascii="Arial" w:cs="Arial" w:eastAsia="Arial" w:hAnsi="Arial"/>
          <w:sz w:val="24"/>
          <w:szCs w:val="24"/>
          <w:rtl/>
        </w:rPr>
        <w:t xml:space="preserve">الموافقات التنظيمية.</w:t>
      </w:r>
    </w:p>
    <w:p>
      <w:pPr>
        <w:pStyle w:val="ListParagraph"/>
        <w:numPr>
          <w:ilvl w:val="0"/>
          <w:numId w:val="2"/>
        </w:numPr>
        <w:bidi/>
        <w:spacing w:after="100" w:line="300"/>
        <w:jc w:val="right"/>
      </w:pPr>
      <w:r>
        <w:rPr>
          <w:rFonts w:ascii="Arial" w:cs="Arial" w:eastAsia="Arial" w:hAnsi="Arial"/>
          <w:sz w:val="24"/>
          <w:szCs w:val="24"/>
          <w:rtl/>
        </w:rPr>
        <w:t xml:space="preserve">تأثيرها على المساهمين.</w:t>
      </w:r>
    </w:p>
    <w:p>
      <w:pPr>
        <w:pStyle w:val="ListParagraph"/>
        <w:numPr>
          <w:ilvl w:val="0"/>
          <w:numId w:val="2"/>
        </w:numPr>
        <w:bidi/>
        <w:spacing w:after="100" w:line="300"/>
        <w:jc w:val="right"/>
      </w:pPr>
      <w:r>
        <w:rPr>
          <w:rFonts w:ascii="Arial" w:cs="Arial" w:eastAsia="Arial" w:hAnsi="Arial"/>
          <w:sz w:val="24"/>
          <w:szCs w:val="24"/>
          <w:rtl/>
        </w:rPr>
        <w:t xml:space="preserve">شروط العرض.</w:t>
      </w:r>
    </w:p>
    <w:p>
      <w:pPr>
        <w:pStyle w:val="Heading2"/>
        <w:bidi/>
        <w:spacing w:after="160" w:before="280"/>
        <w:jc w:val="right"/>
      </w:pPr>
      <w:r>
        <w:rPr>
          <w:rFonts w:ascii="Arial" w:cs="Arial" w:eastAsia="Arial" w:hAnsi="Arial"/>
          <w:b/>
          <w:bCs/>
          <w:color w:val="2E75B6"/>
          <w:sz w:val="30"/>
          <w:szCs w:val="30"/>
          <w:rtl/>
        </w:rPr>
        <w:t xml:space="preserve">4. شراء أسهم الخزينة</w:t>
      </w:r>
    </w:p>
    <w:p>
      <w:pPr>
        <w:pStyle w:val="ListParagraph"/>
        <w:numPr>
          <w:ilvl w:val="0"/>
          <w:numId w:val="2"/>
        </w:numPr>
        <w:bidi/>
        <w:spacing w:after="100" w:line="300"/>
        <w:jc w:val="right"/>
      </w:pPr>
      <w:r>
        <w:rPr>
          <w:rFonts w:ascii="Arial" w:cs="Arial" w:eastAsia="Arial" w:hAnsi="Arial"/>
          <w:sz w:val="24"/>
          <w:szCs w:val="24"/>
          <w:rtl/>
        </w:rPr>
        <w:t xml:space="preserve">قرار الشراء وأهدافه.</w:t>
      </w:r>
    </w:p>
    <w:p>
      <w:pPr>
        <w:pStyle w:val="ListParagraph"/>
        <w:numPr>
          <w:ilvl w:val="0"/>
          <w:numId w:val="2"/>
        </w:numPr>
        <w:bidi/>
        <w:spacing w:after="100" w:line="300"/>
        <w:jc w:val="right"/>
      </w:pPr>
      <w:r>
        <w:rPr>
          <w:rFonts w:ascii="Arial" w:cs="Arial" w:eastAsia="Arial" w:hAnsi="Arial"/>
          <w:sz w:val="24"/>
          <w:szCs w:val="24"/>
          <w:rtl/>
        </w:rPr>
        <w:t xml:space="preserve">الحجم المستهدف للشراء.</w:t>
      </w:r>
    </w:p>
    <w:p>
      <w:pPr>
        <w:pStyle w:val="ListParagraph"/>
        <w:numPr>
          <w:ilvl w:val="0"/>
          <w:numId w:val="2"/>
        </w:numPr>
        <w:bidi/>
        <w:spacing w:after="100" w:line="300"/>
        <w:jc w:val="right"/>
      </w:pPr>
      <w:r>
        <w:rPr>
          <w:rFonts w:ascii="Arial" w:cs="Arial" w:eastAsia="Arial" w:hAnsi="Arial"/>
          <w:sz w:val="24"/>
          <w:szCs w:val="24"/>
          <w:rtl/>
        </w:rPr>
        <w:t xml:space="preserve">السعر أو نطاق السعر.</w:t>
      </w:r>
    </w:p>
    <w:p>
      <w:pPr>
        <w:pStyle w:val="ListParagraph"/>
        <w:numPr>
          <w:ilvl w:val="0"/>
          <w:numId w:val="2"/>
        </w:numPr>
        <w:bidi/>
        <w:spacing w:after="100" w:line="300"/>
        <w:jc w:val="right"/>
      </w:pPr>
      <w:r>
        <w:rPr>
          <w:rFonts w:ascii="Arial" w:cs="Arial" w:eastAsia="Arial" w:hAnsi="Arial"/>
          <w:sz w:val="24"/>
          <w:szCs w:val="24"/>
          <w:rtl/>
        </w:rPr>
        <w:t xml:space="preserve">الفترة الزمنية للتنفيذ.</w:t>
      </w:r>
    </w:p>
    <w:p>
      <w:pPr>
        <w:pStyle w:val="ListParagraph"/>
        <w:numPr>
          <w:ilvl w:val="0"/>
          <w:numId w:val="2"/>
        </w:numPr>
        <w:bidi/>
        <w:spacing w:after="100" w:line="300"/>
        <w:jc w:val="right"/>
      </w:pPr>
      <w:r>
        <w:rPr>
          <w:rFonts w:ascii="Arial" w:cs="Arial" w:eastAsia="Arial" w:hAnsi="Arial"/>
          <w:sz w:val="24"/>
          <w:szCs w:val="24"/>
          <w:rtl/>
        </w:rPr>
        <w:t xml:space="preserve">استخدامات الأسهم بعد الشراء.</w:t>
      </w:r>
    </w:p>
    <w:p>
      <w:pPr>
        <w:pStyle w:val="ListParagraph"/>
        <w:numPr>
          <w:ilvl w:val="0"/>
          <w:numId w:val="2"/>
        </w:numPr>
        <w:bidi/>
        <w:spacing w:after="100" w:line="300"/>
        <w:jc w:val="right"/>
      </w:pPr>
      <w:r>
        <w:rPr>
          <w:rFonts w:ascii="Arial" w:cs="Arial" w:eastAsia="Arial" w:hAnsi="Arial"/>
          <w:sz w:val="24"/>
          <w:szCs w:val="24"/>
          <w:rtl/>
        </w:rPr>
        <w:t xml:space="preserve">التقارير الدورية عن التنفيذ.</w:t>
      </w:r>
    </w:p>
    <w:p>
      <w:pPr>
        <w:pStyle w:val="Heading2"/>
        <w:bidi/>
        <w:spacing w:after="160" w:before="280"/>
        <w:jc w:val="right"/>
      </w:pPr>
      <w:r>
        <w:rPr>
          <w:rFonts w:ascii="Arial" w:cs="Arial" w:eastAsia="Arial" w:hAnsi="Arial"/>
          <w:b/>
          <w:bCs/>
          <w:color w:val="2E75B6"/>
          <w:sz w:val="30"/>
          <w:szCs w:val="30"/>
          <w:rtl/>
        </w:rPr>
        <w:t xml:space="preserve">5. توزيعات الأرباح</w:t>
      </w:r>
    </w:p>
    <w:p>
      <w:pPr>
        <w:pStyle w:val="ListParagraph"/>
        <w:numPr>
          <w:ilvl w:val="0"/>
          <w:numId w:val="2"/>
        </w:numPr>
        <w:bidi/>
        <w:spacing w:after="100" w:line="300"/>
        <w:jc w:val="right"/>
      </w:pPr>
      <w:r>
        <w:rPr>
          <w:rFonts w:ascii="Arial" w:cs="Arial" w:eastAsia="Arial" w:hAnsi="Arial"/>
          <w:sz w:val="24"/>
          <w:szCs w:val="24"/>
          <w:rtl/>
        </w:rPr>
        <w:t xml:space="preserve">الإعلان عن قرار التوزيع.</w:t>
      </w:r>
    </w:p>
    <w:p>
      <w:pPr>
        <w:pStyle w:val="ListParagraph"/>
        <w:numPr>
          <w:ilvl w:val="0"/>
          <w:numId w:val="2"/>
        </w:numPr>
        <w:bidi/>
        <w:spacing w:after="100" w:line="300"/>
        <w:jc w:val="right"/>
      </w:pPr>
      <w:r>
        <w:rPr>
          <w:rFonts w:ascii="Arial" w:cs="Arial" w:eastAsia="Arial" w:hAnsi="Arial"/>
          <w:sz w:val="24"/>
          <w:szCs w:val="24"/>
          <w:rtl/>
        </w:rPr>
        <w:t xml:space="preserve">نصيب السهم من التوزيع.</w:t>
      </w:r>
    </w:p>
    <w:p>
      <w:pPr>
        <w:pStyle w:val="ListParagraph"/>
        <w:numPr>
          <w:ilvl w:val="0"/>
          <w:numId w:val="2"/>
        </w:numPr>
        <w:bidi/>
        <w:spacing w:after="100" w:line="300"/>
        <w:jc w:val="right"/>
      </w:pPr>
      <w:r>
        <w:rPr>
          <w:rFonts w:ascii="Arial" w:cs="Arial" w:eastAsia="Arial" w:hAnsi="Arial"/>
          <w:sz w:val="24"/>
          <w:szCs w:val="24"/>
          <w:rtl/>
        </w:rPr>
        <w:t xml:space="preserve">التواريخ الحاكمة (الأحقية، الاستحقاق، الصرف).</w:t>
      </w:r>
    </w:p>
    <w:p>
      <w:pPr>
        <w:pStyle w:val="ListParagraph"/>
        <w:numPr>
          <w:ilvl w:val="0"/>
          <w:numId w:val="2"/>
        </w:numPr>
        <w:bidi/>
        <w:spacing w:after="100" w:line="300"/>
        <w:jc w:val="right"/>
      </w:pPr>
      <w:r>
        <w:rPr>
          <w:rFonts w:ascii="Arial" w:cs="Arial" w:eastAsia="Arial" w:hAnsi="Arial"/>
          <w:sz w:val="24"/>
          <w:szCs w:val="24"/>
          <w:rtl/>
        </w:rPr>
        <w:t xml:space="preserve">آلية الصرف.</w:t>
      </w:r>
    </w:p>
    <w:p>
      <w:pPr>
        <w:pStyle w:val="ListParagraph"/>
        <w:numPr>
          <w:ilvl w:val="0"/>
          <w:numId w:val="2"/>
        </w:numPr>
        <w:bidi/>
        <w:spacing w:after="100" w:line="300"/>
        <w:jc w:val="right"/>
      </w:pPr>
      <w:r>
        <w:rPr>
          <w:rFonts w:ascii="Arial" w:cs="Arial" w:eastAsia="Arial" w:hAnsi="Arial"/>
          <w:sz w:val="24"/>
          <w:szCs w:val="24"/>
          <w:rtl/>
        </w:rPr>
        <w:t xml:space="preserve">الأرباح غير المصروفة من توزيعات سابقة.</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سابعاً: قنوات الإفصاح المعتمدة</w:t>
      </w:r>
    </w:p>
    <w:p>
      <w:pPr>
        <w:bidi/>
        <w:spacing w:after="140" w:line="320"/>
        <w:jc w:val="both"/>
      </w:pPr>
      <w:r>
        <w:rPr>
          <w:rFonts w:ascii="Arial" w:cs="Arial" w:eastAsia="Arial" w:hAnsi="Arial"/>
          <w:sz w:val="24"/>
          <w:szCs w:val="24"/>
          <w:rtl/>
        </w:rPr>
        <w:t xml:space="preserve">لضمان وصول المعلومات لجميع المتعاملين بشكل متزامن، حُددت قنوات إفصاح رسمية معتمدة:</w:t>
      </w:r>
    </w:p>
    <w:p>
      <w:pPr>
        <w:pStyle w:val="Heading2"/>
        <w:bidi/>
        <w:spacing w:after="160" w:before="280"/>
        <w:jc w:val="right"/>
      </w:pPr>
      <w:r>
        <w:rPr>
          <w:rFonts w:ascii="Arial" w:cs="Arial" w:eastAsia="Arial" w:hAnsi="Arial"/>
          <w:b/>
          <w:bCs/>
          <w:color w:val="2E75B6"/>
          <w:sz w:val="30"/>
          <w:szCs w:val="30"/>
          <w:rtl/>
        </w:rPr>
        <w:t xml:space="preserve">1. منصة "تداول" (Tadawul)</w:t>
      </w:r>
    </w:p>
    <w:p>
      <w:pPr>
        <w:bidi/>
        <w:spacing w:after="140" w:line="320"/>
        <w:jc w:val="both"/>
      </w:pPr>
      <w:r>
        <w:rPr>
          <w:rFonts w:ascii="Arial" w:cs="Arial" w:eastAsia="Arial" w:hAnsi="Arial"/>
          <w:sz w:val="24"/>
          <w:szCs w:val="24"/>
          <w:rtl/>
        </w:rPr>
        <w:t xml:space="preserve">القناة الرسمية الأولى للإفصاحات في السوق المالية السعودية. يجب على جميع الشركات المدرجة نشر إفصاحاتها عبرها قبل أي وسيلة أخرى.</w:t>
      </w:r>
    </w:p>
    <w:p>
      <w:pPr>
        <w:pStyle w:val="ListParagraph"/>
        <w:numPr>
          <w:ilvl w:val="0"/>
          <w:numId w:val="2"/>
        </w:numPr>
        <w:bidi/>
        <w:spacing w:after="100" w:line="300"/>
        <w:jc w:val="right"/>
      </w:pPr>
      <w:r>
        <w:rPr>
          <w:rFonts w:ascii="Arial" w:cs="Arial" w:eastAsia="Arial" w:hAnsi="Arial"/>
          <w:sz w:val="24"/>
          <w:szCs w:val="24"/>
          <w:rtl/>
        </w:rPr>
        <w:t xml:space="preserve">توفر وصولاً عاماً لجميع المستثمرين.</w:t>
      </w:r>
    </w:p>
    <w:p>
      <w:pPr>
        <w:pStyle w:val="ListParagraph"/>
        <w:numPr>
          <w:ilvl w:val="0"/>
          <w:numId w:val="2"/>
        </w:numPr>
        <w:bidi/>
        <w:spacing w:after="100" w:line="300"/>
        <w:jc w:val="right"/>
      </w:pPr>
      <w:r>
        <w:rPr>
          <w:rFonts w:ascii="Arial" w:cs="Arial" w:eastAsia="Arial" w:hAnsi="Arial"/>
          <w:sz w:val="24"/>
          <w:szCs w:val="24"/>
          <w:rtl/>
        </w:rPr>
        <w:t xml:space="preserve">تضمن التوقيت الموحد للإفصاح.</w:t>
      </w:r>
    </w:p>
    <w:p>
      <w:pPr>
        <w:pStyle w:val="ListParagraph"/>
        <w:numPr>
          <w:ilvl w:val="0"/>
          <w:numId w:val="2"/>
        </w:numPr>
        <w:bidi/>
        <w:spacing w:after="100" w:line="300"/>
        <w:jc w:val="right"/>
      </w:pPr>
      <w:r>
        <w:rPr>
          <w:rFonts w:ascii="Arial" w:cs="Arial" w:eastAsia="Arial" w:hAnsi="Arial"/>
          <w:sz w:val="24"/>
          <w:szCs w:val="24"/>
          <w:rtl/>
        </w:rPr>
        <w:t xml:space="preserve">توثق الإفصاحات بشكل دائم.</w:t>
      </w:r>
    </w:p>
    <w:p>
      <w:pPr>
        <w:pStyle w:val="Heading2"/>
        <w:bidi/>
        <w:spacing w:after="160" w:before="280"/>
        <w:jc w:val="right"/>
      </w:pPr>
      <w:r>
        <w:rPr>
          <w:rFonts w:ascii="Arial" w:cs="Arial" w:eastAsia="Arial" w:hAnsi="Arial"/>
          <w:b/>
          <w:bCs/>
          <w:color w:val="2E75B6"/>
          <w:sz w:val="30"/>
          <w:szCs w:val="30"/>
          <w:rtl/>
        </w:rPr>
        <w:t xml:space="preserve">2. الموقع الإلكتروني للشركة</w:t>
      </w:r>
    </w:p>
    <w:p>
      <w:pPr>
        <w:bidi/>
        <w:spacing w:after="140" w:line="320"/>
        <w:jc w:val="both"/>
      </w:pPr>
      <w:r>
        <w:rPr>
          <w:rFonts w:ascii="Arial" w:cs="Arial" w:eastAsia="Arial" w:hAnsi="Arial"/>
          <w:sz w:val="24"/>
          <w:szCs w:val="24"/>
          <w:rtl/>
        </w:rPr>
        <w:t xml:space="preserve">يجب أن تتوفر صفحة مخصصة لعلاقات المستثمرين تتضمن:</w:t>
      </w:r>
    </w:p>
    <w:p>
      <w:pPr>
        <w:pStyle w:val="ListParagraph"/>
        <w:numPr>
          <w:ilvl w:val="0"/>
          <w:numId w:val="2"/>
        </w:numPr>
        <w:bidi/>
        <w:spacing w:after="100" w:line="300"/>
        <w:jc w:val="right"/>
      </w:pPr>
      <w:r>
        <w:rPr>
          <w:rFonts w:ascii="Arial" w:cs="Arial" w:eastAsia="Arial" w:hAnsi="Arial"/>
          <w:sz w:val="24"/>
          <w:szCs w:val="24"/>
          <w:rtl/>
        </w:rPr>
        <w:t xml:space="preserve">جميع الإفصاحات الرسمية.</w:t>
      </w:r>
    </w:p>
    <w:p>
      <w:pPr>
        <w:pStyle w:val="ListParagraph"/>
        <w:numPr>
          <w:ilvl w:val="0"/>
          <w:numId w:val="2"/>
        </w:numPr>
        <w:bidi/>
        <w:spacing w:after="100" w:line="300"/>
        <w:jc w:val="right"/>
      </w:pPr>
      <w:r>
        <w:rPr>
          <w:rFonts w:ascii="Arial" w:cs="Arial" w:eastAsia="Arial" w:hAnsi="Arial"/>
          <w:sz w:val="24"/>
          <w:szCs w:val="24"/>
          <w:rtl/>
        </w:rPr>
        <w:t xml:space="preserve">التقارير المالية الدورية.</w:t>
      </w:r>
    </w:p>
    <w:p>
      <w:pPr>
        <w:pStyle w:val="ListParagraph"/>
        <w:numPr>
          <w:ilvl w:val="0"/>
          <w:numId w:val="2"/>
        </w:numPr>
        <w:bidi/>
        <w:spacing w:after="100" w:line="300"/>
        <w:jc w:val="right"/>
      </w:pPr>
      <w:r>
        <w:rPr>
          <w:rFonts w:ascii="Arial" w:cs="Arial" w:eastAsia="Arial" w:hAnsi="Arial"/>
          <w:sz w:val="24"/>
          <w:szCs w:val="24"/>
          <w:rtl/>
        </w:rPr>
        <w:t xml:space="preserve">المعلومات عن هيكل الملكية.</w:t>
      </w:r>
    </w:p>
    <w:p>
      <w:pPr>
        <w:pStyle w:val="ListParagraph"/>
        <w:numPr>
          <w:ilvl w:val="0"/>
          <w:numId w:val="2"/>
        </w:numPr>
        <w:bidi/>
        <w:spacing w:after="100" w:line="300"/>
        <w:jc w:val="right"/>
      </w:pPr>
      <w:r>
        <w:rPr>
          <w:rFonts w:ascii="Arial" w:cs="Arial" w:eastAsia="Arial" w:hAnsi="Arial"/>
          <w:sz w:val="24"/>
          <w:szCs w:val="24"/>
          <w:rtl/>
        </w:rPr>
        <w:t xml:space="preserve">بيانات الاتصال لعلاقات المستثمرين.</w:t>
      </w:r>
    </w:p>
    <w:p>
      <w:pPr>
        <w:pStyle w:val="Heading2"/>
        <w:bidi/>
        <w:spacing w:after="160" w:before="280"/>
        <w:jc w:val="right"/>
      </w:pPr>
      <w:r>
        <w:rPr>
          <w:rFonts w:ascii="Arial" w:cs="Arial" w:eastAsia="Arial" w:hAnsi="Arial"/>
          <w:b/>
          <w:bCs/>
          <w:color w:val="2E75B6"/>
          <w:sz w:val="30"/>
          <w:szCs w:val="30"/>
          <w:rtl/>
        </w:rPr>
        <w:t xml:space="preserve">3. منصة "تداولاتي"</w:t>
      </w:r>
    </w:p>
    <w:p>
      <w:pPr>
        <w:bidi/>
        <w:spacing w:after="140" w:line="320"/>
        <w:jc w:val="both"/>
      </w:pPr>
      <w:r>
        <w:rPr>
          <w:rFonts w:ascii="Arial" w:cs="Arial" w:eastAsia="Arial" w:hAnsi="Arial"/>
          <w:sz w:val="24"/>
          <w:szCs w:val="24"/>
          <w:rtl/>
        </w:rPr>
        <w:t xml:space="preserve">منصة للمستثمرين للاطلاع على محافظهم وتلقي الإفصاحات المرتبطة بالأسهم التي يملكونها.</w:t>
      </w:r>
    </w:p>
    <w:p>
      <w:pPr>
        <w:pStyle w:val="Heading2"/>
        <w:bidi/>
        <w:spacing w:after="160" w:before="280"/>
        <w:jc w:val="right"/>
      </w:pPr>
      <w:r>
        <w:rPr>
          <w:rFonts w:ascii="Arial" w:cs="Arial" w:eastAsia="Arial" w:hAnsi="Arial"/>
          <w:b/>
          <w:bCs/>
          <w:color w:val="2E75B6"/>
          <w:sz w:val="30"/>
          <w:szCs w:val="30"/>
          <w:rtl/>
        </w:rPr>
        <w:t xml:space="preserve">4. القنوات الإعلامية</w:t>
      </w:r>
    </w:p>
    <w:p>
      <w:pPr>
        <w:bidi/>
        <w:spacing w:after="140" w:line="320"/>
        <w:jc w:val="both"/>
      </w:pPr>
      <w:r>
        <w:rPr>
          <w:rFonts w:ascii="Arial" w:cs="Arial" w:eastAsia="Arial" w:hAnsi="Arial"/>
          <w:sz w:val="24"/>
          <w:szCs w:val="24"/>
          <w:rtl/>
        </w:rPr>
        <w:t xml:space="preserve">في بعض الحالات، تستوجب الإفصاحات النشر في الصحف المحلية أو القنوات الإعلامية الأخرى، خاصةً للجمعيات العمومية في الشركات غير المدرجة.</w:t>
      </w:r>
    </w:p>
    <w:p>
      <w:pPr>
        <w:pStyle w:val="Heading2"/>
        <w:bidi/>
        <w:spacing w:after="160" w:before="280"/>
        <w:jc w:val="right"/>
      </w:pPr>
      <w:r>
        <w:rPr>
          <w:rFonts w:ascii="Arial" w:cs="Arial" w:eastAsia="Arial" w:hAnsi="Arial"/>
          <w:b/>
          <w:bCs/>
          <w:color w:val="2E75B6"/>
          <w:sz w:val="30"/>
          <w:szCs w:val="30"/>
          <w:rtl/>
        </w:rPr>
        <w:t xml:space="preserve">5. تقارير وزارة التجارة</w:t>
      </w:r>
    </w:p>
    <w:p>
      <w:pPr>
        <w:bidi/>
        <w:spacing w:after="140" w:line="320"/>
        <w:jc w:val="both"/>
      </w:pPr>
      <w:r>
        <w:rPr>
          <w:rFonts w:ascii="Arial" w:cs="Arial" w:eastAsia="Arial" w:hAnsi="Arial"/>
          <w:sz w:val="24"/>
          <w:szCs w:val="24"/>
          <w:rtl/>
        </w:rPr>
        <w:t xml:space="preserve">للشركات غير المدرجة، تُقدم بعض الإفصاحات عبر منصات وزارة التجارة الإلكترونية.</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ثامناً: المسؤوليات والأدوار في الإفصاح</w:t>
      </w:r>
    </w:p>
    <w:p>
      <w:pPr>
        <w:pStyle w:val="Heading2"/>
        <w:bidi/>
        <w:spacing w:after="160" w:before="280"/>
        <w:jc w:val="right"/>
      </w:pPr>
      <w:r>
        <w:rPr>
          <w:rFonts w:ascii="Arial" w:cs="Arial" w:eastAsia="Arial" w:hAnsi="Arial"/>
          <w:b/>
          <w:bCs/>
          <w:color w:val="2E75B6"/>
          <w:sz w:val="30"/>
          <w:szCs w:val="30"/>
          <w:rtl/>
        </w:rPr>
        <w:t xml:space="preserve">1. مجلس الإدارة</w:t>
      </w:r>
    </w:p>
    <w:p>
      <w:pPr>
        <w:pStyle w:val="ListParagraph"/>
        <w:numPr>
          <w:ilvl w:val="0"/>
          <w:numId w:val="2"/>
        </w:numPr>
        <w:bidi/>
        <w:spacing w:after="100" w:line="300"/>
        <w:jc w:val="right"/>
      </w:pPr>
      <w:r>
        <w:rPr>
          <w:rFonts w:ascii="Arial" w:cs="Arial" w:eastAsia="Arial" w:hAnsi="Arial"/>
          <w:sz w:val="24"/>
          <w:szCs w:val="24"/>
          <w:rtl/>
        </w:rPr>
        <w:t xml:space="preserve">الموافقة على سياسات الإفصاح.</w:t>
      </w:r>
    </w:p>
    <w:p>
      <w:pPr>
        <w:pStyle w:val="ListParagraph"/>
        <w:numPr>
          <w:ilvl w:val="0"/>
          <w:numId w:val="2"/>
        </w:numPr>
        <w:bidi/>
        <w:spacing w:after="100" w:line="300"/>
        <w:jc w:val="right"/>
      </w:pPr>
      <w:r>
        <w:rPr>
          <w:rFonts w:ascii="Arial" w:cs="Arial" w:eastAsia="Arial" w:hAnsi="Arial"/>
          <w:sz w:val="24"/>
          <w:szCs w:val="24"/>
          <w:rtl/>
        </w:rPr>
        <w:t xml:space="preserve">الإشراف على تطبيقها.</w:t>
      </w:r>
    </w:p>
    <w:p>
      <w:pPr>
        <w:pStyle w:val="ListParagraph"/>
        <w:numPr>
          <w:ilvl w:val="0"/>
          <w:numId w:val="2"/>
        </w:numPr>
        <w:bidi/>
        <w:spacing w:after="100" w:line="300"/>
        <w:jc w:val="right"/>
      </w:pPr>
      <w:r>
        <w:rPr>
          <w:rFonts w:ascii="Arial" w:cs="Arial" w:eastAsia="Arial" w:hAnsi="Arial"/>
          <w:sz w:val="24"/>
          <w:szCs w:val="24"/>
          <w:rtl/>
        </w:rPr>
        <w:t xml:space="preserve">الموافقة على الإفصاحات الجوهرية.</w:t>
      </w:r>
    </w:p>
    <w:p>
      <w:pPr>
        <w:pStyle w:val="ListParagraph"/>
        <w:numPr>
          <w:ilvl w:val="0"/>
          <w:numId w:val="2"/>
        </w:numPr>
        <w:bidi/>
        <w:spacing w:after="100" w:line="300"/>
        <w:jc w:val="right"/>
      </w:pPr>
      <w:r>
        <w:rPr>
          <w:rFonts w:ascii="Arial" w:cs="Arial" w:eastAsia="Arial" w:hAnsi="Arial"/>
          <w:sz w:val="24"/>
          <w:szCs w:val="24"/>
          <w:rtl/>
        </w:rPr>
        <w:t xml:space="preserve">ضمان دقة المعلومات المُفصح عنها.</w:t>
      </w:r>
    </w:p>
    <w:p>
      <w:pPr>
        <w:pStyle w:val="Heading2"/>
        <w:bidi/>
        <w:spacing w:after="160" w:before="280"/>
        <w:jc w:val="right"/>
      </w:pPr>
      <w:r>
        <w:rPr>
          <w:rFonts w:ascii="Arial" w:cs="Arial" w:eastAsia="Arial" w:hAnsi="Arial"/>
          <w:b/>
          <w:bCs/>
          <w:color w:val="2E75B6"/>
          <w:sz w:val="30"/>
          <w:szCs w:val="30"/>
          <w:rtl/>
        </w:rPr>
        <w:t xml:space="preserve">2. لجنة المراجعة</w:t>
      </w:r>
    </w:p>
    <w:p>
      <w:pPr>
        <w:pStyle w:val="ListParagraph"/>
        <w:numPr>
          <w:ilvl w:val="0"/>
          <w:numId w:val="2"/>
        </w:numPr>
        <w:bidi/>
        <w:spacing w:after="100" w:line="300"/>
        <w:jc w:val="right"/>
      </w:pPr>
      <w:r>
        <w:rPr>
          <w:rFonts w:ascii="Arial" w:cs="Arial" w:eastAsia="Arial" w:hAnsi="Arial"/>
          <w:sz w:val="24"/>
          <w:szCs w:val="24"/>
          <w:rtl/>
        </w:rPr>
        <w:t xml:space="preserve">مراجعة الإفصاحات المالية قبل النشر.</w:t>
      </w:r>
    </w:p>
    <w:p>
      <w:pPr>
        <w:pStyle w:val="ListParagraph"/>
        <w:numPr>
          <w:ilvl w:val="0"/>
          <w:numId w:val="2"/>
        </w:numPr>
        <w:bidi/>
        <w:spacing w:after="100" w:line="300"/>
        <w:jc w:val="right"/>
      </w:pPr>
      <w:r>
        <w:rPr>
          <w:rFonts w:ascii="Arial" w:cs="Arial" w:eastAsia="Arial" w:hAnsi="Arial"/>
          <w:sz w:val="24"/>
          <w:szCs w:val="24"/>
          <w:rtl/>
        </w:rPr>
        <w:t xml:space="preserve">التحقق من توافقها مع المعايير المحاسبية.</w:t>
      </w:r>
    </w:p>
    <w:p>
      <w:pPr>
        <w:pStyle w:val="ListParagraph"/>
        <w:numPr>
          <w:ilvl w:val="0"/>
          <w:numId w:val="2"/>
        </w:numPr>
        <w:bidi/>
        <w:spacing w:after="100" w:line="300"/>
        <w:jc w:val="right"/>
      </w:pPr>
      <w:r>
        <w:rPr>
          <w:rFonts w:ascii="Arial" w:cs="Arial" w:eastAsia="Arial" w:hAnsi="Arial"/>
          <w:sz w:val="24"/>
          <w:szCs w:val="24"/>
          <w:rtl/>
        </w:rPr>
        <w:t xml:space="preserve">متابعة سلامة عمليات الإفصاح.</w:t>
      </w:r>
    </w:p>
    <w:p>
      <w:pPr>
        <w:pStyle w:val="Heading2"/>
        <w:bidi/>
        <w:spacing w:after="160" w:before="280"/>
        <w:jc w:val="right"/>
      </w:pPr>
      <w:r>
        <w:rPr>
          <w:rFonts w:ascii="Arial" w:cs="Arial" w:eastAsia="Arial" w:hAnsi="Arial"/>
          <w:b/>
          <w:bCs/>
          <w:color w:val="2E75B6"/>
          <w:sz w:val="30"/>
          <w:szCs w:val="30"/>
          <w:rtl/>
        </w:rPr>
        <w:t xml:space="preserve">3. أمين سر مجلس الإدارة</w:t>
      </w:r>
    </w:p>
    <w:p>
      <w:pPr>
        <w:pStyle w:val="ListParagraph"/>
        <w:numPr>
          <w:ilvl w:val="0"/>
          <w:numId w:val="2"/>
        </w:numPr>
        <w:bidi/>
        <w:spacing w:after="100" w:line="300"/>
        <w:jc w:val="right"/>
      </w:pPr>
      <w:r>
        <w:rPr>
          <w:rFonts w:ascii="Arial" w:cs="Arial" w:eastAsia="Arial" w:hAnsi="Arial"/>
          <w:sz w:val="24"/>
          <w:szCs w:val="24"/>
          <w:rtl/>
        </w:rPr>
        <w:t xml:space="preserve">تنسيق إعداد الإفصاحات.</w:t>
      </w:r>
    </w:p>
    <w:p>
      <w:pPr>
        <w:pStyle w:val="ListParagraph"/>
        <w:numPr>
          <w:ilvl w:val="0"/>
          <w:numId w:val="2"/>
        </w:numPr>
        <w:bidi/>
        <w:spacing w:after="100" w:line="300"/>
        <w:jc w:val="right"/>
      </w:pPr>
      <w:r>
        <w:rPr>
          <w:rFonts w:ascii="Arial" w:cs="Arial" w:eastAsia="Arial" w:hAnsi="Arial"/>
          <w:sz w:val="24"/>
          <w:szCs w:val="24"/>
          <w:rtl/>
        </w:rPr>
        <w:t xml:space="preserve">الإشراف على نشرها في الوقت المناسب.</w:t>
      </w:r>
    </w:p>
    <w:p>
      <w:pPr>
        <w:pStyle w:val="ListParagraph"/>
        <w:numPr>
          <w:ilvl w:val="0"/>
          <w:numId w:val="2"/>
        </w:numPr>
        <w:bidi/>
        <w:spacing w:after="100" w:line="300"/>
        <w:jc w:val="right"/>
      </w:pPr>
      <w:r>
        <w:rPr>
          <w:rFonts w:ascii="Arial" w:cs="Arial" w:eastAsia="Arial" w:hAnsi="Arial"/>
          <w:sz w:val="24"/>
          <w:szCs w:val="24"/>
          <w:rtl/>
        </w:rPr>
        <w:t xml:space="preserve">التواصل مع الجهات التنظيمية.</w:t>
      </w:r>
    </w:p>
    <w:p>
      <w:pPr>
        <w:pStyle w:val="ListParagraph"/>
        <w:numPr>
          <w:ilvl w:val="0"/>
          <w:numId w:val="2"/>
        </w:numPr>
        <w:bidi/>
        <w:spacing w:after="100" w:line="300"/>
        <w:jc w:val="right"/>
      </w:pPr>
      <w:r>
        <w:rPr>
          <w:rFonts w:ascii="Arial" w:cs="Arial" w:eastAsia="Arial" w:hAnsi="Arial"/>
          <w:sz w:val="24"/>
          <w:szCs w:val="24"/>
          <w:rtl/>
        </w:rPr>
        <w:t xml:space="preserve">التنسيق مع علاقات المستثمرين.</w:t>
      </w:r>
    </w:p>
    <w:p>
      <w:pPr>
        <w:pStyle w:val="Heading2"/>
        <w:bidi/>
        <w:spacing w:after="160" w:before="280"/>
        <w:jc w:val="right"/>
      </w:pPr>
      <w:r>
        <w:rPr>
          <w:rFonts w:ascii="Arial" w:cs="Arial" w:eastAsia="Arial" w:hAnsi="Arial"/>
          <w:b/>
          <w:bCs/>
          <w:color w:val="2E75B6"/>
          <w:sz w:val="30"/>
          <w:szCs w:val="30"/>
          <w:rtl/>
        </w:rPr>
        <w:t xml:space="preserve">4. إدارة علاقات المستثمرين</w:t>
      </w:r>
    </w:p>
    <w:p>
      <w:pPr>
        <w:pStyle w:val="ListParagraph"/>
        <w:numPr>
          <w:ilvl w:val="0"/>
          <w:numId w:val="2"/>
        </w:numPr>
        <w:bidi/>
        <w:spacing w:after="100" w:line="300"/>
        <w:jc w:val="right"/>
      </w:pPr>
      <w:r>
        <w:rPr>
          <w:rFonts w:ascii="Arial" w:cs="Arial" w:eastAsia="Arial" w:hAnsi="Arial"/>
          <w:sz w:val="24"/>
          <w:szCs w:val="24"/>
          <w:rtl/>
        </w:rPr>
        <w:t xml:space="preserve">إعداد محتوى الإفصاحات.</w:t>
      </w:r>
    </w:p>
    <w:p>
      <w:pPr>
        <w:pStyle w:val="ListParagraph"/>
        <w:numPr>
          <w:ilvl w:val="0"/>
          <w:numId w:val="2"/>
        </w:numPr>
        <w:bidi/>
        <w:spacing w:after="100" w:line="300"/>
        <w:jc w:val="right"/>
      </w:pPr>
      <w:r>
        <w:rPr>
          <w:rFonts w:ascii="Arial" w:cs="Arial" w:eastAsia="Arial" w:hAnsi="Arial"/>
          <w:sz w:val="24"/>
          <w:szCs w:val="24"/>
          <w:rtl/>
        </w:rPr>
        <w:t xml:space="preserve">التواصل مع المستثمرين والمحللين.</w:t>
      </w:r>
    </w:p>
    <w:p>
      <w:pPr>
        <w:pStyle w:val="ListParagraph"/>
        <w:numPr>
          <w:ilvl w:val="0"/>
          <w:numId w:val="2"/>
        </w:numPr>
        <w:bidi/>
        <w:spacing w:after="100" w:line="300"/>
        <w:jc w:val="right"/>
      </w:pPr>
      <w:r>
        <w:rPr>
          <w:rFonts w:ascii="Arial" w:cs="Arial" w:eastAsia="Arial" w:hAnsi="Arial"/>
          <w:sz w:val="24"/>
          <w:szCs w:val="24"/>
          <w:rtl/>
        </w:rPr>
        <w:t xml:space="preserve">الرد على الاستفسارات.</w:t>
      </w:r>
    </w:p>
    <w:p>
      <w:pPr>
        <w:pStyle w:val="ListParagraph"/>
        <w:numPr>
          <w:ilvl w:val="0"/>
          <w:numId w:val="2"/>
        </w:numPr>
        <w:bidi/>
        <w:spacing w:after="100" w:line="300"/>
        <w:jc w:val="right"/>
      </w:pPr>
      <w:r>
        <w:rPr>
          <w:rFonts w:ascii="Arial" w:cs="Arial" w:eastAsia="Arial" w:hAnsi="Arial"/>
          <w:sz w:val="24"/>
          <w:szCs w:val="24"/>
          <w:rtl/>
        </w:rPr>
        <w:t xml:space="preserve">تطوير قنوات التواصل.</w:t>
      </w:r>
    </w:p>
    <w:p>
      <w:pPr>
        <w:pStyle w:val="Heading2"/>
        <w:bidi/>
        <w:spacing w:after="160" w:before="280"/>
        <w:jc w:val="right"/>
      </w:pPr>
      <w:r>
        <w:rPr>
          <w:rFonts w:ascii="Arial" w:cs="Arial" w:eastAsia="Arial" w:hAnsi="Arial"/>
          <w:b/>
          <w:bCs/>
          <w:color w:val="2E75B6"/>
          <w:sz w:val="30"/>
          <w:szCs w:val="30"/>
          <w:rtl/>
        </w:rPr>
        <w:t xml:space="preserve">5. الإدارة المالية</w:t>
      </w:r>
    </w:p>
    <w:p>
      <w:pPr>
        <w:pStyle w:val="ListParagraph"/>
        <w:numPr>
          <w:ilvl w:val="0"/>
          <w:numId w:val="2"/>
        </w:numPr>
        <w:bidi/>
        <w:spacing w:after="100" w:line="300"/>
        <w:jc w:val="right"/>
      </w:pPr>
      <w:r>
        <w:rPr>
          <w:rFonts w:ascii="Arial" w:cs="Arial" w:eastAsia="Arial" w:hAnsi="Arial"/>
          <w:sz w:val="24"/>
          <w:szCs w:val="24"/>
          <w:rtl/>
        </w:rPr>
        <w:t xml:space="preserve">إعداد القوائم المالية.</w:t>
      </w:r>
    </w:p>
    <w:p>
      <w:pPr>
        <w:pStyle w:val="ListParagraph"/>
        <w:numPr>
          <w:ilvl w:val="0"/>
          <w:numId w:val="2"/>
        </w:numPr>
        <w:bidi/>
        <w:spacing w:after="100" w:line="300"/>
        <w:jc w:val="right"/>
      </w:pPr>
      <w:r>
        <w:rPr>
          <w:rFonts w:ascii="Arial" w:cs="Arial" w:eastAsia="Arial" w:hAnsi="Arial"/>
          <w:sz w:val="24"/>
          <w:szCs w:val="24"/>
          <w:rtl/>
        </w:rPr>
        <w:t xml:space="preserve">التحقق من دقة الأرقام.</w:t>
      </w:r>
    </w:p>
    <w:p>
      <w:pPr>
        <w:pStyle w:val="ListParagraph"/>
        <w:numPr>
          <w:ilvl w:val="0"/>
          <w:numId w:val="2"/>
        </w:numPr>
        <w:bidi/>
        <w:spacing w:after="100" w:line="300"/>
        <w:jc w:val="right"/>
      </w:pPr>
      <w:r>
        <w:rPr>
          <w:rFonts w:ascii="Arial" w:cs="Arial" w:eastAsia="Arial" w:hAnsi="Arial"/>
          <w:sz w:val="24"/>
          <w:szCs w:val="24"/>
          <w:rtl/>
        </w:rPr>
        <w:t xml:space="preserve">توفير التحليلات المطلوبة.</w:t>
      </w:r>
    </w:p>
    <w:p>
      <w:pPr>
        <w:pStyle w:val="Heading2"/>
        <w:bidi/>
        <w:spacing w:after="160" w:before="280"/>
        <w:jc w:val="right"/>
      </w:pPr>
      <w:r>
        <w:rPr>
          <w:rFonts w:ascii="Arial" w:cs="Arial" w:eastAsia="Arial" w:hAnsi="Arial"/>
          <w:b/>
          <w:bCs/>
          <w:color w:val="2E75B6"/>
          <w:sz w:val="30"/>
          <w:szCs w:val="30"/>
          <w:rtl/>
        </w:rPr>
        <w:t xml:space="preserve">6. الإدارة القانونية</w:t>
      </w:r>
    </w:p>
    <w:p>
      <w:pPr>
        <w:pStyle w:val="ListParagraph"/>
        <w:numPr>
          <w:ilvl w:val="0"/>
          <w:numId w:val="2"/>
        </w:numPr>
        <w:bidi/>
        <w:spacing w:after="100" w:line="300"/>
        <w:jc w:val="right"/>
      </w:pPr>
      <w:r>
        <w:rPr>
          <w:rFonts w:ascii="Arial" w:cs="Arial" w:eastAsia="Arial" w:hAnsi="Arial"/>
          <w:sz w:val="24"/>
          <w:szCs w:val="24"/>
          <w:rtl/>
        </w:rPr>
        <w:t xml:space="preserve">مراجعة الإفصاحات من الناحية القانونية.</w:t>
      </w:r>
    </w:p>
    <w:p>
      <w:pPr>
        <w:pStyle w:val="ListParagraph"/>
        <w:numPr>
          <w:ilvl w:val="0"/>
          <w:numId w:val="2"/>
        </w:numPr>
        <w:bidi/>
        <w:spacing w:after="100" w:line="300"/>
        <w:jc w:val="right"/>
      </w:pPr>
      <w:r>
        <w:rPr>
          <w:rFonts w:ascii="Arial" w:cs="Arial" w:eastAsia="Arial" w:hAnsi="Arial"/>
          <w:sz w:val="24"/>
          <w:szCs w:val="24"/>
          <w:rtl/>
        </w:rPr>
        <w:t xml:space="preserve">التأكد من الامتثال للمتطلبات النظامية.</w:t>
      </w:r>
    </w:p>
    <w:p>
      <w:pPr>
        <w:pStyle w:val="ListParagraph"/>
        <w:numPr>
          <w:ilvl w:val="0"/>
          <w:numId w:val="2"/>
        </w:numPr>
        <w:bidi/>
        <w:spacing w:after="100" w:line="300"/>
        <w:jc w:val="right"/>
      </w:pPr>
      <w:r>
        <w:rPr>
          <w:rFonts w:ascii="Arial" w:cs="Arial" w:eastAsia="Arial" w:hAnsi="Arial"/>
          <w:sz w:val="24"/>
          <w:szCs w:val="24"/>
          <w:rtl/>
        </w:rPr>
        <w:t xml:space="preserve">التعامل مع المخاطر القانونية.</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تاسعاً: التحديات الشائعة في الإفصاح</w:t>
      </w:r>
    </w:p>
    <w:p>
      <w:pPr>
        <w:pStyle w:val="Heading2"/>
        <w:bidi/>
        <w:spacing w:after="160" w:before="280"/>
        <w:jc w:val="right"/>
      </w:pPr>
      <w:r>
        <w:rPr>
          <w:rFonts w:ascii="Arial" w:cs="Arial" w:eastAsia="Arial" w:hAnsi="Arial"/>
          <w:b/>
          <w:bCs/>
          <w:color w:val="2E75B6"/>
          <w:sz w:val="30"/>
          <w:szCs w:val="30"/>
          <w:rtl/>
        </w:rPr>
        <w:t xml:space="preserve">1. التوقيت الدقيق</w:t>
      </w:r>
    </w:p>
    <w:p>
      <w:pPr>
        <w:bidi/>
        <w:spacing w:after="140" w:line="320"/>
        <w:jc w:val="both"/>
      </w:pPr>
      <w:r>
        <w:rPr>
          <w:rFonts w:ascii="Arial" w:cs="Arial" w:eastAsia="Arial" w:hAnsi="Arial"/>
          <w:sz w:val="24"/>
          <w:szCs w:val="24"/>
          <w:rtl/>
        </w:rPr>
        <w:t xml:space="preserve">التحدي: تنفيذ الإفصاح في التوقيت المطلوب، خاصةً للأحداث الجوهرية المفاجئة.</w:t>
      </w:r>
    </w:p>
    <w:p>
      <w:pPr>
        <w:bidi/>
        <w:spacing w:after="140" w:line="320"/>
        <w:jc w:val="both"/>
      </w:pPr>
      <w:r>
        <w:rPr>
          <w:rFonts w:ascii="Arial" w:cs="Arial" w:eastAsia="Arial" w:hAnsi="Arial"/>
          <w:sz w:val="24"/>
          <w:szCs w:val="24"/>
          <w:rtl/>
        </w:rPr>
        <w:t xml:space="preserve">الحل: نظام تنبيهات داخلي، فرق جاهزة للاستجابة السريعة، إجراءات مبسطة للحالات الطارئة.</w:t>
      </w:r>
    </w:p>
    <w:p>
      <w:pPr>
        <w:pStyle w:val="Heading2"/>
        <w:bidi/>
        <w:spacing w:after="160" w:before="280"/>
        <w:jc w:val="right"/>
      </w:pPr>
      <w:r>
        <w:rPr>
          <w:rFonts w:ascii="Arial" w:cs="Arial" w:eastAsia="Arial" w:hAnsi="Arial"/>
          <w:b/>
          <w:bCs/>
          <w:color w:val="2E75B6"/>
          <w:sz w:val="30"/>
          <w:szCs w:val="30"/>
          <w:rtl/>
        </w:rPr>
        <w:t xml:space="preserve">2. دقة المعلومات</w:t>
      </w:r>
    </w:p>
    <w:p>
      <w:pPr>
        <w:bidi/>
        <w:spacing w:after="140" w:line="320"/>
        <w:jc w:val="both"/>
      </w:pPr>
      <w:r>
        <w:rPr>
          <w:rFonts w:ascii="Arial" w:cs="Arial" w:eastAsia="Arial" w:hAnsi="Arial"/>
          <w:sz w:val="24"/>
          <w:szCs w:val="24"/>
          <w:rtl/>
        </w:rPr>
        <w:t xml:space="preserve">التحدي: ضمان دقة جميع المعلومات المُفصح عنها.</w:t>
      </w:r>
    </w:p>
    <w:p>
      <w:pPr>
        <w:bidi/>
        <w:spacing w:after="140" w:line="320"/>
        <w:jc w:val="both"/>
      </w:pPr>
      <w:r>
        <w:rPr>
          <w:rFonts w:ascii="Arial" w:cs="Arial" w:eastAsia="Arial" w:hAnsi="Arial"/>
          <w:sz w:val="24"/>
          <w:szCs w:val="24"/>
          <w:rtl/>
        </w:rPr>
        <w:t xml:space="preserve">الحل: عمليات تحقق متعددة، مراجعة قانونية ومالية، التوثيق الكامل للمصادر.</w:t>
      </w:r>
    </w:p>
    <w:p>
      <w:pPr>
        <w:pStyle w:val="Heading2"/>
        <w:bidi/>
        <w:spacing w:after="160" w:before="280"/>
        <w:jc w:val="right"/>
      </w:pPr>
      <w:r>
        <w:rPr>
          <w:rFonts w:ascii="Arial" w:cs="Arial" w:eastAsia="Arial" w:hAnsi="Arial"/>
          <w:b/>
          <w:bCs/>
          <w:color w:val="2E75B6"/>
          <w:sz w:val="30"/>
          <w:szCs w:val="30"/>
          <w:rtl/>
        </w:rPr>
        <w:t xml:space="preserve">3. التوازن بين الشفافية والسرية</w:t>
      </w:r>
    </w:p>
    <w:p>
      <w:pPr>
        <w:bidi/>
        <w:spacing w:after="140" w:line="320"/>
        <w:jc w:val="both"/>
      </w:pPr>
      <w:r>
        <w:rPr>
          <w:rFonts w:ascii="Arial" w:cs="Arial" w:eastAsia="Arial" w:hAnsi="Arial"/>
          <w:sz w:val="24"/>
          <w:szCs w:val="24"/>
          <w:rtl/>
        </w:rPr>
        <w:t xml:space="preserve">التحدي: الإفصاح عن المعلومات الجوهرية دون إفشاء أسرار تجارية حساسة.</w:t>
      </w:r>
    </w:p>
    <w:p>
      <w:pPr>
        <w:bidi/>
        <w:spacing w:after="140" w:line="320"/>
        <w:jc w:val="both"/>
      </w:pPr>
      <w:r>
        <w:rPr>
          <w:rFonts w:ascii="Arial" w:cs="Arial" w:eastAsia="Arial" w:hAnsi="Arial"/>
          <w:sz w:val="24"/>
          <w:szCs w:val="24"/>
          <w:rtl/>
        </w:rPr>
        <w:t xml:space="preserve">الحل: سياسات واضحة للتمييز، استشارات قانونية، الالتزام بالحد الأدنى المطلوب.</w:t>
      </w:r>
    </w:p>
    <w:p>
      <w:pPr>
        <w:pStyle w:val="Heading2"/>
        <w:bidi/>
        <w:spacing w:after="160" w:before="280"/>
        <w:jc w:val="right"/>
      </w:pPr>
      <w:r>
        <w:rPr>
          <w:rFonts w:ascii="Arial" w:cs="Arial" w:eastAsia="Arial" w:hAnsi="Arial"/>
          <w:b/>
          <w:bCs/>
          <w:color w:val="2E75B6"/>
          <w:sz w:val="30"/>
          <w:szCs w:val="30"/>
          <w:rtl/>
        </w:rPr>
        <w:t xml:space="preserve">4. التعامل مع الشائعات</w:t>
      </w:r>
    </w:p>
    <w:p>
      <w:pPr>
        <w:bidi/>
        <w:spacing w:after="140" w:line="320"/>
        <w:jc w:val="both"/>
      </w:pPr>
      <w:r>
        <w:rPr>
          <w:rFonts w:ascii="Arial" w:cs="Arial" w:eastAsia="Arial" w:hAnsi="Arial"/>
          <w:sz w:val="24"/>
          <w:szCs w:val="24"/>
          <w:rtl/>
        </w:rPr>
        <w:t xml:space="preserve">التحدي: الرد على الشائعات والمعلومات غير الدقيقة في السوق.</w:t>
      </w:r>
    </w:p>
    <w:p>
      <w:pPr>
        <w:bidi/>
        <w:spacing w:after="140" w:line="320"/>
        <w:jc w:val="both"/>
      </w:pPr>
      <w:r>
        <w:rPr>
          <w:rFonts w:ascii="Arial" w:cs="Arial" w:eastAsia="Arial" w:hAnsi="Arial"/>
          <w:sz w:val="24"/>
          <w:szCs w:val="24"/>
          <w:rtl/>
        </w:rPr>
        <w:t xml:space="preserve">الحل: استراتيجية واضحة للرد، الإفصاح السريع لتصحيح المعلومات، الحفاظ على الثقة.</w:t>
      </w:r>
    </w:p>
    <w:p>
      <w:pPr>
        <w:pStyle w:val="Heading2"/>
        <w:bidi/>
        <w:spacing w:after="160" w:before="280"/>
        <w:jc w:val="right"/>
      </w:pPr>
      <w:r>
        <w:rPr>
          <w:rFonts w:ascii="Arial" w:cs="Arial" w:eastAsia="Arial" w:hAnsi="Arial"/>
          <w:b/>
          <w:bCs/>
          <w:color w:val="2E75B6"/>
          <w:sz w:val="30"/>
          <w:szCs w:val="30"/>
          <w:rtl/>
        </w:rPr>
        <w:t xml:space="preserve">5. الإفصاح عبر اللغات</w:t>
      </w:r>
    </w:p>
    <w:p>
      <w:pPr>
        <w:bidi/>
        <w:spacing w:after="140" w:line="320"/>
        <w:jc w:val="both"/>
      </w:pPr>
      <w:r>
        <w:rPr>
          <w:rFonts w:ascii="Arial" w:cs="Arial" w:eastAsia="Arial" w:hAnsi="Arial"/>
          <w:sz w:val="24"/>
          <w:szCs w:val="24"/>
          <w:rtl/>
        </w:rPr>
        <w:t xml:space="preserve">التحدي: توفير الإفصاحات باللغتين العربية والإنجليزية مع التطابق التام.</w:t>
      </w:r>
    </w:p>
    <w:p>
      <w:pPr>
        <w:bidi/>
        <w:spacing w:after="140" w:line="320"/>
        <w:jc w:val="both"/>
      </w:pPr>
      <w:r>
        <w:rPr>
          <w:rFonts w:ascii="Arial" w:cs="Arial" w:eastAsia="Arial" w:hAnsi="Arial"/>
          <w:sz w:val="24"/>
          <w:szCs w:val="24"/>
          <w:rtl/>
        </w:rPr>
        <w:t xml:space="preserve">الحل: فرق ترجمة متخصصة، مراجعة دقيقة، نشر متزامن.</w:t>
      </w:r>
    </w:p>
    <w:p>
      <w:pPr>
        <w:pStyle w:val="Heading2"/>
        <w:bidi/>
        <w:spacing w:after="160" w:before="280"/>
        <w:jc w:val="right"/>
      </w:pPr>
      <w:r>
        <w:rPr>
          <w:rFonts w:ascii="Arial" w:cs="Arial" w:eastAsia="Arial" w:hAnsi="Arial"/>
          <w:b/>
          <w:bCs/>
          <w:color w:val="2E75B6"/>
          <w:sz w:val="30"/>
          <w:szCs w:val="30"/>
          <w:rtl/>
        </w:rPr>
        <w:t xml:space="preserve">6. التكامل بين الأنظمة</w:t>
      </w:r>
    </w:p>
    <w:p>
      <w:pPr>
        <w:bidi/>
        <w:spacing w:after="140" w:line="320"/>
        <w:jc w:val="both"/>
      </w:pPr>
      <w:r>
        <w:rPr>
          <w:rFonts w:ascii="Arial" w:cs="Arial" w:eastAsia="Arial" w:hAnsi="Arial"/>
          <w:sz w:val="24"/>
          <w:szCs w:val="24"/>
          <w:rtl/>
        </w:rPr>
        <w:t xml:space="preserve">التحدي: التنسيق بين أنظمة الشركة الداخلية وأنظمة الإفصاح الرسمية.</w:t>
      </w:r>
    </w:p>
    <w:p>
      <w:pPr>
        <w:bidi/>
        <w:spacing w:after="140" w:line="320"/>
        <w:jc w:val="both"/>
      </w:pPr>
      <w:r>
        <w:rPr>
          <w:rFonts w:ascii="Arial" w:cs="Arial" w:eastAsia="Arial" w:hAnsi="Arial"/>
          <w:sz w:val="24"/>
          <w:szCs w:val="24"/>
          <w:rtl/>
        </w:rPr>
        <w:t xml:space="preserve">الحل: تكامل تقني محكم، إجراءات موحدة، تدريب متخصص.</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عاشراً: العقوبات على المخالفات</w:t>
      </w:r>
    </w:p>
    <w:p>
      <w:pPr>
        <w:bidi/>
        <w:spacing w:after="140" w:line="320"/>
        <w:jc w:val="both"/>
      </w:pPr>
      <w:r>
        <w:rPr>
          <w:rFonts w:ascii="Arial" w:cs="Arial" w:eastAsia="Arial" w:hAnsi="Arial"/>
          <w:sz w:val="24"/>
          <w:szCs w:val="24"/>
          <w:rtl/>
        </w:rPr>
        <w:t xml:space="preserve">تفرض الجهات التنظيمية عقوبات صارمة على المخالفات المتعلقة بالإفصاح: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tcPr>
          <w:p>
            <w:pPr>
              <w:bidi/>
              <w:jc w:val="center"/>
            </w:pPr>
            <w:r>
              <w:rPr>
                <w:rFonts w:ascii="Arial" w:cs="Arial" w:eastAsia="Arial" w:hAnsi="Arial"/>
                <w:b/>
                <w:bCs/>
                <w:color w:val="FFFFFF"/>
                <w:sz w:val="24"/>
                <w:szCs w:val="24"/>
                <w:rtl/>
              </w:rPr>
              <w:t xml:space="preserve">نوع المخالفة</w:t>
            </w:r>
          </w:p>
        </w:tc>
        <w:tc>
          <w:tcPr>
            <w:tcW w:type="dxa" w:w="5026"/>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tcPr>
          <w:p>
            <w:pPr>
              <w:bidi/>
              <w:jc w:val="center"/>
            </w:pPr>
            <w:r>
              <w:rPr>
                <w:rFonts w:ascii="Arial" w:cs="Arial" w:eastAsia="Arial" w:hAnsi="Arial"/>
                <w:b/>
                <w:bCs/>
                <w:color w:val="FFFFFF"/>
                <w:sz w:val="24"/>
                <w:szCs w:val="24"/>
                <w:rtl/>
              </w:rPr>
              <w:t xml:space="preserve">العقوبة المحتملة</w:t>
            </w:r>
          </w:p>
        </w:tc>
      </w:tr>
      <w:tr>
        <w:tc>
          <w:tcPr>
            <w:tcW w:type="dxa" w:w="40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التأخر في الإفصاح</w:t>
            </w:r>
          </w:p>
        </w:tc>
        <w:tc>
          <w:tcPr>
            <w:tcW w:type="dxa" w:w="5026"/>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تحذير + غرامة مالية</w:t>
            </w:r>
          </w:p>
        </w:tc>
      </w:tr>
      <w:tr>
        <w:tc>
          <w:tcPr>
            <w:tcW w:type="dxa" w:w="400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الإفصاح بمعلومات غير دقيقة</w:t>
            </w:r>
          </w:p>
        </w:tc>
        <w:tc>
          <w:tcPr>
            <w:tcW w:type="dxa" w:w="5026"/>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غرامة كبيرة + تصحيح فوري</w:t>
            </w:r>
          </w:p>
        </w:tc>
      </w:tr>
      <w:tr>
        <w:tc>
          <w:tcPr>
            <w:tcW w:type="dxa" w:w="40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إخفاء معلومات جوهرية</w:t>
            </w:r>
          </w:p>
        </w:tc>
        <w:tc>
          <w:tcPr>
            <w:tcW w:type="dxa" w:w="5026"/>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غرامات مشددة + مسؤولية مدنية</w:t>
            </w:r>
          </w:p>
        </w:tc>
      </w:tr>
      <w:tr>
        <w:tc>
          <w:tcPr>
            <w:tcW w:type="dxa" w:w="400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التداول قبل الإفصاح</w:t>
            </w:r>
          </w:p>
        </w:tc>
        <w:tc>
          <w:tcPr>
            <w:tcW w:type="dxa" w:w="5026"/>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غرامات + ملاحقة جنائية</w:t>
            </w:r>
          </w:p>
        </w:tc>
      </w:tr>
      <w:tr>
        <w:tc>
          <w:tcPr>
            <w:tcW w:type="dxa" w:w="40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مخالفات متكررة</w:t>
            </w:r>
          </w:p>
        </w:tc>
        <w:tc>
          <w:tcPr>
            <w:tcW w:type="dxa" w:w="5026"/>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زيادة في الغرامات + إجراءات أشد</w:t>
            </w:r>
          </w:p>
        </w:tc>
      </w:tr>
      <w:tr>
        <w:tc>
          <w:tcPr>
            <w:tcW w:type="dxa" w:w="400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إفصاحات مضللة عمداً</w:t>
            </w:r>
          </w:p>
        </w:tc>
        <w:tc>
          <w:tcPr>
            <w:tcW w:type="dxa" w:w="5026"/>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ملاحقة جنائية + تعويضات مدنية</w:t>
            </w:r>
          </w:p>
        </w:tc>
      </w:tr>
    </w:tbl>
    <w:p>
      <w:pPr>
        <w:bidi/>
        <w:spacing w:after="140" w:line="320"/>
        <w:jc w:val="both"/>
      </w:pPr>
      <w:r>
        <w:rPr>
          <w:rFonts w:ascii="Arial" w:cs="Arial" w:eastAsia="Arial" w:hAnsi="Arial"/>
          <w:sz w:val="24"/>
          <w:szCs w:val="24"/>
          <w:rtl/>
        </w:rPr>
        <w:t xml:space="preserve">بالإضافة إلى العقوبات النظامية، يحق للمتضررين من المخالفات رفع دعاوى مدنية للمطالبة بالتعويض.</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الحادي عشر: أفضل الممارسات في الإفصاح</w:t>
      </w:r>
    </w:p>
    <w:p>
      <w:pPr>
        <w:pStyle w:val="ListParagraph"/>
        <w:numPr>
          <w:ilvl w:val="0"/>
          <w:numId w:val="3"/>
        </w:numPr>
        <w:bidi/>
        <w:spacing w:after="100" w:line="300"/>
        <w:jc w:val="right"/>
      </w:pPr>
      <w:r>
        <w:rPr>
          <w:rFonts w:ascii="Arial" w:cs="Arial" w:eastAsia="Arial" w:hAnsi="Arial"/>
          <w:sz w:val="24"/>
          <w:szCs w:val="24"/>
          <w:rtl/>
        </w:rPr>
        <w:t xml:space="preserve">الاستباقية: الإفصاح بشكل استباقي عن المعلومات المهمة قبل أن تصل إلى السوق بطرق أخرى.</w:t>
      </w:r>
    </w:p>
    <w:p>
      <w:pPr>
        <w:pStyle w:val="ListParagraph"/>
        <w:numPr>
          <w:ilvl w:val="0"/>
          <w:numId w:val="3"/>
        </w:numPr>
        <w:bidi/>
        <w:spacing w:after="100" w:line="300"/>
        <w:jc w:val="right"/>
      </w:pPr>
      <w:r>
        <w:rPr>
          <w:rFonts w:ascii="Arial" w:cs="Arial" w:eastAsia="Arial" w:hAnsi="Arial"/>
          <w:sz w:val="24"/>
          <w:szCs w:val="24"/>
          <w:rtl/>
        </w:rPr>
        <w:t xml:space="preserve">الشمولية: تقديم معلومات شاملة تفي بحاجات المستثمرين، وليس مجرد الالتزام بالحد الأدنى.</w:t>
      </w:r>
    </w:p>
    <w:p>
      <w:pPr>
        <w:pStyle w:val="ListParagraph"/>
        <w:numPr>
          <w:ilvl w:val="0"/>
          <w:numId w:val="3"/>
        </w:numPr>
        <w:bidi/>
        <w:spacing w:after="100" w:line="300"/>
        <w:jc w:val="right"/>
      </w:pPr>
      <w:r>
        <w:rPr>
          <w:rFonts w:ascii="Arial" w:cs="Arial" w:eastAsia="Arial" w:hAnsi="Arial"/>
          <w:sz w:val="24"/>
          <w:szCs w:val="24"/>
          <w:rtl/>
        </w:rPr>
        <w:t xml:space="preserve">الوضوح: استخدام لغة واضحة ومفهومة، بعيداً عن التعقيد المتعمد.</w:t>
      </w:r>
    </w:p>
    <w:p>
      <w:pPr>
        <w:pStyle w:val="ListParagraph"/>
        <w:numPr>
          <w:ilvl w:val="0"/>
          <w:numId w:val="3"/>
        </w:numPr>
        <w:bidi/>
        <w:spacing w:after="100" w:line="300"/>
        <w:jc w:val="right"/>
      </w:pPr>
      <w:r>
        <w:rPr>
          <w:rFonts w:ascii="Arial" w:cs="Arial" w:eastAsia="Arial" w:hAnsi="Arial"/>
          <w:sz w:val="24"/>
          <w:szCs w:val="24"/>
          <w:rtl/>
        </w:rPr>
        <w:t xml:space="preserve">التوقيت: الإفصاح في الوقت المناسب، دون تأخير غير مبرر ودون تسرع يضر بالدقة.</w:t>
      </w:r>
    </w:p>
    <w:p>
      <w:pPr>
        <w:pStyle w:val="ListParagraph"/>
        <w:numPr>
          <w:ilvl w:val="0"/>
          <w:numId w:val="3"/>
        </w:numPr>
        <w:bidi/>
        <w:spacing w:after="100" w:line="300"/>
        <w:jc w:val="right"/>
      </w:pPr>
      <w:r>
        <w:rPr>
          <w:rFonts w:ascii="Arial" w:cs="Arial" w:eastAsia="Arial" w:hAnsi="Arial"/>
          <w:sz w:val="24"/>
          <w:szCs w:val="24"/>
          <w:rtl/>
        </w:rPr>
        <w:t xml:space="preserve">التوحيد: استخدام نماذج وقوالب موحدة للإفصاحات لتسهيل المقارنة عبر الفترات.</w:t>
      </w:r>
    </w:p>
    <w:p>
      <w:pPr>
        <w:pStyle w:val="ListParagraph"/>
        <w:numPr>
          <w:ilvl w:val="0"/>
          <w:numId w:val="3"/>
        </w:numPr>
        <w:bidi/>
        <w:spacing w:after="100" w:line="300"/>
        <w:jc w:val="right"/>
      </w:pPr>
      <w:r>
        <w:rPr>
          <w:rFonts w:ascii="Arial" w:cs="Arial" w:eastAsia="Arial" w:hAnsi="Arial"/>
          <w:sz w:val="24"/>
          <w:szCs w:val="24"/>
          <w:rtl/>
        </w:rPr>
        <w:t xml:space="preserve">المتابعة: الالتزام بمتابعة الإفصاحات السابقة، وتقديم تحديثات عند الحاجة.</w:t>
      </w:r>
    </w:p>
    <w:p>
      <w:pPr>
        <w:pStyle w:val="ListParagraph"/>
        <w:numPr>
          <w:ilvl w:val="0"/>
          <w:numId w:val="3"/>
        </w:numPr>
        <w:bidi/>
        <w:spacing w:after="100" w:line="300"/>
        <w:jc w:val="right"/>
      </w:pPr>
      <w:r>
        <w:rPr>
          <w:rFonts w:ascii="Arial" w:cs="Arial" w:eastAsia="Arial" w:hAnsi="Arial"/>
          <w:sz w:val="24"/>
          <w:szCs w:val="24"/>
          <w:rtl/>
        </w:rPr>
        <w:t xml:space="preserve">الشفافية الكاملة: عدم إخفاء المعلومات السلبية أو تجميلها.</w:t>
      </w:r>
    </w:p>
    <w:p>
      <w:pPr>
        <w:pStyle w:val="ListParagraph"/>
        <w:numPr>
          <w:ilvl w:val="0"/>
          <w:numId w:val="3"/>
        </w:numPr>
        <w:bidi/>
        <w:spacing w:after="100" w:line="300"/>
        <w:jc w:val="right"/>
      </w:pPr>
      <w:r>
        <w:rPr>
          <w:rFonts w:ascii="Arial" w:cs="Arial" w:eastAsia="Arial" w:hAnsi="Arial"/>
          <w:sz w:val="24"/>
          <w:szCs w:val="24"/>
          <w:rtl/>
        </w:rPr>
        <w:t xml:space="preserve">الاتساق: تطبيق نفس معايير الإفصاح في كل الحالات، دون انتقائية.</w:t>
      </w:r>
    </w:p>
    <w:p>
      <w:pPr>
        <w:pStyle w:val="ListParagraph"/>
        <w:numPr>
          <w:ilvl w:val="0"/>
          <w:numId w:val="3"/>
        </w:numPr>
        <w:bidi/>
        <w:spacing w:after="100" w:line="300"/>
        <w:jc w:val="right"/>
      </w:pPr>
      <w:r>
        <w:rPr>
          <w:rFonts w:ascii="Arial" w:cs="Arial" w:eastAsia="Arial" w:hAnsi="Arial"/>
          <w:sz w:val="24"/>
          <w:szCs w:val="24"/>
          <w:rtl/>
        </w:rPr>
        <w:t xml:space="preserve">القنوات المتعددة: استخدام قنوات متعددة لإيصال المعلومات لجميع شرائح المستثمرين.</w:t>
      </w:r>
    </w:p>
    <w:p>
      <w:pPr>
        <w:pStyle w:val="ListParagraph"/>
        <w:numPr>
          <w:ilvl w:val="0"/>
          <w:numId w:val="3"/>
        </w:numPr>
        <w:bidi/>
        <w:spacing w:after="100" w:line="300"/>
        <w:jc w:val="right"/>
      </w:pPr>
      <w:r>
        <w:rPr>
          <w:rFonts w:ascii="Arial" w:cs="Arial" w:eastAsia="Arial" w:hAnsi="Arial"/>
          <w:sz w:val="24"/>
          <w:szCs w:val="24"/>
          <w:rtl/>
        </w:rPr>
        <w:t xml:space="preserve">التحسين المستمر: تطوير الإفصاحات بناءً على ملاحظات المستثمرين والممارسات الدولية.</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قائمة مراجعة الإفصاحات المتعلقة بالملكية</w:t>
      </w:r>
    </w:p>
    <w:p>
      <w:pPr>
        <w:pStyle w:val="Heading3"/>
        <w:bidi/>
        <w:spacing w:after="120" w:before="200"/>
        <w:jc w:val="right"/>
      </w:pPr>
      <w:r>
        <w:rPr>
          <w:rFonts w:ascii="Arial" w:cs="Arial" w:eastAsia="Arial" w:hAnsi="Arial"/>
          <w:b/>
          <w:bCs/>
          <w:color w:val="1F4E79"/>
          <w:sz w:val="26"/>
          <w:szCs w:val="26"/>
          <w:rtl/>
        </w:rPr>
        <w:t xml:space="preserve">الإفصاحات اليومية / الدورية</w:t>
      </w:r>
    </w:p>
    <w:p>
      <w:pPr>
        <w:pStyle w:val="ListParagraph"/>
        <w:numPr>
          <w:ilvl w:val="0"/>
          <w:numId w:val="2"/>
        </w:numPr>
        <w:bidi/>
        <w:spacing w:after="100" w:line="300"/>
        <w:jc w:val="right"/>
      </w:pPr>
      <w:r>
        <w:rPr>
          <w:rFonts w:ascii="Arial" w:cs="Arial" w:eastAsia="Arial" w:hAnsi="Arial"/>
          <w:sz w:val="24"/>
          <w:szCs w:val="24"/>
          <w:rtl/>
        </w:rPr>
        <w:t xml:space="preserve">متابعة أي تغيرات في الملكية تستوجب إفصاحاً.</w:t>
      </w:r>
    </w:p>
    <w:p>
      <w:pPr>
        <w:pStyle w:val="ListParagraph"/>
        <w:numPr>
          <w:ilvl w:val="0"/>
          <w:numId w:val="2"/>
        </w:numPr>
        <w:bidi/>
        <w:spacing w:after="100" w:line="300"/>
        <w:jc w:val="right"/>
      </w:pPr>
      <w:r>
        <w:rPr>
          <w:rFonts w:ascii="Arial" w:cs="Arial" w:eastAsia="Arial" w:hAnsi="Arial"/>
          <w:sz w:val="24"/>
          <w:szCs w:val="24"/>
          <w:rtl/>
        </w:rPr>
        <w:t xml:space="preserve">متابعة الأحداث الجوهرية في الشركة.</w:t>
      </w:r>
    </w:p>
    <w:p>
      <w:pPr>
        <w:pStyle w:val="ListParagraph"/>
        <w:numPr>
          <w:ilvl w:val="0"/>
          <w:numId w:val="2"/>
        </w:numPr>
        <w:bidi/>
        <w:spacing w:after="100" w:line="300"/>
        <w:jc w:val="right"/>
      </w:pPr>
      <w:r>
        <w:rPr>
          <w:rFonts w:ascii="Arial" w:cs="Arial" w:eastAsia="Arial" w:hAnsi="Arial"/>
          <w:sz w:val="24"/>
          <w:szCs w:val="24"/>
          <w:rtl/>
        </w:rPr>
        <w:t xml:space="preserve">جاهزية فرق علاقات المستثمرين للاستجابة.</w:t>
      </w:r>
    </w:p>
    <w:p>
      <w:pPr>
        <w:pStyle w:val="Heading3"/>
        <w:bidi/>
        <w:spacing w:after="120" w:before="200"/>
        <w:jc w:val="right"/>
      </w:pPr>
      <w:r>
        <w:rPr>
          <w:rFonts w:ascii="Arial" w:cs="Arial" w:eastAsia="Arial" w:hAnsi="Arial"/>
          <w:b/>
          <w:bCs/>
          <w:color w:val="1F4E79"/>
          <w:sz w:val="26"/>
          <w:szCs w:val="26"/>
          <w:rtl/>
        </w:rPr>
        <w:t xml:space="preserve">الإفصاحات الشهرية</w:t>
      </w:r>
    </w:p>
    <w:p>
      <w:pPr>
        <w:pStyle w:val="ListParagraph"/>
        <w:numPr>
          <w:ilvl w:val="0"/>
          <w:numId w:val="2"/>
        </w:numPr>
        <w:bidi/>
        <w:spacing w:after="100" w:line="300"/>
        <w:jc w:val="right"/>
      </w:pPr>
      <w:r>
        <w:rPr>
          <w:rFonts w:ascii="Arial" w:cs="Arial" w:eastAsia="Arial" w:hAnsi="Arial"/>
          <w:sz w:val="24"/>
          <w:szCs w:val="24"/>
          <w:rtl/>
        </w:rPr>
        <w:t xml:space="preserve">إعداد تقرير كبار المساهمين.</w:t>
      </w:r>
    </w:p>
    <w:p>
      <w:pPr>
        <w:pStyle w:val="ListParagraph"/>
        <w:numPr>
          <w:ilvl w:val="0"/>
          <w:numId w:val="2"/>
        </w:numPr>
        <w:bidi/>
        <w:spacing w:after="100" w:line="300"/>
        <w:jc w:val="right"/>
      </w:pPr>
      <w:r>
        <w:rPr>
          <w:rFonts w:ascii="Arial" w:cs="Arial" w:eastAsia="Arial" w:hAnsi="Arial"/>
          <w:sz w:val="24"/>
          <w:szCs w:val="24"/>
          <w:rtl/>
        </w:rPr>
        <w:t xml:space="preserve">التحقق من البيانات من السجل.</w:t>
      </w:r>
    </w:p>
    <w:p>
      <w:pPr>
        <w:pStyle w:val="ListParagraph"/>
        <w:numPr>
          <w:ilvl w:val="0"/>
          <w:numId w:val="2"/>
        </w:numPr>
        <w:bidi/>
        <w:spacing w:after="100" w:line="300"/>
        <w:jc w:val="right"/>
      </w:pPr>
      <w:r>
        <w:rPr>
          <w:rFonts w:ascii="Arial" w:cs="Arial" w:eastAsia="Arial" w:hAnsi="Arial"/>
          <w:sz w:val="24"/>
          <w:szCs w:val="24"/>
          <w:rtl/>
        </w:rPr>
        <w:t xml:space="preserve">النشر على منصة تداول في الموعد.</w:t>
      </w:r>
    </w:p>
    <w:p>
      <w:pPr>
        <w:pStyle w:val="Heading3"/>
        <w:bidi/>
        <w:spacing w:after="120" w:before="200"/>
        <w:jc w:val="right"/>
      </w:pPr>
      <w:r>
        <w:rPr>
          <w:rFonts w:ascii="Arial" w:cs="Arial" w:eastAsia="Arial" w:hAnsi="Arial"/>
          <w:b/>
          <w:bCs/>
          <w:color w:val="1F4E79"/>
          <w:sz w:val="26"/>
          <w:szCs w:val="26"/>
          <w:rtl/>
        </w:rPr>
        <w:t xml:space="preserve">الإفصاحات الربعية</w:t>
      </w:r>
    </w:p>
    <w:p>
      <w:pPr>
        <w:pStyle w:val="ListParagraph"/>
        <w:numPr>
          <w:ilvl w:val="0"/>
          <w:numId w:val="2"/>
        </w:numPr>
        <w:bidi/>
        <w:spacing w:after="100" w:line="300"/>
        <w:jc w:val="right"/>
      </w:pPr>
      <w:r>
        <w:rPr>
          <w:rFonts w:ascii="Arial" w:cs="Arial" w:eastAsia="Arial" w:hAnsi="Arial"/>
          <w:sz w:val="24"/>
          <w:szCs w:val="24"/>
          <w:rtl/>
        </w:rPr>
        <w:t xml:space="preserve">القوائم المالية المرحلية.</w:t>
      </w:r>
    </w:p>
    <w:p>
      <w:pPr>
        <w:pStyle w:val="ListParagraph"/>
        <w:numPr>
          <w:ilvl w:val="0"/>
          <w:numId w:val="2"/>
        </w:numPr>
        <w:bidi/>
        <w:spacing w:after="100" w:line="300"/>
        <w:jc w:val="right"/>
      </w:pPr>
      <w:r>
        <w:rPr>
          <w:rFonts w:ascii="Arial" w:cs="Arial" w:eastAsia="Arial" w:hAnsi="Arial"/>
          <w:sz w:val="24"/>
          <w:szCs w:val="24"/>
          <w:rtl/>
        </w:rPr>
        <w:t xml:space="preserve">تحليل التغيرات الجوهرية.</w:t>
      </w:r>
    </w:p>
    <w:p>
      <w:pPr>
        <w:pStyle w:val="ListParagraph"/>
        <w:numPr>
          <w:ilvl w:val="0"/>
          <w:numId w:val="2"/>
        </w:numPr>
        <w:bidi/>
        <w:spacing w:after="100" w:line="300"/>
        <w:jc w:val="right"/>
      </w:pPr>
      <w:r>
        <w:rPr>
          <w:rFonts w:ascii="Arial" w:cs="Arial" w:eastAsia="Arial" w:hAnsi="Arial"/>
          <w:sz w:val="24"/>
          <w:szCs w:val="24"/>
          <w:rtl/>
        </w:rPr>
        <w:t xml:space="preserve">معالجة الأطراف ذات العلاقة.</w:t>
      </w:r>
    </w:p>
    <w:p>
      <w:pPr>
        <w:pStyle w:val="ListParagraph"/>
        <w:numPr>
          <w:ilvl w:val="0"/>
          <w:numId w:val="2"/>
        </w:numPr>
        <w:bidi/>
        <w:spacing w:after="100" w:line="300"/>
        <w:jc w:val="right"/>
      </w:pPr>
      <w:r>
        <w:rPr>
          <w:rFonts w:ascii="Arial" w:cs="Arial" w:eastAsia="Arial" w:hAnsi="Arial"/>
          <w:sz w:val="24"/>
          <w:szCs w:val="24"/>
          <w:rtl/>
        </w:rPr>
        <w:t xml:space="preserve">مراجعة الإدارة المالية والمراجع.</w:t>
      </w:r>
    </w:p>
    <w:p>
      <w:pPr>
        <w:pStyle w:val="Heading3"/>
        <w:bidi/>
        <w:spacing w:after="120" w:before="200"/>
        <w:jc w:val="right"/>
      </w:pPr>
      <w:r>
        <w:rPr>
          <w:rFonts w:ascii="Arial" w:cs="Arial" w:eastAsia="Arial" w:hAnsi="Arial"/>
          <w:b/>
          <w:bCs/>
          <w:color w:val="1F4E79"/>
          <w:sz w:val="26"/>
          <w:szCs w:val="26"/>
          <w:rtl/>
        </w:rPr>
        <w:t xml:space="preserve">الإفصاحات السنوية</w:t>
      </w:r>
    </w:p>
    <w:p>
      <w:pPr>
        <w:pStyle w:val="ListParagraph"/>
        <w:numPr>
          <w:ilvl w:val="0"/>
          <w:numId w:val="2"/>
        </w:numPr>
        <w:bidi/>
        <w:spacing w:after="100" w:line="300"/>
        <w:jc w:val="right"/>
      </w:pPr>
      <w:r>
        <w:rPr>
          <w:rFonts w:ascii="Arial" w:cs="Arial" w:eastAsia="Arial" w:hAnsi="Arial"/>
          <w:sz w:val="24"/>
          <w:szCs w:val="24"/>
          <w:rtl/>
        </w:rPr>
        <w:t xml:space="preserve">التقرير السنوي الشامل.</w:t>
      </w:r>
    </w:p>
    <w:p>
      <w:pPr>
        <w:pStyle w:val="ListParagraph"/>
        <w:numPr>
          <w:ilvl w:val="0"/>
          <w:numId w:val="2"/>
        </w:numPr>
        <w:bidi/>
        <w:spacing w:after="100" w:line="300"/>
        <w:jc w:val="right"/>
      </w:pPr>
      <w:r>
        <w:rPr>
          <w:rFonts w:ascii="Arial" w:cs="Arial" w:eastAsia="Arial" w:hAnsi="Arial"/>
          <w:sz w:val="24"/>
          <w:szCs w:val="24"/>
          <w:rtl/>
        </w:rPr>
        <w:t xml:space="preserve">القوائم المالية المدققة.</w:t>
      </w:r>
    </w:p>
    <w:p>
      <w:pPr>
        <w:pStyle w:val="ListParagraph"/>
        <w:numPr>
          <w:ilvl w:val="0"/>
          <w:numId w:val="2"/>
        </w:numPr>
        <w:bidi/>
        <w:spacing w:after="100" w:line="300"/>
        <w:jc w:val="right"/>
      </w:pPr>
      <w:r>
        <w:rPr>
          <w:rFonts w:ascii="Arial" w:cs="Arial" w:eastAsia="Arial" w:hAnsi="Arial"/>
          <w:sz w:val="24"/>
          <w:szCs w:val="24"/>
          <w:rtl/>
        </w:rPr>
        <w:t xml:space="preserve">تقرير الحوكمة.</w:t>
      </w:r>
    </w:p>
    <w:p>
      <w:pPr>
        <w:pStyle w:val="ListParagraph"/>
        <w:numPr>
          <w:ilvl w:val="0"/>
          <w:numId w:val="2"/>
        </w:numPr>
        <w:bidi/>
        <w:spacing w:after="100" w:line="300"/>
        <w:jc w:val="right"/>
      </w:pPr>
      <w:r>
        <w:rPr>
          <w:rFonts w:ascii="Arial" w:cs="Arial" w:eastAsia="Arial" w:hAnsi="Arial"/>
          <w:sz w:val="24"/>
          <w:szCs w:val="24"/>
          <w:rtl/>
        </w:rPr>
        <w:t xml:space="preserve">هيكل الملكية المفصّل.</w:t>
      </w:r>
    </w:p>
    <w:p>
      <w:pPr>
        <w:pStyle w:val="ListParagraph"/>
        <w:numPr>
          <w:ilvl w:val="0"/>
          <w:numId w:val="2"/>
        </w:numPr>
        <w:bidi/>
        <w:spacing w:after="100" w:line="300"/>
        <w:jc w:val="right"/>
      </w:pPr>
      <w:r>
        <w:rPr>
          <w:rFonts w:ascii="Arial" w:cs="Arial" w:eastAsia="Arial" w:hAnsi="Arial"/>
          <w:sz w:val="24"/>
          <w:szCs w:val="24"/>
          <w:rtl/>
        </w:rPr>
        <w:t xml:space="preserve">معاملات الأطراف ذات العلاقة.</w:t>
      </w:r>
    </w:p>
    <w:p>
      <w:pPr>
        <w:pStyle w:val="Heading3"/>
        <w:bidi/>
        <w:spacing w:after="120" w:before="200"/>
        <w:jc w:val="right"/>
      </w:pPr>
      <w:r>
        <w:rPr>
          <w:rFonts w:ascii="Arial" w:cs="Arial" w:eastAsia="Arial" w:hAnsi="Arial"/>
          <w:b/>
          <w:bCs/>
          <w:color w:val="1F4E79"/>
          <w:sz w:val="26"/>
          <w:szCs w:val="26"/>
          <w:rtl/>
        </w:rPr>
        <w:t xml:space="preserve">الإفصاحات الاستثنائية</w:t>
      </w:r>
    </w:p>
    <w:p>
      <w:pPr>
        <w:pStyle w:val="ListParagraph"/>
        <w:numPr>
          <w:ilvl w:val="0"/>
          <w:numId w:val="2"/>
        </w:numPr>
        <w:bidi/>
        <w:spacing w:after="100" w:line="300"/>
        <w:jc w:val="right"/>
      </w:pPr>
      <w:r>
        <w:rPr>
          <w:rFonts w:ascii="Arial" w:cs="Arial" w:eastAsia="Arial" w:hAnsi="Arial"/>
          <w:sz w:val="24"/>
          <w:szCs w:val="24"/>
          <w:rtl/>
        </w:rPr>
        <w:t xml:space="preserve">جاهزية للإفصاح الفوري عن المعلومات الجوهرية.</w:t>
      </w:r>
    </w:p>
    <w:p>
      <w:pPr>
        <w:pStyle w:val="ListParagraph"/>
        <w:numPr>
          <w:ilvl w:val="0"/>
          <w:numId w:val="2"/>
        </w:numPr>
        <w:bidi/>
        <w:spacing w:after="100" w:line="300"/>
        <w:jc w:val="right"/>
      </w:pPr>
      <w:r>
        <w:rPr>
          <w:rFonts w:ascii="Arial" w:cs="Arial" w:eastAsia="Arial" w:hAnsi="Arial"/>
          <w:sz w:val="24"/>
          <w:szCs w:val="24"/>
          <w:rtl/>
        </w:rPr>
        <w:t xml:space="preserve">إجراءات معتمدة للاستحواذ والاندماج.</w:t>
      </w:r>
    </w:p>
    <w:p>
      <w:pPr>
        <w:pStyle w:val="ListParagraph"/>
        <w:numPr>
          <w:ilvl w:val="0"/>
          <w:numId w:val="2"/>
        </w:numPr>
        <w:bidi/>
        <w:spacing w:after="100" w:line="300"/>
        <w:jc w:val="right"/>
      </w:pPr>
      <w:r>
        <w:rPr>
          <w:rFonts w:ascii="Arial" w:cs="Arial" w:eastAsia="Arial" w:hAnsi="Arial"/>
          <w:sz w:val="24"/>
          <w:szCs w:val="24"/>
          <w:rtl/>
        </w:rPr>
        <w:t xml:space="preserve">إجراءات لزيادة وتخفيض رأس المال.</w:t>
      </w:r>
    </w:p>
    <w:p>
      <w:pPr>
        <w:pStyle w:val="ListParagraph"/>
        <w:numPr>
          <w:ilvl w:val="0"/>
          <w:numId w:val="2"/>
        </w:numPr>
        <w:bidi/>
        <w:spacing w:after="100" w:line="300"/>
        <w:jc w:val="right"/>
      </w:pPr>
      <w:r>
        <w:rPr>
          <w:rFonts w:ascii="Arial" w:cs="Arial" w:eastAsia="Arial" w:hAnsi="Arial"/>
          <w:sz w:val="24"/>
          <w:szCs w:val="24"/>
          <w:rtl/>
        </w:rPr>
        <w:t xml:space="preserve">إجراءات لشراء أسهم الخزينة.</w:t>
      </w:r>
    </w:p>
    <w:p>
      <w:pPr>
        <w:pStyle w:val="Heading3"/>
        <w:bidi/>
        <w:spacing w:after="120" w:before="200"/>
        <w:jc w:val="right"/>
      </w:pPr>
      <w:r>
        <w:rPr>
          <w:rFonts w:ascii="Arial" w:cs="Arial" w:eastAsia="Arial" w:hAnsi="Arial"/>
          <w:b/>
          <w:bCs/>
          <w:color w:val="1F4E79"/>
          <w:sz w:val="26"/>
          <w:szCs w:val="26"/>
          <w:rtl/>
        </w:rPr>
        <w:t xml:space="preserve">الجاهزية والامتثال</w:t>
      </w:r>
    </w:p>
    <w:p>
      <w:pPr>
        <w:pStyle w:val="ListParagraph"/>
        <w:numPr>
          <w:ilvl w:val="0"/>
          <w:numId w:val="2"/>
        </w:numPr>
        <w:bidi/>
        <w:spacing w:after="100" w:line="300"/>
        <w:jc w:val="right"/>
      </w:pPr>
      <w:r>
        <w:rPr>
          <w:rFonts w:ascii="Arial" w:cs="Arial" w:eastAsia="Arial" w:hAnsi="Arial"/>
          <w:sz w:val="24"/>
          <w:szCs w:val="24"/>
          <w:rtl/>
        </w:rPr>
        <w:t xml:space="preserve">سياسات إفصاح مكتوبة ومعتمدة.</w:t>
      </w:r>
    </w:p>
    <w:p>
      <w:pPr>
        <w:pStyle w:val="ListParagraph"/>
        <w:numPr>
          <w:ilvl w:val="0"/>
          <w:numId w:val="2"/>
        </w:numPr>
        <w:bidi/>
        <w:spacing w:after="100" w:line="300"/>
        <w:jc w:val="right"/>
      </w:pPr>
      <w:r>
        <w:rPr>
          <w:rFonts w:ascii="Arial" w:cs="Arial" w:eastAsia="Arial" w:hAnsi="Arial"/>
          <w:sz w:val="24"/>
          <w:szCs w:val="24"/>
          <w:rtl/>
        </w:rPr>
        <w:t xml:space="preserve">فرق مدربة على متطلبات الإفصاح.</w:t>
      </w:r>
    </w:p>
    <w:p>
      <w:pPr>
        <w:pStyle w:val="ListParagraph"/>
        <w:numPr>
          <w:ilvl w:val="0"/>
          <w:numId w:val="2"/>
        </w:numPr>
        <w:bidi/>
        <w:spacing w:after="100" w:line="300"/>
        <w:jc w:val="right"/>
      </w:pPr>
      <w:r>
        <w:rPr>
          <w:rFonts w:ascii="Arial" w:cs="Arial" w:eastAsia="Arial" w:hAnsi="Arial"/>
          <w:sz w:val="24"/>
          <w:szCs w:val="24"/>
          <w:rtl/>
        </w:rPr>
        <w:t xml:space="preserve">أنظمة تقنية لإدارة الإفصاحات.</w:t>
      </w:r>
    </w:p>
    <w:p>
      <w:pPr>
        <w:pStyle w:val="ListParagraph"/>
        <w:numPr>
          <w:ilvl w:val="0"/>
          <w:numId w:val="2"/>
        </w:numPr>
        <w:bidi/>
        <w:spacing w:after="100" w:line="300"/>
        <w:jc w:val="right"/>
      </w:pPr>
      <w:r>
        <w:rPr>
          <w:rFonts w:ascii="Arial" w:cs="Arial" w:eastAsia="Arial" w:hAnsi="Arial"/>
          <w:sz w:val="24"/>
          <w:szCs w:val="24"/>
          <w:rtl/>
        </w:rPr>
        <w:t xml:space="preserve">علاقات منتظمة مع الجهات التنظيمية.</w:t>
      </w:r>
    </w:p>
    <w:p>
      <w:pPr>
        <w:pStyle w:val="ListParagraph"/>
        <w:numPr>
          <w:ilvl w:val="0"/>
          <w:numId w:val="2"/>
        </w:numPr>
        <w:bidi/>
        <w:spacing w:after="100" w:line="300"/>
        <w:jc w:val="right"/>
      </w:pPr>
      <w:r>
        <w:rPr>
          <w:rFonts w:ascii="Arial" w:cs="Arial" w:eastAsia="Arial" w:hAnsi="Arial"/>
          <w:sz w:val="24"/>
          <w:szCs w:val="24"/>
          <w:rtl/>
        </w:rPr>
        <w:t xml:space="preserve">مراجعات دورية للممارسات.</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الخلاصة والنقاط الرئيسية</w:t>
      </w:r>
    </w:p>
    <w:p>
      <w:pPr>
        <w:bidi/>
        <w:spacing w:after="140" w:line="320"/>
        <w:jc w:val="both"/>
      </w:pPr>
      <w:r>
        <w:rPr>
          <w:rFonts w:ascii="Arial" w:cs="Arial" w:eastAsia="Arial" w:hAnsi="Arial"/>
          <w:sz w:val="24"/>
          <w:szCs w:val="24"/>
          <w:rtl/>
        </w:rPr>
        <w:t xml:space="preserve">الإفصاحات المتعلقة بالملكية ليست مجرد التزامات تنظيمية، بل أداة استراتيجية لبناء الثقة في الشركة وتعزيز سمعتها في السوق. والشركات التي تتميز في الإفصاح تكتسب ميزة تنافسية حقيقية، تنعكس على تكاليف رأس المال وقدرتها على استقطاب المستثمرين.</w:t>
      </w:r>
    </w:p>
    <w:p>
      <w:pPr>
        <w:bidi/>
        <w:spacing w:after="140" w:line="320"/>
        <w:jc w:val="both"/>
      </w:pPr>
      <w:r>
        <w:rPr>
          <w:rFonts w:ascii="Arial" w:cs="Arial" w:eastAsia="Arial" w:hAnsi="Arial"/>
          <w:sz w:val="24"/>
          <w:szCs w:val="24"/>
          <w:rtl/>
        </w:rPr>
        <w:t xml:space="preserve">ودور سجل المساهمين في هذه المنظومة محوري، إذ يُعدّ المصدر الرئيسي لمعظم المعلومات التي يتم الإفصاح عنها. سجل دقيق ومحدّث هو الركيزة لإفصاحات صحيحة وموثوقة، والتأخير في تحديثه أو الأخطاء في بياناته تترجم مباشرةً إلى مخالفات إفصاحية قد تترتب عليها عقوبات.</w:t>
      </w:r>
    </w:p>
    <w:p>
      <w:pPr>
        <w:bidi/>
        <w:spacing w:after="140" w:line="320"/>
        <w:jc w:val="both"/>
      </w:pPr>
      <w:r>
        <w:rPr>
          <w:rFonts w:ascii="Arial" w:cs="Arial" w:eastAsia="Arial" w:hAnsi="Arial"/>
          <w:sz w:val="24"/>
          <w:szCs w:val="24"/>
          <w:rtl/>
        </w:rPr>
        <w:t xml:space="preserve">مع تطور الأسواق المالية وتزايد متطلبات الشفافية على المستوى الدولي، يصبح الاستثمار في تطوير منظومة الإفصاح ضرورة لا غنى عنها لكل شركة تطمح للنجاح والاستدامة. وهذا يستوجب رؤية شاملة تجمع بين الجوانب التنظيمية والتقنية والبشرية، مع التحسين المستمر بناءً على أفضل الممارسات الدولية.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2CC" w:val="clear"/>
            <w:tcMar>
              <w:top w:type="dxa" w:w="160"/>
              <w:left w:type="dxa" w:w="200"/>
              <w:bottom w:type="dxa" w:w="160"/>
              <w:right w:type="dxa" w:w="200"/>
            </w:tcMar>
          </w:tcPr>
          <w:p>
            <w:pPr>
              <w:bidi/>
              <w:spacing w:after="100"/>
              <w:jc w:val="right"/>
            </w:pPr>
            <w:r>
              <w:rPr>
                <w:rFonts w:ascii="Arial" w:cs="Arial" w:eastAsia="Arial" w:hAnsi="Arial"/>
                <w:b/>
                <w:bCs/>
                <w:color w:val="1F4E79"/>
                <w:sz w:val="26"/>
                <w:szCs w:val="26"/>
                <w:rtl/>
              </w:rPr>
              <w:t xml:space="preserve">🎯 النقاط الجوهرية للحفظ</w:t>
            </w:r>
          </w:p>
          <w:p>
            <w:pPr>
              <w:bidi/>
              <w:spacing w:line="300"/>
              <w:jc w:val="both"/>
            </w:pPr>
            <w:r>
              <w:rPr>
                <w:rFonts w:ascii="Arial" w:cs="Arial" w:eastAsia="Arial" w:hAnsi="Arial"/>
                <w:sz w:val="24"/>
                <w:szCs w:val="24"/>
                <w:rtl/>
              </w:rPr>
              <w:t xml:space="preserve">1) الإفصاحات تنقسم إلى: إفصاحات الشركة عن الملكية، إفصاحات المساهمين عن ملكياتهم، والإفصاحات الفورية. 2) التقرير الشهري لكبار المساهمين (5%+) إلزامي عبر منصة تداول. 3) المساهم يجب أن يُفصح عند بلوغ 5% وعند كل تغيير بنسبة 1% بعد ذلك. 4) القنوات الرسمية: منصة تداول، الموقع الإلكتروني للشركة، تداولاتي. 5) المسؤولية موزعة بين: مجلس الإدارة، لجنة المراجعة، أمين السر، علاقات المستثمرين، المالية، والقانونية. 6) سجل المساهمين الدقيق هو ركيزة الإفصاحات الصحيحة. 7) الشفافية الاستباقية تُكسب ثقة المستثمرين وتقلل من المخاطر التنظيمية.</w:t>
            </w:r>
          </w:p>
        </w:tc>
      </w:tr>
    </w:tbl>
    <w:p>
      <w:pPr>
        <w:spacing w:after="80"/>
      </w:pPr>
      <w:r>
        <w:rPr>
          <w:sz w:val="16"/>
          <w:szCs w:val="16"/>
        </w:rPr>
        <w:t xml:space="preserve"/>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خاتمة المحور الأول</w:t>
      </w:r>
    </w:p>
    <w:p>
      <w:pPr>
        <w:bidi/>
        <w:spacing w:after="140" w:line="320"/>
        <w:jc w:val="both"/>
      </w:pPr>
      <w:r>
        <w:rPr>
          <w:rFonts w:ascii="Arial" w:cs="Arial" w:eastAsia="Arial" w:hAnsi="Arial"/>
          <w:sz w:val="24"/>
          <w:szCs w:val="24"/>
          <w:rtl/>
        </w:rPr>
        <w:t xml:space="preserve">بهذا المقال نختم المحور الأول الذي تناول إدارة سجل المساهمين بمختلف جوانبها. وقد استعرضنا في هذا المحور:</w:t>
      </w:r>
    </w:p>
    <w:p>
      <w:pPr>
        <w:pStyle w:val="ListParagraph"/>
        <w:numPr>
          <w:ilvl w:val="0"/>
          <w:numId w:val="3"/>
        </w:numPr>
        <w:bidi/>
        <w:spacing w:after="100" w:line="300"/>
        <w:jc w:val="right"/>
      </w:pPr>
      <w:r>
        <w:rPr>
          <w:rFonts w:ascii="Arial" w:cs="Arial" w:eastAsia="Arial" w:hAnsi="Arial"/>
          <w:sz w:val="24"/>
          <w:szCs w:val="24"/>
          <w:rtl/>
        </w:rPr>
        <w:t xml:space="preserve">مفهوم سجل المساهمين وأهميته والإطار التنظيمي له.</w:t>
      </w:r>
    </w:p>
    <w:p>
      <w:pPr>
        <w:pStyle w:val="ListParagraph"/>
        <w:numPr>
          <w:ilvl w:val="0"/>
          <w:numId w:val="3"/>
        </w:numPr>
        <w:bidi/>
        <w:spacing w:after="100" w:line="300"/>
        <w:jc w:val="right"/>
      </w:pPr>
      <w:r>
        <w:rPr>
          <w:rFonts w:ascii="Arial" w:cs="Arial" w:eastAsia="Arial" w:hAnsi="Arial"/>
          <w:sz w:val="24"/>
          <w:szCs w:val="24"/>
          <w:rtl/>
        </w:rPr>
        <w:t xml:space="preserve">مكوناته الأساسية وأنواع الأسهم والحقوق المرتبطة بها.</w:t>
      </w:r>
    </w:p>
    <w:p>
      <w:pPr>
        <w:pStyle w:val="ListParagraph"/>
        <w:numPr>
          <w:ilvl w:val="0"/>
          <w:numId w:val="3"/>
        </w:numPr>
        <w:bidi/>
        <w:spacing w:after="100" w:line="300"/>
        <w:jc w:val="right"/>
      </w:pPr>
      <w:r>
        <w:rPr>
          <w:rFonts w:ascii="Arial" w:cs="Arial" w:eastAsia="Arial" w:hAnsi="Arial"/>
          <w:sz w:val="24"/>
          <w:szCs w:val="24"/>
          <w:rtl/>
        </w:rPr>
        <w:t xml:space="preserve">دورة حياة المساهم من التسجيل إلى التصرف.</w:t>
      </w:r>
    </w:p>
    <w:p>
      <w:pPr>
        <w:pStyle w:val="ListParagraph"/>
        <w:numPr>
          <w:ilvl w:val="0"/>
          <w:numId w:val="3"/>
        </w:numPr>
        <w:bidi/>
        <w:spacing w:after="100" w:line="300"/>
        <w:jc w:val="right"/>
      </w:pPr>
      <w:r>
        <w:rPr>
          <w:rFonts w:ascii="Arial" w:cs="Arial" w:eastAsia="Arial" w:hAnsi="Arial"/>
          <w:sz w:val="24"/>
          <w:szCs w:val="24"/>
          <w:rtl/>
        </w:rPr>
        <w:t xml:space="preserve">التحديث والصيانة المستمرة.</w:t>
      </w:r>
    </w:p>
    <w:p>
      <w:pPr>
        <w:pStyle w:val="ListParagraph"/>
        <w:numPr>
          <w:ilvl w:val="0"/>
          <w:numId w:val="3"/>
        </w:numPr>
        <w:bidi/>
        <w:spacing w:after="100" w:line="300"/>
        <w:jc w:val="right"/>
      </w:pPr>
      <w:r>
        <w:rPr>
          <w:rFonts w:ascii="Arial" w:cs="Arial" w:eastAsia="Arial" w:hAnsi="Arial"/>
          <w:sz w:val="24"/>
          <w:szCs w:val="24"/>
          <w:rtl/>
        </w:rPr>
        <w:t xml:space="preserve">الرقمنة والأنظمة الإلكترونية المتطورة.</w:t>
      </w:r>
    </w:p>
    <w:p>
      <w:pPr>
        <w:pStyle w:val="ListParagraph"/>
        <w:numPr>
          <w:ilvl w:val="0"/>
          <w:numId w:val="3"/>
        </w:numPr>
        <w:bidi/>
        <w:spacing w:after="100" w:line="300"/>
        <w:jc w:val="right"/>
      </w:pPr>
      <w:r>
        <w:rPr>
          <w:rFonts w:ascii="Arial" w:cs="Arial" w:eastAsia="Arial" w:hAnsi="Arial"/>
          <w:sz w:val="24"/>
          <w:szCs w:val="24"/>
          <w:rtl/>
        </w:rPr>
        <w:t xml:space="preserve">التعامل مع تغييرات الملكية بأشكالها المختلفة.</w:t>
      </w:r>
    </w:p>
    <w:p>
      <w:pPr>
        <w:pStyle w:val="ListParagraph"/>
        <w:numPr>
          <w:ilvl w:val="0"/>
          <w:numId w:val="3"/>
        </w:numPr>
        <w:bidi/>
        <w:spacing w:after="100" w:line="300"/>
        <w:jc w:val="right"/>
      </w:pPr>
      <w:r>
        <w:rPr>
          <w:rFonts w:ascii="Arial" w:cs="Arial" w:eastAsia="Arial" w:hAnsi="Arial"/>
          <w:sz w:val="24"/>
          <w:szCs w:val="24"/>
          <w:rtl/>
        </w:rPr>
        <w:t xml:space="preserve">توزيعات الأرباح وعلاقتها بالسجل.</w:t>
      </w:r>
    </w:p>
    <w:p>
      <w:pPr>
        <w:pStyle w:val="ListParagraph"/>
        <w:numPr>
          <w:ilvl w:val="0"/>
          <w:numId w:val="3"/>
        </w:numPr>
        <w:bidi/>
        <w:spacing w:after="100" w:line="300"/>
        <w:jc w:val="right"/>
      </w:pPr>
      <w:r>
        <w:rPr>
          <w:rFonts w:ascii="Arial" w:cs="Arial" w:eastAsia="Arial" w:hAnsi="Arial"/>
          <w:sz w:val="24"/>
          <w:szCs w:val="24"/>
          <w:rtl/>
        </w:rPr>
        <w:t xml:space="preserve">حماية حقوق المساهمين الأقلية.</w:t>
      </w:r>
    </w:p>
    <w:p>
      <w:pPr>
        <w:pStyle w:val="ListParagraph"/>
        <w:numPr>
          <w:ilvl w:val="0"/>
          <w:numId w:val="3"/>
        </w:numPr>
        <w:bidi/>
        <w:spacing w:after="100" w:line="300"/>
        <w:jc w:val="right"/>
      </w:pPr>
      <w:r>
        <w:rPr>
          <w:rFonts w:ascii="Arial" w:cs="Arial" w:eastAsia="Arial" w:hAnsi="Arial"/>
          <w:sz w:val="24"/>
          <w:szCs w:val="24"/>
          <w:rtl/>
        </w:rPr>
        <w:t xml:space="preserve">سرية البيانات وحماية الخصوصية.</w:t>
      </w:r>
    </w:p>
    <w:p>
      <w:pPr>
        <w:pStyle w:val="ListParagraph"/>
        <w:numPr>
          <w:ilvl w:val="0"/>
          <w:numId w:val="3"/>
        </w:numPr>
        <w:bidi/>
        <w:spacing w:after="100" w:line="300"/>
        <w:jc w:val="right"/>
      </w:pPr>
      <w:r>
        <w:rPr>
          <w:rFonts w:ascii="Arial" w:cs="Arial" w:eastAsia="Arial" w:hAnsi="Arial"/>
          <w:sz w:val="24"/>
          <w:szCs w:val="24"/>
          <w:rtl/>
        </w:rPr>
        <w:t xml:space="preserve">التقارير والإفصاحات المتعلقة بالملكية.</w:t>
      </w:r>
    </w:p>
    <w:p>
      <w:pPr>
        <w:bidi/>
        <w:spacing w:after="140" w:line="320"/>
        <w:jc w:val="both"/>
      </w:pPr>
      <w:r>
        <w:rPr>
          <w:rFonts w:ascii="Arial" w:cs="Arial" w:eastAsia="Arial" w:hAnsi="Arial"/>
          <w:sz w:val="24"/>
          <w:szCs w:val="24"/>
          <w:rtl/>
        </w:rPr>
        <w:t xml:space="preserve">هذا الأساس الراسخ في فهم سجل المساهمين يُشكّل الركيزة الأولى لحوكمة الشركات الرشيدة. وفي المحاور القادمة، سننتقل إلى موضوعات أخرى مكملة، تشمل الجمعيات العمومية، مجالس الإدارة، اللجان المتخصصة، والممارسات في الاجتماعات الحضورية والإلكترونية.</w:t>
      </w:r>
    </w:p>
    <w:p>
      <w:pPr>
        <w:spacing w:after="80"/>
      </w:pPr>
      <w:r>
        <w:rPr>
          <w:sz w:val="16"/>
          <w:szCs w:val="16"/>
        </w:rPr>
        <w:t xml:space="preserve"/>
      </w:r>
    </w:p>
    <w:p>
      <w:pPr>
        <w:pStyle w:val="Heading2"/>
        <w:bidi/>
        <w:spacing w:after="160" w:before="280"/>
        <w:jc w:val="right"/>
      </w:pPr>
      <w:r>
        <w:rPr>
          <w:rFonts w:ascii="Arial" w:cs="Arial" w:eastAsia="Arial" w:hAnsi="Arial"/>
          <w:b/>
          <w:bCs/>
          <w:color w:val="2E75B6"/>
          <w:sz w:val="30"/>
          <w:szCs w:val="30"/>
          <w:rtl/>
        </w:rPr>
        <w:t xml:space="preserve">المراجع والمصادر</w:t>
      </w:r>
    </w:p>
    <w:p>
      <w:pPr>
        <w:pStyle w:val="ListParagraph"/>
        <w:numPr>
          <w:ilvl w:val="0"/>
          <w:numId w:val="2"/>
        </w:numPr>
        <w:bidi/>
        <w:spacing w:after="100" w:line="300"/>
        <w:jc w:val="right"/>
      </w:pPr>
      <w:r>
        <w:rPr>
          <w:rFonts w:ascii="Arial" w:cs="Arial" w:eastAsia="Arial" w:hAnsi="Arial"/>
          <w:sz w:val="24"/>
          <w:szCs w:val="24"/>
          <w:rtl/>
        </w:rPr>
        <w:t xml:space="preserve">نظام السوق المالية الصادر بالمرسوم الملكي رقم (م/30) ولوائحه التنفيذية.</w:t>
      </w:r>
    </w:p>
    <w:p>
      <w:pPr>
        <w:pStyle w:val="ListParagraph"/>
        <w:numPr>
          <w:ilvl w:val="0"/>
          <w:numId w:val="2"/>
        </w:numPr>
        <w:bidi/>
        <w:spacing w:after="100" w:line="300"/>
        <w:jc w:val="right"/>
      </w:pPr>
      <w:r>
        <w:rPr>
          <w:rFonts w:ascii="Arial" w:cs="Arial" w:eastAsia="Arial" w:hAnsi="Arial"/>
          <w:sz w:val="24"/>
          <w:szCs w:val="24"/>
          <w:rtl/>
        </w:rPr>
        <w:t xml:space="preserve">قواعد طرح الأوراق المالية والالتزامات المستمرة، هيئة السوق المالية.</w:t>
      </w:r>
    </w:p>
    <w:p>
      <w:pPr>
        <w:pStyle w:val="ListParagraph"/>
        <w:numPr>
          <w:ilvl w:val="0"/>
          <w:numId w:val="2"/>
        </w:numPr>
        <w:bidi/>
        <w:spacing w:after="100" w:line="300"/>
        <w:jc w:val="right"/>
      </w:pPr>
      <w:r>
        <w:rPr>
          <w:rFonts w:ascii="Arial" w:cs="Arial" w:eastAsia="Arial" w:hAnsi="Arial"/>
          <w:sz w:val="24"/>
          <w:szCs w:val="24"/>
          <w:rtl/>
        </w:rPr>
        <w:t xml:space="preserve">لائحة حوكمة الشركات، هيئة السوق المالية السعودية.</w:t>
      </w:r>
    </w:p>
    <w:p>
      <w:pPr>
        <w:pStyle w:val="ListParagraph"/>
        <w:numPr>
          <w:ilvl w:val="0"/>
          <w:numId w:val="2"/>
        </w:numPr>
        <w:bidi/>
        <w:spacing w:after="100" w:line="300"/>
        <w:jc w:val="right"/>
      </w:pPr>
      <w:r>
        <w:rPr>
          <w:rFonts w:ascii="Arial" w:cs="Arial" w:eastAsia="Arial" w:hAnsi="Arial"/>
          <w:sz w:val="24"/>
          <w:szCs w:val="24"/>
          <w:rtl/>
        </w:rPr>
        <w:t xml:space="preserve">لائحة الأشخاص ذوي العلاقة، هيئة السوق المالية.</w:t>
      </w:r>
    </w:p>
    <w:p>
      <w:pPr>
        <w:pStyle w:val="ListParagraph"/>
        <w:numPr>
          <w:ilvl w:val="0"/>
          <w:numId w:val="2"/>
        </w:numPr>
        <w:bidi/>
        <w:spacing w:after="100" w:line="300"/>
        <w:jc w:val="right"/>
      </w:pPr>
      <w:r>
        <w:rPr>
          <w:rFonts w:ascii="Arial" w:cs="Arial" w:eastAsia="Arial" w:hAnsi="Arial"/>
          <w:sz w:val="24"/>
          <w:szCs w:val="24"/>
          <w:rtl/>
        </w:rPr>
        <w:t xml:space="preserve">قواعد الاستحواذ والاندماج، هيئة السوق المالية.</w:t>
      </w:r>
    </w:p>
    <w:p>
      <w:pPr>
        <w:pStyle w:val="ListParagraph"/>
        <w:numPr>
          <w:ilvl w:val="0"/>
          <w:numId w:val="2"/>
        </w:numPr>
        <w:bidi/>
        <w:spacing w:after="100" w:line="300"/>
        <w:jc w:val="right"/>
      </w:pPr>
      <w:r>
        <w:rPr>
          <w:rFonts w:ascii="Arial" w:cs="Arial" w:eastAsia="Arial" w:hAnsi="Arial"/>
          <w:sz w:val="24"/>
          <w:szCs w:val="24"/>
          <w:rtl/>
        </w:rPr>
        <w:t xml:space="preserve">لائحة سلوك السوق، هيئة السوق المالية.</w:t>
      </w:r>
    </w:p>
    <w:p>
      <w:pPr>
        <w:pStyle w:val="ListParagraph"/>
        <w:numPr>
          <w:ilvl w:val="0"/>
          <w:numId w:val="2"/>
        </w:numPr>
        <w:bidi/>
        <w:spacing w:after="100" w:line="300"/>
        <w:jc w:val="right"/>
      </w:pPr>
      <w:r>
        <w:rPr>
          <w:rFonts w:ascii="Arial" w:cs="Arial" w:eastAsia="Arial" w:hAnsi="Arial"/>
          <w:sz w:val="24"/>
          <w:szCs w:val="24"/>
          <w:rtl/>
        </w:rPr>
        <w:t xml:space="preserve">الموقع الرسمي لمنصة "تداول" - saudiexchange.sa</w:t>
      </w:r>
    </w:p>
    <w:p>
      <w:pPr>
        <w:pStyle w:val="ListParagraph"/>
        <w:numPr>
          <w:ilvl w:val="0"/>
          <w:numId w:val="2"/>
        </w:numPr>
        <w:bidi/>
        <w:spacing w:after="100" w:line="300"/>
        <w:jc w:val="right"/>
      </w:pPr>
      <w:r>
        <w:rPr>
          <w:rFonts w:ascii="Arial" w:cs="Arial" w:eastAsia="Arial" w:hAnsi="Arial"/>
          <w:sz w:val="24"/>
          <w:szCs w:val="24"/>
          <w:rtl/>
        </w:rPr>
        <w:t xml:space="preserve">الموقع الرسمي لشركة مركز إيداع الأوراق المالية (إيداع).</w:t>
      </w:r>
    </w:p>
    <w:p>
      <w:pPr>
        <w:pStyle w:val="ListParagraph"/>
        <w:numPr>
          <w:ilvl w:val="0"/>
          <w:numId w:val="2"/>
        </w:numPr>
        <w:bidi/>
        <w:spacing w:after="100" w:line="300"/>
        <w:jc w:val="right"/>
      </w:pPr>
      <w:r>
        <w:rPr>
          <w:rFonts w:ascii="Arial" w:cs="Arial" w:eastAsia="Arial" w:hAnsi="Arial"/>
          <w:sz w:val="24"/>
          <w:szCs w:val="24"/>
          <w:rtl/>
        </w:rPr>
        <w:t xml:space="preserve">مبادئ منظمة التعاون الاقتصادي والتنمية للإفصاح والشفافية.</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الصفحة </w:t>
      <w:fldChar w:fldCharType="begin"/>
      <w:instrText xml:space="preserve">PAGE</w:instrText>
      <w:fldChar w:fldCharType="separate"/>
      <w:fldChar w:fldCharType="end"/>
      <w:t xml:space="preserve"> من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bidi/>
      <w:jc w:val="center"/>
    </w:pPr>
    <w:r>
      <w:rPr>
        <w:rFonts w:ascii="Arial" w:cs="Arial" w:eastAsia="Arial" w:hAnsi="Arial"/>
        <w:i/>
        <w:iCs/>
        <w:color w:val="808080"/>
        <w:sz w:val="18"/>
        <w:szCs w:val="18"/>
        <w:rtl/>
      </w:rPr>
      <w:t xml:space="preserve">التقارير والإفصاحات | حوكمة الشركات</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720" w:hanging="360"/>
      </w:pPr>
    </w:lvl>
    <w:lvl w:ilvl="1" w15:tentative="1">
      <w:start w:val="1"/>
      <w:numFmt w:val="bullet"/>
      <w:lvlText w:val="◦"/>
      <w:lvlJc w:val="right"/>
      <w:pPr>
        <w:ind w:right="1080" w:hanging="360"/>
      </w:pPr>
    </w:lvl>
  </w:abstractNum>
  <w:abstractNum w:abstractNumId="3" w15:restartNumberingAfterBreak="0">
    <w:multiLevelType w:val="hybridMultilevel"/>
    <w:lvl w:ilvl="0" w15:tentative="1">
      <w:start w:val="1"/>
      <w:numFmt w:val="decimal"/>
      <w:lvlText w:val="%1."/>
      <w:lvlJc w:val="right"/>
      <w:pPr>
        <w:ind w:righ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التقارير والإفصاحات المتعلقة بالملكية</dc:title>
  <dc:creator>Corporate Governance Knowledge Base</dc:creator>
  <cp:lastModifiedBy>Un-named</cp:lastModifiedBy>
  <cp:revision>1</cp:revision>
  <dcterms:created xsi:type="dcterms:W3CDTF">2026-05-16T00:13:39.605Z</dcterms:created>
  <dcterms:modified xsi:type="dcterms:W3CDTF">2026-05-16T00:13:39.605Z</dcterms:modified>
</cp:coreProperties>
</file>

<file path=docProps/custom.xml><?xml version="1.0" encoding="utf-8"?>
<Properties xmlns="http://schemas.openxmlformats.org/officeDocument/2006/custom-properties" xmlns:vt="http://schemas.openxmlformats.org/officeDocument/2006/docPropsVTypes"/>
</file>