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الجمعيات العمومية للشركات المساهمة</w:t>
      </w:r>
    </w:p>
    <w:p>
      <w:pPr>
        <w:bidi/>
        <w:spacing w:after="400"/>
        <w:jc w:val="center"/>
      </w:pPr>
      <w:r>
        <w:rPr>
          <w:rFonts w:ascii="Arial" w:cs="Arial" w:eastAsia="Arial" w:hAnsi="Arial"/>
          <w:i/>
          <w:iCs/>
          <w:color w:val="2E75B6"/>
          <w:sz w:val="26"/>
          <w:szCs w:val="26"/>
          <w:rtl/>
        </w:rPr>
        <w:t xml:space="preserve">المفهوم، الأنواع، الأهمية، والدور في حوكمة الشركات</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تُعدّ الجمعية العمومية أعلى سلطة في الشركة المساهمة، وهي الجهاز الذي يجمع جميع المساهمين على اختلاف أحجام مساهماتهم، ليُعبّروا فيها عن إرادتهم الجماعية في إدارة شؤون الشركة الكبرى. ومن خلال هذه الجمعية تتخذ القرارات المصيرية التي تُحدد مسار الشركة - من اعتماد القوائم المالية، إلى انتخاب مجلس الإدارة، إلى تعديل النظام الأساس، إلى الموافقة على الاندماج والاستحواذ والتصفية.</w:t>
      </w:r>
    </w:p>
    <w:p>
      <w:pPr>
        <w:bidi/>
        <w:spacing w:after="140" w:line="320"/>
        <w:jc w:val="both"/>
      </w:pPr>
      <w:r>
        <w:rPr>
          <w:rFonts w:ascii="Arial" w:cs="Arial" w:eastAsia="Arial" w:hAnsi="Arial"/>
          <w:sz w:val="24"/>
          <w:szCs w:val="24"/>
          <w:rtl/>
        </w:rPr>
        <w:t xml:space="preserve">في النظام السعودي الجديد للشركات الصادر بالمرسوم الملكي رقم (م/132)، شهدت أحكام الجمعيات العمومية تطوراً جوهرياً يعكس التحول الاقتصادي الذي تعيشه المملكة في إطار رؤية 2030. فقد أصبحت الجمعيات أكثر مرونة، وأقلّ تعقيداً إجرائياً، وأكثر انفتاحاً على التقنيات الحديثة، مع الحفاظ على معايير صارمة لحماية حقوق المساهمين.</w:t>
      </w:r>
    </w:p>
    <w:p>
      <w:pPr>
        <w:bidi/>
        <w:spacing w:after="140" w:line="320"/>
        <w:jc w:val="both"/>
      </w:pPr>
      <w:r>
        <w:rPr>
          <w:rFonts w:ascii="Arial" w:cs="Arial" w:eastAsia="Arial" w:hAnsi="Arial"/>
          <w:sz w:val="24"/>
          <w:szCs w:val="24"/>
          <w:rtl/>
        </w:rPr>
        <w:t xml:space="preserve">في هذا المقال - وهو الأول من سلسلة متكاملة عن إدارة الجمعيات العمومية - نتناول المفاهيم الأساسية: ما هي الجمعية العمومية، ما هي أنواعها، ما هي أهميتها، ومن يحضرها، وما هي الفروق الجوهرية بين أنواعها، مع توضيح موقع الجمعية في هرم حوكمة الشركة.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تعريف الجمعية العمومية</w:t>
      </w:r>
    </w:p>
    <w:p>
      <w:pPr>
        <w:pStyle w:val="Heading2"/>
        <w:bidi/>
        <w:spacing w:after="160" w:before="280"/>
        <w:jc w:val="right"/>
      </w:pPr>
      <w:r>
        <w:rPr>
          <w:rFonts w:ascii="Arial" w:cs="Arial" w:eastAsia="Arial" w:hAnsi="Arial"/>
          <w:b/>
          <w:bCs/>
          <w:color w:val="2E75B6"/>
          <w:sz w:val="30"/>
          <w:szCs w:val="30"/>
          <w:rtl/>
        </w:rPr>
        <w:t xml:space="preserve">التعريف القانوني</w:t>
      </w:r>
    </w:p>
    <w:p>
      <w:pPr>
        <w:bidi/>
        <w:spacing w:after="140" w:line="320"/>
        <w:jc w:val="both"/>
      </w:pPr>
      <w:r>
        <w:rPr>
          <w:rFonts w:ascii="Arial" w:cs="Arial" w:eastAsia="Arial" w:hAnsi="Arial"/>
          <w:sz w:val="24"/>
          <w:szCs w:val="24"/>
          <w:rtl/>
        </w:rPr>
        <w:t xml:space="preserve">الجمعية العمومية هي اجتماع المساهمين في الشركة المساهمة، يُعقد وفق أحكام نظام الشركات والنظام الأساس للشركة، لمناقشة موضوعات تتعلق بالشركة واتخاذ قرارات بشأنها، تكون ملزمة لجميع المساهمين سواء حضروا أم لم يحضروا، صوّتوا لصالح القرار أم ضدّه.</w:t>
      </w:r>
    </w:p>
    <w:p>
      <w:pPr>
        <w:pStyle w:val="Heading2"/>
        <w:bidi/>
        <w:spacing w:after="160" w:before="280"/>
        <w:jc w:val="right"/>
      </w:pPr>
      <w:r>
        <w:rPr>
          <w:rFonts w:ascii="Arial" w:cs="Arial" w:eastAsia="Arial" w:hAnsi="Arial"/>
          <w:b/>
          <w:bCs/>
          <w:color w:val="2E75B6"/>
          <w:sz w:val="30"/>
          <w:szCs w:val="30"/>
          <w:rtl/>
        </w:rPr>
        <w:t xml:space="preserve">التعريف الوظيفي</w:t>
      </w:r>
    </w:p>
    <w:p>
      <w:pPr>
        <w:bidi/>
        <w:spacing w:after="140" w:line="320"/>
        <w:jc w:val="both"/>
      </w:pPr>
      <w:r>
        <w:rPr>
          <w:rFonts w:ascii="Arial" w:cs="Arial" w:eastAsia="Arial" w:hAnsi="Arial"/>
          <w:sz w:val="24"/>
          <w:szCs w:val="24"/>
          <w:rtl/>
        </w:rPr>
        <w:t xml:space="preserve">من منظور وظيفي، يمكن النظر إلى الجمعية العمومية باعتبارها:</w:t>
      </w:r>
    </w:p>
    <w:p>
      <w:pPr>
        <w:pStyle w:val="ListParagraph"/>
        <w:numPr>
          <w:ilvl w:val="0"/>
          <w:numId w:val="2"/>
        </w:numPr>
        <w:bidi/>
        <w:spacing w:after="100" w:line="300"/>
        <w:jc w:val="right"/>
      </w:pPr>
      <w:r>
        <w:rPr>
          <w:rFonts w:ascii="Arial" w:cs="Arial" w:eastAsia="Arial" w:hAnsi="Arial"/>
          <w:b/>
          <w:bCs/>
          <w:color w:val="1F4E79"/>
          <w:sz w:val="24"/>
          <w:szCs w:val="24"/>
          <w:rtl/>
        </w:rPr>
        <w:t xml:space="preserve">السلطة العليا: </w:t>
      </w:r>
      <w:r>
        <w:rPr>
          <w:rFonts w:ascii="Arial" w:cs="Arial" w:eastAsia="Arial" w:hAnsi="Arial"/>
          <w:sz w:val="24"/>
          <w:szCs w:val="24"/>
          <w:rtl/>
        </w:rPr>
        <w:t xml:space="preserve">أعلى سلطة تشريعية وإشرافية في الشركة، تعلو على مجلس الإدارة والإدارة التنفيذية.</w:t>
      </w:r>
    </w:p>
    <w:p>
      <w:pPr>
        <w:pStyle w:val="ListParagraph"/>
        <w:numPr>
          <w:ilvl w:val="0"/>
          <w:numId w:val="2"/>
        </w:numPr>
        <w:bidi/>
        <w:spacing w:after="100" w:line="300"/>
        <w:jc w:val="right"/>
      </w:pPr>
      <w:r>
        <w:rPr>
          <w:rFonts w:ascii="Arial" w:cs="Arial" w:eastAsia="Arial" w:hAnsi="Arial"/>
          <w:b/>
          <w:bCs/>
          <w:color w:val="1F4E79"/>
          <w:sz w:val="24"/>
          <w:szCs w:val="24"/>
          <w:rtl/>
        </w:rPr>
        <w:t xml:space="preserve">الأداة الديمقراطية: </w:t>
      </w:r>
      <w:r>
        <w:rPr>
          <w:rFonts w:ascii="Arial" w:cs="Arial" w:eastAsia="Arial" w:hAnsi="Arial"/>
          <w:sz w:val="24"/>
          <w:szCs w:val="24"/>
          <w:rtl/>
        </w:rPr>
        <w:t xml:space="preserve">الوسيلة التي يُمارس المساهمون من خلالها حقوقهم في إدارة الشركة بشكل جماعي ومنظم.</w:t>
      </w:r>
    </w:p>
    <w:p>
      <w:pPr>
        <w:pStyle w:val="ListParagraph"/>
        <w:numPr>
          <w:ilvl w:val="0"/>
          <w:numId w:val="2"/>
        </w:numPr>
        <w:bidi/>
        <w:spacing w:after="100" w:line="300"/>
        <w:jc w:val="right"/>
      </w:pPr>
      <w:r>
        <w:rPr>
          <w:rFonts w:ascii="Arial" w:cs="Arial" w:eastAsia="Arial" w:hAnsi="Arial"/>
          <w:b/>
          <w:bCs/>
          <w:color w:val="1F4E79"/>
          <w:sz w:val="24"/>
          <w:szCs w:val="24"/>
          <w:rtl/>
        </w:rPr>
        <w:t xml:space="preserve">الجهة الرقابية: </w:t>
      </w:r>
      <w:r>
        <w:rPr>
          <w:rFonts w:ascii="Arial" w:cs="Arial" w:eastAsia="Arial" w:hAnsi="Arial"/>
          <w:sz w:val="24"/>
          <w:szCs w:val="24"/>
          <w:rtl/>
        </w:rPr>
        <w:t xml:space="preserve">الجهاز الذي يُحاسب مجلس الإدارة عن أدائه ويُقيّم نتائج عمله السنوي.</w:t>
      </w:r>
    </w:p>
    <w:p>
      <w:pPr>
        <w:pStyle w:val="ListParagraph"/>
        <w:numPr>
          <w:ilvl w:val="0"/>
          <w:numId w:val="2"/>
        </w:numPr>
        <w:bidi/>
        <w:spacing w:after="100" w:line="300"/>
        <w:jc w:val="right"/>
      </w:pPr>
      <w:r>
        <w:rPr>
          <w:rFonts w:ascii="Arial" w:cs="Arial" w:eastAsia="Arial" w:hAnsi="Arial"/>
          <w:b/>
          <w:bCs/>
          <w:color w:val="1F4E79"/>
          <w:sz w:val="24"/>
          <w:szCs w:val="24"/>
          <w:rtl/>
        </w:rPr>
        <w:t xml:space="preserve">الإطار الإلزامي: </w:t>
      </w:r>
      <w:r>
        <w:rPr>
          <w:rFonts w:ascii="Arial" w:cs="Arial" w:eastAsia="Arial" w:hAnsi="Arial"/>
          <w:sz w:val="24"/>
          <w:szCs w:val="24"/>
          <w:rtl/>
        </w:rPr>
        <w:t xml:space="preserve">قراراتها ملزمة قانونياً لجميع المساهمين والإدارة معاً.</w:t>
      </w:r>
    </w:p>
    <w:p>
      <w:pPr>
        <w:pStyle w:val="Heading2"/>
        <w:bidi/>
        <w:spacing w:after="160" w:before="280"/>
        <w:jc w:val="right"/>
      </w:pPr>
      <w:r>
        <w:rPr>
          <w:rFonts w:ascii="Arial" w:cs="Arial" w:eastAsia="Arial" w:hAnsi="Arial"/>
          <w:b/>
          <w:bCs/>
          <w:color w:val="2E75B6"/>
          <w:sz w:val="30"/>
          <w:szCs w:val="30"/>
          <w:rtl/>
        </w:rPr>
        <w:t xml:space="preserve">الأركان الأساسية للجمعية</w:t>
      </w:r>
    </w:p>
    <w:p>
      <w:pPr>
        <w:bidi/>
        <w:spacing w:after="140" w:line="320"/>
        <w:jc w:val="both"/>
      </w:pPr>
      <w:r>
        <w:rPr>
          <w:rFonts w:ascii="Arial" w:cs="Arial" w:eastAsia="Arial" w:hAnsi="Arial"/>
          <w:sz w:val="24"/>
          <w:szCs w:val="24"/>
          <w:rtl/>
        </w:rPr>
        <w:t xml:space="preserve">لكي يُعدّ الاجتماع جمعية عمومية معتبرة قانونياً، يجب توفر عدة أركان:</w:t>
      </w:r>
    </w:p>
    <w:p>
      <w:pPr>
        <w:pStyle w:val="ListParagraph"/>
        <w:numPr>
          <w:ilvl w:val="0"/>
          <w:numId w:val="3"/>
        </w:numPr>
        <w:bidi/>
        <w:spacing w:after="100" w:line="300"/>
        <w:jc w:val="right"/>
      </w:pPr>
      <w:r>
        <w:rPr>
          <w:rFonts w:ascii="Arial" w:cs="Arial" w:eastAsia="Arial" w:hAnsi="Arial"/>
          <w:sz w:val="24"/>
          <w:szCs w:val="24"/>
          <w:rtl/>
        </w:rPr>
        <w:t xml:space="preserve">الدعوة الرسمية: صدور دعوة من الجهة المخولة (مجلس الإدارة في الغالب) وفق الإجراءات النظامية.</w:t>
      </w:r>
    </w:p>
    <w:p>
      <w:pPr>
        <w:pStyle w:val="ListParagraph"/>
        <w:numPr>
          <w:ilvl w:val="0"/>
          <w:numId w:val="3"/>
        </w:numPr>
        <w:bidi/>
        <w:spacing w:after="100" w:line="300"/>
        <w:jc w:val="right"/>
      </w:pPr>
      <w:r>
        <w:rPr>
          <w:rFonts w:ascii="Arial" w:cs="Arial" w:eastAsia="Arial" w:hAnsi="Arial"/>
          <w:sz w:val="24"/>
          <w:szCs w:val="24"/>
          <w:rtl/>
        </w:rPr>
        <w:t xml:space="preserve">النصاب القانوني: حضور النسبة المطلوبة من المساهمين أو من يمثلهم.</w:t>
      </w:r>
    </w:p>
    <w:p>
      <w:pPr>
        <w:pStyle w:val="ListParagraph"/>
        <w:numPr>
          <w:ilvl w:val="0"/>
          <w:numId w:val="3"/>
        </w:numPr>
        <w:bidi/>
        <w:spacing w:after="100" w:line="300"/>
        <w:jc w:val="right"/>
      </w:pPr>
      <w:r>
        <w:rPr>
          <w:rFonts w:ascii="Arial" w:cs="Arial" w:eastAsia="Arial" w:hAnsi="Arial"/>
          <w:sz w:val="24"/>
          <w:szCs w:val="24"/>
          <w:rtl/>
        </w:rPr>
        <w:t xml:space="preserve">جدول الأعمال: تحديد الموضوعات المعروضة للنقاش والتصويت مسبقاً.</w:t>
      </w:r>
    </w:p>
    <w:p>
      <w:pPr>
        <w:pStyle w:val="ListParagraph"/>
        <w:numPr>
          <w:ilvl w:val="0"/>
          <w:numId w:val="3"/>
        </w:numPr>
        <w:bidi/>
        <w:spacing w:after="100" w:line="300"/>
        <w:jc w:val="right"/>
      </w:pPr>
      <w:r>
        <w:rPr>
          <w:rFonts w:ascii="Arial" w:cs="Arial" w:eastAsia="Arial" w:hAnsi="Arial"/>
          <w:sz w:val="24"/>
          <w:szCs w:val="24"/>
          <w:rtl/>
        </w:rPr>
        <w:t xml:space="preserve">التصويت: ممارسة المساهمين لحق التصويت وفق إجراءات منظمة.</w:t>
      </w:r>
    </w:p>
    <w:p>
      <w:pPr>
        <w:pStyle w:val="ListParagraph"/>
        <w:numPr>
          <w:ilvl w:val="0"/>
          <w:numId w:val="3"/>
        </w:numPr>
        <w:bidi/>
        <w:spacing w:after="100" w:line="300"/>
        <w:jc w:val="right"/>
      </w:pPr>
      <w:r>
        <w:rPr>
          <w:rFonts w:ascii="Arial" w:cs="Arial" w:eastAsia="Arial" w:hAnsi="Arial"/>
          <w:sz w:val="24"/>
          <w:szCs w:val="24"/>
          <w:rtl/>
        </w:rPr>
        <w:t xml:space="preserve">المحضر: توثيق رسمي لما دار في الاجتماع والقرارات الصادرة عنه.</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أهمية الجمعية العمومية</w:t>
      </w:r>
    </w:p>
    <w:p>
      <w:pPr>
        <w:bidi/>
        <w:spacing w:after="140" w:line="320"/>
        <w:jc w:val="both"/>
      </w:pPr>
      <w:r>
        <w:rPr>
          <w:rFonts w:ascii="Arial" w:cs="Arial" w:eastAsia="Arial" w:hAnsi="Arial"/>
          <w:sz w:val="24"/>
          <w:szCs w:val="24"/>
          <w:rtl/>
        </w:rPr>
        <w:t xml:space="preserve">تستمد الجمعية العمومية أهميتها من كونها الجهاز الذي يُجسّد الديمقراطية في إدارة الشركة، ويُحقق التوازن بين مصالح الأطراف المختلفة. ويمكن إبراز أهميتها من عدة زوايا:</w:t>
      </w:r>
    </w:p>
    <w:p>
      <w:pPr>
        <w:pStyle w:val="Heading2"/>
        <w:bidi/>
        <w:spacing w:after="160" w:before="280"/>
        <w:jc w:val="right"/>
      </w:pPr>
      <w:r>
        <w:rPr>
          <w:rFonts w:ascii="Arial" w:cs="Arial" w:eastAsia="Arial" w:hAnsi="Arial"/>
          <w:b/>
          <w:bCs/>
          <w:color w:val="2E75B6"/>
          <w:sz w:val="30"/>
          <w:szCs w:val="30"/>
          <w:rtl/>
        </w:rPr>
        <w:t xml:space="preserve">1. الأهمية القانونية</w:t>
      </w:r>
    </w:p>
    <w:p>
      <w:pPr>
        <w:bidi/>
        <w:spacing w:after="140" w:line="320"/>
        <w:jc w:val="both"/>
      </w:pPr>
      <w:r>
        <w:rPr>
          <w:rFonts w:ascii="Arial" w:cs="Arial" w:eastAsia="Arial" w:hAnsi="Arial"/>
          <w:sz w:val="24"/>
          <w:szCs w:val="24"/>
          <w:rtl/>
        </w:rPr>
        <w:t xml:space="preserve">تُعدّ قرارات الجمعية العمومية مصدراً للحقوق والالتزامات في الشركة. فمن خلالها:</w:t>
      </w:r>
    </w:p>
    <w:p>
      <w:pPr>
        <w:pStyle w:val="ListParagraph"/>
        <w:numPr>
          <w:ilvl w:val="0"/>
          <w:numId w:val="3"/>
        </w:numPr>
        <w:bidi/>
        <w:spacing w:after="100" w:line="300"/>
        <w:jc w:val="right"/>
      </w:pPr>
      <w:r>
        <w:rPr>
          <w:rFonts w:ascii="Arial" w:cs="Arial" w:eastAsia="Arial" w:hAnsi="Arial"/>
          <w:sz w:val="24"/>
          <w:szCs w:val="24"/>
          <w:rtl/>
        </w:rPr>
        <w:t xml:space="preserve">يُعتمد النظام الأساس للشركة وتعديلاته.</w:t>
      </w:r>
    </w:p>
    <w:p>
      <w:pPr>
        <w:pStyle w:val="ListParagraph"/>
        <w:numPr>
          <w:ilvl w:val="0"/>
          <w:numId w:val="3"/>
        </w:numPr>
        <w:bidi/>
        <w:spacing w:after="100" w:line="300"/>
        <w:jc w:val="right"/>
      </w:pPr>
      <w:r>
        <w:rPr>
          <w:rFonts w:ascii="Arial" w:cs="Arial" w:eastAsia="Arial" w:hAnsi="Arial"/>
          <w:sz w:val="24"/>
          <w:szCs w:val="24"/>
          <w:rtl/>
        </w:rPr>
        <w:t xml:space="preserve">تُقرّ القوائم المالية ويُبرأ ذمة أعضاء مجلس الإدارة.</w:t>
      </w:r>
    </w:p>
    <w:p>
      <w:pPr>
        <w:pStyle w:val="ListParagraph"/>
        <w:numPr>
          <w:ilvl w:val="0"/>
          <w:numId w:val="3"/>
        </w:numPr>
        <w:bidi/>
        <w:spacing w:after="100" w:line="300"/>
        <w:jc w:val="right"/>
      </w:pPr>
      <w:r>
        <w:rPr>
          <w:rFonts w:ascii="Arial" w:cs="Arial" w:eastAsia="Arial" w:hAnsi="Arial"/>
          <w:sz w:val="24"/>
          <w:szCs w:val="24"/>
          <w:rtl/>
        </w:rPr>
        <w:t xml:space="preserve">تُعيّن وتُعزل أعضاء مجلس الإدارة ومراجع الحسابات.</w:t>
      </w:r>
    </w:p>
    <w:p>
      <w:pPr>
        <w:pStyle w:val="ListParagraph"/>
        <w:numPr>
          <w:ilvl w:val="0"/>
          <w:numId w:val="3"/>
        </w:numPr>
        <w:bidi/>
        <w:spacing w:after="100" w:line="300"/>
        <w:jc w:val="right"/>
      </w:pPr>
      <w:r>
        <w:rPr>
          <w:rFonts w:ascii="Arial" w:cs="Arial" w:eastAsia="Arial" w:hAnsi="Arial"/>
          <w:sz w:val="24"/>
          <w:szCs w:val="24"/>
          <w:rtl/>
        </w:rPr>
        <w:t xml:space="preserve">تُحدد سياسات توزيع الأرباح.</w:t>
      </w:r>
    </w:p>
    <w:p>
      <w:pPr>
        <w:pStyle w:val="ListParagraph"/>
        <w:numPr>
          <w:ilvl w:val="0"/>
          <w:numId w:val="3"/>
        </w:numPr>
        <w:bidi/>
        <w:spacing w:after="100" w:line="300"/>
        <w:jc w:val="right"/>
      </w:pPr>
      <w:r>
        <w:rPr>
          <w:rFonts w:ascii="Arial" w:cs="Arial" w:eastAsia="Arial" w:hAnsi="Arial"/>
          <w:sz w:val="24"/>
          <w:szCs w:val="24"/>
          <w:rtl/>
        </w:rPr>
        <w:t xml:space="preserve">تُتخذ قرارات الاندماج والاستحواذ والتصفية.</w:t>
      </w:r>
    </w:p>
    <w:p>
      <w:pPr>
        <w:pStyle w:val="Heading2"/>
        <w:bidi/>
        <w:spacing w:after="160" w:before="280"/>
        <w:jc w:val="right"/>
      </w:pPr>
      <w:r>
        <w:rPr>
          <w:rFonts w:ascii="Arial" w:cs="Arial" w:eastAsia="Arial" w:hAnsi="Arial"/>
          <w:b/>
          <w:bCs/>
          <w:color w:val="2E75B6"/>
          <w:sz w:val="30"/>
          <w:szCs w:val="30"/>
          <w:rtl/>
        </w:rPr>
        <w:t xml:space="preserve">2. الأهمية الحوكمية</w:t>
      </w:r>
    </w:p>
    <w:p>
      <w:pPr>
        <w:bidi/>
        <w:spacing w:after="140" w:line="320"/>
        <w:jc w:val="both"/>
      </w:pPr>
      <w:r>
        <w:rPr>
          <w:rFonts w:ascii="Arial" w:cs="Arial" w:eastAsia="Arial" w:hAnsi="Arial"/>
          <w:sz w:val="24"/>
          <w:szCs w:val="24"/>
          <w:rtl/>
        </w:rPr>
        <w:t xml:space="preserve">الجمعية هي الأداة الرئيسية لتطبيق مبادئ الحوكمة الرشيدة:</w:t>
      </w:r>
    </w:p>
    <w:p>
      <w:pPr>
        <w:pStyle w:val="ListParagraph"/>
        <w:numPr>
          <w:ilvl w:val="0"/>
          <w:numId w:val="3"/>
        </w:numPr>
        <w:bidi/>
        <w:spacing w:after="100" w:line="300"/>
        <w:jc w:val="right"/>
      </w:pPr>
      <w:r>
        <w:rPr>
          <w:rFonts w:ascii="Arial" w:cs="Arial" w:eastAsia="Arial" w:hAnsi="Arial"/>
          <w:sz w:val="24"/>
          <w:szCs w:val="24"/>
          <w:rtl/>
        </w:rPr>
        <w:t xml:space="preserve">تُحقق المساءلة: محاسبة الإدارة على أدائها.</w:t>
      </w:r>
    </w:p>
    <w:p>
      <w:pPr>
        <w:pStyle w:val="ListParagraph"/>
        <w:numPr>
          <w:ilvl w:val="0"/>
          <w:numId w:val="3"/>
        </w:numPr>
        <w:bidi/>
        <w:spacing w:after="100" w:line="300"/>
        <w:jc w:val="right"/>
      </w:pPr>
      <w:r>
        <w:rPr>
          <w:rFonts w:ascii="Arial" w:cs="Arial" w:eastAsia="Arial" w:hAnsi="Arial"/>
          <w:sz w:val="24"/>
          <w:szCs w:val="24"/>
          <w:rtl/>
        </w:rPr>
        <w:t xml:space="preserve">تُعزز الشفافية: إتاحة المعلومات للمساهمين.</w:t>
      </w:r>
    </w:p>
    <w:p>
      <w:pPr>
        <w:pStyle w:val="ListParagraph"/>
        <w:numPr>
          <w:ilvl w:val="0"/>
          <w:numId w:val="3"/>
        </w:numPr>
        <w:bidi/>
        <w:spacing w:after="100" w:line="300"/>
        <w:jc w:val="right"/>
      </w:pPr>
      <w:r>
        <w:rPr>
          <w:rFonts w:ascii="Arial" w:cs="Arial" w:eastAsia="Arial" w:hAnsi="Arial"/>
          <w:sz w:val="24"/>
          <w:szCs w:val="24"/>
          <w:rtl/>
        </w:rPr>
        <w:t xml:space="preserve">تضمن الإنصاف: المعاملة المتساوية للمساهمين.</w:t>
      </w:r>
    </w:p>
    <w:p>
      <w:pPr>
        <w:pStyle w:val="ListParagraph"/>
        <w:numPr>
          <w:ilvl w:val="0"/>
          <w:numId w:val="3"/>
        </w:numPr>
        <w:bidi/>
        <w:spacing w:after="100" w:line="300"/>
        <w:jc w:val="right"/>
      </w:pPr>
      <w:r>
        <w:rPr>
          <w:rFonts w:ascii="Arial" w:cs="Arial" w:eastAsia="Arial" w:hAnsi="Arial"/>
          <w:sz w:val="24"/>
          <w:szCs w:val="24"/>
          <w:rtl/>
        </w:rPr>
        <w:t xml:space="preserve">تُكرّس المسؤولية: توضيح مسؤوليات كل طرف.</w:t>
      </w:r>
    </w:p>
    <w:p>
      <w:pPr>
        <w:pStyle w:val="Heading2"/>
        <w:bidi/>
        <w:spacing w:after="160" w:before="280"/>
        <w:jc w:val="right"/>
      </w:pPr>
      <w:r>
        <w:rPr>
          <w:rFonts w:ascii="Arial" w:cs="Arial" w:eastAsia="Arial" w:hAnsi="Arial"/>
          <w:b/>
          <w:bCs/>
          <w:color w:val="2E75B6"/>
          <w:sz w:val="30"/>
          <w:szCs w:val="30"/>
          <w:rtl/>
        </w:rPr>
        <w:t xml:space="preserve">3. الأهمية الاقتصادية</w:t>
      </w:r>
    </w:p>
    <w:p>
      <w:pPr>
        <w:bidi/>
        <w:spacing w:after="140" w:line="320"/>
        <w:jc w:val="both"/>
      </w:pPr>
      <w:r>
        <w:rPr>
          <w:rFonts w:ascii="Arial" w:cs="Arial" w:eastAsia="Arial" w:hAnsi="Arial"/>
          <w:sz w:val="24"/>
          <w:szCs w:val="24"/>
          <w:rtl/>
        </w:rPr>
        <w:t xml:space="preserve">تترك قرارات الجمعية أثراً اقتصادياً عميقاً على:</w:t>
      </w:r>
    </w:p>
    <w:p>
      <w:pPr>
        <w:pStyle w:val="ListParagraph"/>
        <w:numPr>
          <w:ilvl w:val="0"/>
          <w:numId w:val="3"/>
        </w:numPr>
        <w:bidi/>
        <w:spacing w:after="100" w:line="300"/>
        <w:jc w:val="right"/>
      </w:pPr>
      <w:r>
        <w:rPr>
          <w:rFonts w:ascii="Arial" w:cs="Arial" w:eastAsia="Arial" w:hAnsi="Arial"/>
          <w:sz w:val="24"/>
          <w:szCs w:val="24"/>
          <w:rtl/>
        </w:rPr>
        <w:t xml:space="preserve">سعر السهم في السوق.</w:t>
      </w:r>
    </w:p>
    <w:p>
      <w:pPr>
        <w:pStyle w:val="ListParagraph"/>
        <w:numPr>
          <w:ilvl w:val="0"/>
          <w:numId w:val="3"/>
        </w:numPr>
        <w:bidi/>
        <w:spacing w:after="100" w:line="300"/>
        <w:jc w:val="right"/>
      </w:pPr>
      <w:r>
        <w:rPr>
          <w:rFonts w:ascii="Arial" w:cs="Arial" w:eastAsia="Arial" w:hAnsi="Arial"/>
          <w:sz w:val="24"/>
          <w:szCs w:val="24"/>
          <w:rtl/>
        </w:rPr>
        <w:t xml:space="preserve">جاذبية الشركة للاستثمار.</w:t>
      </w:r>
    </w:p>
    <w:p>
      <w:pPr>
        <w:pStyle w:val="ListParagraph"/>
        <w:numPr>
          <w:ilvl w:val="0"/>
          <w:numId w:val="3"/>
        </w:numPr>
        <w:bidi/>
        <w:spacing w:after="100" w:line="300"/>
        <w:jc w:val="right"/>
      </w:pPr>
      <w:r>
        <w:rPr>
          <w:rFonts w:ascii="Arial" w:cs="Arial" w:eastAsia="Arial" w:hAnsi="Arial"/>
          <w:sz w:val="24"/>
          <w:szCs w:val="24"/>
          <w:rtl/>
        </w:rPr>
        <w:t xml:space="preserve">تكلفة رأس المال.</w:t>
      </w:r>
    </w:p>
    <w:p>
      <w:pPr>
        <w:pStyle w:val="ListParagraph"/>
        <w:numPr>
          <w:ilvl w:val="0"/>
          <w:numId w:val="3"/>
        </w:numPr>
        <w:bidi/>
        <w:spacing w:after="100" w:line="300"/>
        <w:jc w:val="right"/>
      </w:pPr>
      <w:r>
        <w:rPr>
          <w:rFonts w:ascii="Arial" w:cs="Arial" w:eastAsia="Arial" w:hAnsi="Arial"/>
          <w:sz w:val="24"/>
          <w:szCs w:val="24"/>
          <w:rtl/>
        </w:rPr>
        <w:t xml:space="preserve">علاقات الشركة مع شركائها وعملائها.</w:t>
      </w:r>
    </w:p>
    <w:p>
      <w:pPr>
        <w:pStyle w:val="ListParagraph"/>
        <w:numPr>
          <w:ilvl w:val="0"/>
          <w:numId w:val="3"/>
        </w:numPr>
        <w:bidi/>
        <w:spacing w:after="100" w:line="300"/>
        <w:jc w:val="right"/>
      </w:pPr>
      <w:r>
        <w:rPr>
          <w:rFonts w:ascii="Arial" w:cs="Arial" w:eastAsia="Arial" w:hAnsi="Arial"/>
          <w:sz w:val="24"/>
          <w:szCs w:val="24"/>
          <w:rtl/>
        </w:rPr>
        <w:t xml:space="preserve">التصنيف الائتماني للشركة.</w:t>
      </w:r>
    </w:p>
    <w:p>
      <w:pPr>
        <w:pStyle w:val="Heading2"/>
        <w:bidi/>
        <w:spacing w:after="160" w:before="280"/>
        <w:jc w:val="right"/>
      </w:pPr>
      <w:r>
        <w:rPr>
          <w:rFonts w:ascii="Arial" w:cs="Arial" w:eastAsia="Arial" w:hAnsi="Arial"/>
          <w:b/>
          <w:bCs/>
          <w:color w:val="2E75B6"/>
          <w:sz w:val="30"/>
          <w:szCs w:val="30"/>
          <w:rtl/>
        </w:rPr>
        <w:t xml:space="preserve">4. الأهمية الاجتماعية</w:t>
      </w:r>
    </w:p>
    <w:p>
      <w:pPr>
        <w:bidi/>
        <w:spacing w:after="140" w:line="320"/>
        <w:jc w:val="both"/>
      </w:pPr>
      <w:r>
        <w:rPr>
          <w:rFonts w:ascii="Arial" w:cs="Arial" w:eastAsia="Arial" w:hAnsi="Arial"/>
          <w:sz w:val="24"/>
          <w:szCs w:val="24"/>
          <w:rtl/>
        </w:rPr>
        <w:t xml:space="preserve">للجمعية أبعاد اجتماعية يُغفل عنها أحياناً:</w:t>
      </w:r>
    </w:p>
    <w:p>
      <w:pPr>
        <w:pStyle w:val="ListParagraph"/>
        <w:numPr>
          <w:ilvl w:val="0"/>
          <w:numId w:val="3"/>
        </w:numPr>
        <w:bidi/>
        <w:spacing w:after="100" w:line="300"/>
        <w:jc w:val="right"/>
      </w:pPr>
      <w:r>
        <w:rPr>
          <w:rFonts w:ascii="Arial" w:cs="Arial" w:eastAsia="Arial" w:hAnsi="Arial"/>
          <w:sz w:val="24"/>
          <w:szCs w:val="24"/>
          <w:rtl/>
        </w:rPr>
        <w:t xml:space="preserve">تُحقق المشاركة: تمكين المساهمين من الإسهام في صنع القرار.</w:t>
      </w:r>
    </w:p>
    <w:p>
      <w:pPr>
        <w:pStyle w:val="ListParagraph"/>
        <w:numPr>
          <w:ilvl w:val="0"/>
          <w:numId w:val="3"/>
        </w:numPr>
        <w:bidi/>
        <w:spacing w:after="100" w:line="300"/>
        <w:jc w:val="right"/>
      </w:pPr>
      <w:r>
        <w:rPr>
          <w:rFonts w:ascii="Arial" w:cs="Arial" w:eastAsia="Arial" w:hAnsi="Arial"/>
          <w:sz w:val="24"/>
          <w:szCs w:val="24"/>
          <w:rtl/>
        </w:rPr>
        <w:t xml:space="preserve">تبني الثقة: ثقة المساهمين والمستثمرين والجمهور في الشركة.</w:t>
      </w:r>
    </w:p>
    <w:p>
      <w:pPr>
        <w:pStyle w:val="ListParagraph"/>
        <w:numPr>
          <w:ilvl w:val="0"/>
          <w:numId w:val="3"/>
        </w:numPr>
        <w:bidi/>
        <w:spacing w:after="100" w:line="300"/>
        <w:jc w:val="right"/>
      </w:pPr>
      <w:r>
        <w:rPr>
          <w:rFonts w:ascii="Arial" w:cs="Arial" w:eastAsia="Arial" w:hAnsi="Arial"/>
          <w:sz w:val="24"/>
          <w:szCs w:val="24"/>
          <w:rtl/>
        </w:rPr>
        <w:t xml:space="preserve">تُعزز الانتماء: شعور المساهمين بانتمائهم للشركة.</w:t>
      </w:r>
    </w:p>
    <w:p>
      <w:pPr>
        <w:pStyle w:val="ListParagraph"/>
        <w:numPr>
          <w:ilvl w:val="0"/>
          <w:numId w:val="3"/>
        </w:numPr>
        <w:bidi/>
        <w:spacing w:after="100" w:line="300"/>
        <w:jc w:val="right"/>
      </w:pPr>
      <w:r>
        <w:rPr>
          <w:rFonts w:ascii="Arial" w:cs="Arial" w:eastAsia="Arial" w:hAnsi="Arial"/>
          <w:sz w:val="24"/>
          <w:szCs w:val="24"/>
          <w:rtl/>
        </w:rPr>
        <w:t xml:space="preserve">تُسهم في التوعية المالية: تثقيف الجمهور بشؤون الاستثمار.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محورية</w:t>
            </w:r>
          </w:p>
          <w:p>
            <w:pPr>
              <w:bidi/>
              <w:spacing w:line="300"/>
              <w:jc w:val="both"/>
            </w:pPr>
            <w:r>
              <w:rPr>
                <w:rFonts w:ascii="Arial" w:cs="Arial" w:eastAsia="Arial" w:hAnsi="Arial"/>
                <w:sz w:val="24"/>
                <w:szCs w:val="24"/>
                <w:rtl/>
              </w:rPr>
              <w:t xml:space="preserve">تُظهر الدراسات أن الشركات التي تُولي اهتماماً جدياً بإدارة جمعياتها العمومية - من حيث التواصل المسبق، شفافية المعلومات، تيسير المشاركة، ووضوح القرارات - تحقق عوائد استثمارية أعلى وتقييماً أفضل في السوق، مقارنة بالشركات التي تتعامل مع الجمعيات بشكل شكلي وروتيني.</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أنواع الجمعيات في الشركات المساهمة</w:t>
      </w:r>
    </w:p>
    <w:p>
      <w:pPr>
        <w:bidi/>
        <w:spacing w:after="140" w:line="320"/>
        <w:jc w:val="both"/>
      </w:pPr>
      <w:r>
        <w:rPr>
          <w:rFonts w:ascii="Arial" w:cs="Arial" w:eastAsia="Arial" w:hAnsi="Arial"/>
          <w:sz w:val="24"/>
          <w:szCs w:val="24"/>
          <w:rtl/>
        </w:rPr>
        <w:t xml:space="preserve">وفقاً لنظام الشركات السعودي الجديد ولائحته التنفيذية، تنقسم جمعيات المساهمين في الشركة المساهمة إلى نوعين رئيسيين: الجمعيات العامة والجمعيات الخاصة. ومن الجمعيات العامة نوعان: العادية وغير العادية. ولكل نوع اختصاصاته وضوابطه التي سنفصلها تباعاً.</w:t>
      </w:r>
    </w:p>
    <w:p>
      <w:pPr>
        <w:pStyle w:val="Heading2"/>
        <w:bidi/>
        <w:spacing w:after="160" w:before="280"/>
        <w:jc w:val="right"/>
      </w:pPr>
      <w:r>
        <w:rPr>
          <w:rFonts w:ascii="Arial" w:cs="Arial" w:eastAsia="Arial" w:hAnsi="Arial"/>
          <w:b/>
          <w:bCs/>
          <w:color w:val="2E75B6"/>
          <w:sz w:val="30"/>
          <w:szCs w:val="30"/>
          <w:rtl/>
        </w:rPr>
        <w:t xml:space="preserve">1. الجمعية العامة العادية</w:t>
      </w:r>
    </w:p>
    <w:p>
      <w:pPr>
        <w:pStyle w:val="Heading3"/>
        <w:bidi/>
        <w:spacing w:after="120" w:before="200"/>
        <w:jc w:val="right"/>
      </w:pPr>
      <w:r>
        <w:rPr>
          <w:rFonts w:ascii="Arial" w:cs="Arial" w:eastAsia="Arial" w:hAnsi="Arial"/>
          <w:b/>
          <w:bCs/>
          <w:color w:val="1F4E79"/>
          <w:sz w:val="26"/>
          <w:szCs w:val="26"/>
          <w:rtl/>
        </w:rPr>
        <w:t xml:space="preserve">التعريف والسمات</w:t>
      </w:r>
    </w:p>
    <w:p>
      <w:pPr>
        <w:bidi/>
        <w:spacing w:after="140" w:line="320"/>
        <w:jc w:val="both"/>
      </w:pPr>
      <w:r>
        <w:rPr>
          <w:rFonts w:ascii="Arial" w:cs="Arial" w:eastAsia="Arial" w:hAnsi="Arial"/>
          <w:sz w:val="24"/>
          <w:szCs w:val="24"/>
          <w:rtl/>
        </w:rPr>
        <w:t xml:space="preserve">الجمعية العامة العادية هي الجمعية التي تُعقد بصورة دورية - مرة على الأقل في السنة - للنظر في الأمور الاعتيادية لسير الشركة، ولا تستوجب قراراتها أغلبية خاصة أو نصاباً مرتفعاً.</w:t>
      </w:r>
    </w:p>
    <w:p>
      <w:pPr>
        <w:pStyle w:val="Heading3"/>
        <w:bidi/>
        <w:spacing w:after="120" w:before="200"/>
        <w:jc w:val="right"/>
      </w:pPr>
      <w:r>
        <w:rPr>
          <w:rFonts w:ascii="Arial" w:cs="Arial" w:eastAsia="Arial" w:hAnsi="Arial"/>
          <w:b/>
          <w:bCs/>
          <w:color w:val="1F4E79"/>
          <w:sz w:val="26"/>
          <w:szCs w:val="26"/>
          <w:rtl/>
        </w:rPr>
        <w:t xml:space="preserve">توقيت الانعقاد</w:t>
      </w:r>
    </w:p>
    <w:p>
      <w:pPr>
        <w:bidi/>
        <w:spacing w:after="140" w:line="320"/>
        <w:jc w:val="both"/>
      </w:pPr>
      <w:r>
        <w:rPr>
          <w:rFonts w:ascii="Arial" w:cs="Arial" w:eastAsia="Arial" w:hAnsi="Arial"/>
          <w:sz w:val="24"/>
          <w:szCs w:val="24"/>
          <w:rtl/>
        </w:rPr>
        <w:t xml:space="preserve">بحسب المادة (88) من نظام الشركات الجديد، تنعقد الجمعية العامة العادية السنوية مرة على الأقل خلال الأشهر الستة التالية لانتهاء السنة المالية للشركة. ويجوز دعوة جمعيات عامة عادية أخرى كلما دعت الحاجة. ويُلاحظ هنا تطور مهم: يتحقق متطلب انعقاد الجمعية العادية السنوية بانعقاد جمعية عامة غير عادية خلال الأشهر الستة التالية - مما يدل على المرونة الجديدة في النظام.</w:t>
      </w:r>
    </w:p>
    <w:p>
      <w:pPr>
        <w:pStyle w:val="Heading3"/>
        <w:bidi/>
        <w:spacing w:after="120" w:before="200"/>
        <w:jc w:val="right"/>
      </w:pPr>
      <w:r>
        <w:rPr>
          <w:rFonts w:ascii="Arial" w:cs="Arial" w:eastAsia="Arial" w:hAnsi="Arial"/>
          <w:b/>
          <w:bCs/>
          <w:color w:val="1F4E79"/>
          <w:sz w:val="26"/>
          <w:szCs w:val="26"/>
          <w:rtl/>
        </w:rPr>
        <w:t xml:space="preserve">أبرز اختصاصاتها</w:t>
      </w:r>
    </w:p>
    <w:p>
      <w:pPr>
        <w:pStyle w:val="ListParagraph"/>
        <w:numPr>
          <w:ilvl w:val="0"/>
          <w:numId w:val="2"/>
        </w:numPr>
        <w:bidi/>
        <w:spacing w:after="100" w:line="300"/>
        <w:jc w:val="right"/>
      </w:pPr>
      <w:r>
        <w:rPr>
          <w:rFonts w:ascii="Arial" w:cs="Arial" w:eastAsia="Arial" w:hAnsi="Arial"/>
          <w:sz w:val="24"/>
          <w:szCs w:val="24"/>
          <w:rtl/>
        </w:rPr>
        <w:t xml:space="preserve">الاطلاع على تقرير مجلس الإدارة عن نشاط الشركة ومركزها المالي.</w:t>
      </w:r>
    </w:p>
    <w:p>
      <w:pPr>
        <w:pStyle w:val="ListParagraph"/>
        <w:numPr>
          <w:ilvl w:val="0"/>
          <w:numId w:val="2"/>
        </w:numPr>
        <w:bidi/>
        <w:spacing w:after="100" w:line="300"/>
        <w:jc w:val="right"/>
      </w:pPr>
      <w:r>
        <w:rPr>
          <w:rFonts w:ascii="Arial" w:cs="Arial" w:eastAsia="Arial" w:hAnsi="Arial"/>
          <w:sz w:val="24"/>
          <w:szCs w:val="24"/>
          <w:rtl/>
        </w:rPr>
        <w:t xml:space="preserve">مناقشة تقرير مراجع الحسابات والمصادقة على القوائم المالية.</w:t>
      </w:r>
    </w:p>
    <w:p>
      <w:pPr>
        <w:pStyle w:val="ListParagraph"/>
        <w:numPr>
          <w:ilvl w:val="0"/>
          <w:numId w:val="2"/>
        </w:numPr>
        <w:bidi/>
        <w:spacing w:after="100" w:line="300"/>
        <w:jc w:val="right"/>
      </w:pPr>
      <w:r>
        <w:rPr>
          <w:rFonts w:ascii="Arial" w:cs="Arial" w:eastAsia="Arial" w:hAnsi="Arial"/>
          <w:sz w:val="24"/>
          <w:szCs w:val="24"/>
          <w:rtl/>
        </w:rPr>
        <w:t xml:space="preserve">البت في توصيات مجلس الإدارة بشأن توزيع الأرباح.</w:t>
      </w:r>
    </w:p>
    <w:p>
      <w:pPr>
        <w:pStyle w:val="ListParagraph"/>
        <w:numPr>
          <w:ilvl w:val="0"/>
          <w:numId w:val="2"/>
        </w:numPr>
        <w:bidi/>
        <w:spacing w:after="100" w:line="300"/>
        <w:jc w:val="right"/>
      </w:pPr>
      <w:r>
        <w:rPr>
          <w:rFonts w:ascii="Arial" w:cs="Arial" w:eastAsia="Arial" w:hAnsi="Arial"/>
          <w:sz w:val="24"/>
          <w:szCs w:val="24"/>
          <w:rtl/>
        </w:rPr>
        <w:t xml:space="preserve">انتخاب أعضاء مجلس الإدارة وتحديد مكافآتهم وعزلهم.</w:t>
      </w:r>
    </w:p>
    <w:p>
      <w:pPr>
        <w:pStyle w:val="ListParagraph"/>
        <w:numPr>
          <w:ilvl w:val="0"/>
          <w:numId w:val="2"/>
        </w:numPr>
        <w:bidi/>
        <w:spacing w:after="100" w:line="300"/>
        <w:jc w:val="right"/>
      </w:pPr>
      <w:r>
        <w:rPr>
          <w:rFonts w:ascii="Arial" w:cs="Arial" w:eastAsia="Arial" w:hAnsi="Arial"/>
          <w:sz w:val="24"/>
          <w:szCs w:val="24"/>
          <w:rtl/>
        </w:rPr>
        <w:t xml:space="preserve">تعيين مراجع الحسابات وتحديد أتعابه.</w:t>
      </w:r>
    </w:p>
    <w:p>
      <w:pPr>
        <w:pStyle w:val="ListParagraph"/>
        <w:numPr>
          <w:ilvl w:val="0"/>
          <w:numId w:val="2"/>
        </w:numPr>
        <w:bidi/>
        <w:spacing w:after="100" w:line="300"/>
        <w:jc w:val="right"/>
      </w:pPr>
      <w:r>
        <w:rPr>
          <w:rFonts w:ascii="Arial" w:cs="Arial" w:eastAsia="Arial" w:hAnsi="Arial"/>
          <w:sz w:val="24"/>
          <w:szCs w:val="24"/>
          <w:rtl/>
        </w:rPr>
        <w:t xml:space="preserve">إبراء ذمة أعضاء مجلس الإدارة.</w:t>
      </w:r>
    </w:p>
    <w:p>
      <w:pPr>
        <w:pStyle w:val="ListParagraph"/>
        <w:numPr>
          <w:ilvl w:val="0"/>
          <w:numId w:val="2"/>
        </w:numPr>
        <w:bidi/>
        <w:spacing w:after="100" w:line="300"/>
        <w:jc w:val="right"/>
      </w:pPr>
      <w:r>
        <w:rPr>
          <w:rFonts w:ascii="Arial" w:cs="Arial" w:eastAsia="Arial" w:hAnsi="Arial"/>
          <w:sz w:val="24"/>
          <w:szCs w:val="24"/>
          <w:rtl/>
        </w:rPr>
        <w:t xml:space="preserve">الموافقة على الأعمال والعقود التي يكون لأحد أعضاء المجلس مصلحة فيها.</w:t>
      </w:r>
    </w:p>
    <w:p>
      <w:pPr>
        <w:pStyle w:val="ListParagraph"/>
        <w:numPr>
          <w:ilvl w:val="0"/>
          <w:numId w:val="2"/>
        </w:numPr>
        <w:bidi/>
        <w:spacing w:after="100" w:line="300"/>
        <w:jc w:val="right"/>
      </w:pPr>
      <w:r>
        <w:rPr>
          <w:rFonts w:ascii="Arial" w:cs="Arial" w:eastAsia="Arial" w:hAnsi="Arial"/>
          <w:sz w:val="24"/>
          <w:szCs w:val="24"/>
          <w:rtl/>
        </w:rPr>
        <w:t xml:space="preserve">الموافقة على إصدار الصكوك أو أدوات الدين.</w:t>
      </w:r>
    </w:p>
    <w:p>
      <w:pPr>
        <w:pStyle w:val="Heading3"/>
        <w:bidi/>
        <w:spacing w:after="120" w:before="200"/>
        <w:jc w:val="right"/>
      </w:pPr>
      <w:r>
        <w:rPr>
          <w:rFonts w:ascii="Arial" w:cs="Arial" w:eastAsia="Arial" w:hAnsi="Arial"/>
          <w:b/>
          <w:bCs/>
          <w:color w:val="1F4E79"/>
          <w:sz w:val="26"/>
          <w:szCs w:val="26"/>
          <w:rtl/>
        </w:rPr>
        <w:t xml:space="preserve">النصاب القانوني</w:t>
      </w:r>
    </w:p>
    <w:p>
      <w:pPr>
        <w:bidi/>
        <w:spacing w:after="140" w:line="320"/>
        <w:jc w:val="both"/>
      </w:pPr>
      <w:r>
        <w:rPr>
          <w:rFonts w:ascii="Arial" w:cs="Arial" w:eastAsia="Arial" w:hAnsi="Arial"/>
          <w:sz w:val="24"/>
          <w:szCs w:val="24"/>
          <w:rtl/>
        </w:rPr>
        <w:t xml:space="preserve">بحسب المادة (92) من النظام الجديد:</w:t>
      </w:r>
    </w:p>
    <w:p>
      <w:pPr>
        <w:pStyle w:val="ListParagraph"/>
        <w:numPr>
          <w:ilvl w:val="0"/>
          <w:numId w:val="3"/>
        </w:numPr>
        <w:bidi/>
        <w:spacing w:after="100" w:line="300"/>
        <w:jc w:val="right"/>
      </w:pPr>
      <w:r>
        <w:rPr>
          <w:rFonts w:ascii="Arial" w:cs="Arial" w:eastAsia="Arial" w:hAnsi="Arial"/>
          <w:sz w:val="24"/>
          <w:szCs w:val="24"/>
          <w:rtl/>
        </w:rPr>
        <w:t xml:space="preserve">الاجتماع الأول: لا يكون انعقاد الجمعية العامة العادية صحيحاً إلا بحضور مساهمين يمثلون ربع الأسهم على الأقل، ما لم ينص النظام الأساس على نسبة أعلى لا تتجاوز النصف.</w:t>
      </w:r>
    </w:p>
    <w:p>
      <w:pPr>
        <w:pStyle w:val="ListParagraph"/>
        <w:numPr>
          <w:ilvl w:val="0"/>
          <w:numId w:val="3"/>
        </w:numPr>
        <w:bidi/>
        <w:spacing w:after="100" w:line="300"/>
        <w:jc w:val="right"/>
      </w:pPr>
      <w:r>
        <w:rPr>
          <w:rFonts w:ascii="Arial" w:cs="Arial" w:eastAsia="Arial" w:hAnsi="Arial"/>
          <w:sz w:val="24"/>
          <w:szCs w:val="24"/>
          <w:rtl/>
        </w:rPr>
        <w:t xml:space="preserve">الاجتماع الثاني: في حال عدم اكتمال النصاب، تُعقد الجمعية بعد ساعة من نهاية المدة المحددة للاجتماع الأول، وتُعدّ صحيحة أياً كان عدد الأسهم الممثلة فيها.</w:t>
      </w:r>
    </w:p>
    <w:p>
      <w:pPr>
        <w:pStyle w:val="Heading3"/>
        <w:bidi/>
        <w:spacing w:after="120" w:before="200"/>
        <w:jc w:val="right"/>
      </w:pPr>
      <w:r>
        <w:rPr>
          <w:rFonts w:ascii="Arial" w:cs="Arial" w:eastAsia="Arial" w:hAnsi="Arial"/>
          <w:b/>
          <w:bCs/>
          <w:color w:val="1F4E79"/>
          <w:sz w:val="26"/>
          <w:szCs w:val="26"/>
          <w:rtl/>
        </w:rPr>
        <w:t xml:space="preserve">أغلبية إصدار القرارات</w:t>
      </w:r>
    </w:p>
    <w:p>
      <w:pPr>
        <w:bidi/>
        <w:spacing w:after="140" w:line="320"/>
        <w:jc w:val="both"/>
      </w:pPr>
      <w:r>
        <w:rPr>
          <w:rFonts w:ascii="Arial" w:cs="Arial" w:eastAsia="Arial" w:hAnsi="Arial"/>
          <w:sz w:val="24"/>
          <w:szCs w:val="24"/>
          <w:rtl/>
        </w:rPr>
        <w:t xml:space="preserve">تصدر قرارات الجمعية العامة العادية بالأغلبية المطلقة للأسهم الممثلة في الاجتماع، أي بأكثر من 50% من الأصوات الحاضرة.</w:t>
      </w:r>
    </w:p>
    <w:p>
      <w:pPr>
        <w:pStyle w:val="Heading2"/>
        <w:bidi/>
        <w:spacing w:after="160" w:before="280"/>
        <w:jc w:val="right"/>
      </w:pPr>
      <w:r>
        <w:rPr>
          <w:rFonts w:ascii="Arial" w:cs="Arial" w:eastAsia="Arial" w:hAnsi="Arial"/>
          <w:b/>
          <w:bCs/>
          <w:color w:val="2E75B6"/>
          <w:sz w:val="30"/>
          <w:szCs w:val="30"/>
          <w:rtl/>
        </w:rPr>
        <w:t xml:space="preserve">2. الجمعية العامة غير العادية</w:t>
      </w:r>
    </w:p>
    <w:p>
      <w:pPr>
        <w:pStyle w:val="Heading3"/>
        <w:bidi/>
        <w:spacing w:after="120" w:before="200"/>
        <w:jc w:val="right"/>
      </w:pPr>
      <w:r>
        <w:rPr>
          <w:rFonts w:ascii="Arial" w:cs="Arial" w:eastAsia="Arial" w:hAnsi="Arial"/>
          <w:b/>
          <w:bCs/>
          <w:color w:val="1F4E79"/>
          <w:sz w:val="26"/>
          <w:szCs w:val="26"/>
          <w:rtl/>
        </w:rPr>
        <w:t xml:space="preserve">التعريف والسمات</w:t>
      </w:r>
    </w:p>
    <w:p>
      <w:pPr>
        <w:bidi/>
        <w:spacing w:after="140" w:line="320"/>
        <w:jc w:val="both"/>
      </w:pPr>
      <w:r>
        <w:rPr>
          <w:rFonts w:ascii="Arial" w:cs="Arial" w:eastAsia="Arial" w:hAnsi="Arial"/>
          <w:sz w:val="24"/>
          <w:szCs w:val="24"/>
          <w:rtl/>
        </w:rPr>
        <w:t xml:space="preserve">الجمعية العامة غير العادية هي الجمعية التي تُعقد لمناقشة الأمور الجوهرية وغير الاعتيادية التي تُؤثر على هيكل الشركة وكيانها، وتستوجب قراراتها نصاباً أعلى وأغلبية خاصة.</w:t>
      </w:r>
    </w:p>
    <w:p>
      <w:pPr>
        <w:pStyle w:val="Heading3"/>
        <w:bidi/>
        <w:spacing w:after="120" w:before="200"/>
        <w:jc w:val="right"/>
      </w:pPr>
      <w:r>
        <w:rPr>
          <w:rFonts w:ascii="Arial" w:cs="Arial" w:eastAsia="Arial" w:hAnsi="Arial"/>
          <w:b/>
          <w:bCs/>
          <w:color w:val="1F4E79"/>
          <w:sz w:val="26"/>
          <w:szCs w:val="26"/>
          <w:rtl/>
        </w:rPr>
        <w:t xml:space="preserve">توقيت الانعقاد</w:t>
      </w:r>
    </w:p>
    <w:p>
      <w:pPr>
        <w:bidi/>
        <w:spacing w:after="140" w:line="320"/>
        <w:jc w:val="both"/>
      </w:pPr>
      <w:r>
        <w:rPr>
          <w:rFonts w:ascii="Arial" w:cs="Arial" w:eastAsia="Arial" w:hAnsi="Arial"/>
          <w:sz w:val="24"/>
          <w:szCs w:val="24"/>
          <w:rtl/>
        </w:rPr>
        <w:t xml:space="preserve">ليس للجمعية غير العادية موعد محدد، وتُعقد كلما دعت الحاجة. ويجب على مجلس الإدارة دعوتها في حالات معينة، منها:</w:t>
      </w:r>
    </w:p>
    <w:p>
      <w:pPr>
        <w:pStyle w:val="ListParagraph"/>
        <w:numPr>
          <w:ilvl w:val="0"/>
          <w:numId w:val="3"/>
        </w:numPr>
        <w:bidi/>
        <w:spacing w:after="100" w:line="300"/>
        <w:jc w:val="right"/>
      </w:pPr>
      <w:r>
        <w:rPr>
          <w:rFonts w:ascii="Arial" w:cs="Arial" w:eastAsia="Arial" w:hAnsi="Arial"/>
          <w:sz w:val="24"/>
          <w:szCs w:val="24"/>
          <w:rtl/>
        </w:rPr>
        <w:t xml:space="preserve">بناءً على طلب مراجع الحسابات (في غضون 30 يوماً).</w:t>
      </w:r>
    </w:p>
    <w:p>
      <w:pPr>
        <w:pStyle w:val="ListParagraph"/>
        <w:numPr>
          <w:ilvl w:val="0"/>
          <w:numId w:val="3"/>
        </w:numPr>
        <w:bidi/>
        <w:spacing w:after="100" w:line="300"/>
        <w:jc w:val="right"/>
      </w:pPr>
      <w:r>
        <w:rPr>
          <w:rFonts w:ascii="Arial" w:cs="Arial" w:eastAsia="Arial" w:hAnsi="Arial"/>
          <w:sz w:val="24"/>
          <w:szCs w:val="24"/>
          <w:rtl/>
        </w:rPr>
        <w:t xml:space="preserve">بناءً على طلب مساهمين يمثلون 10% من الأسهم ذات حقوق التصويت.</w:t>
      </w:r>
    </w:p>
    <w:p>
      <w:pPr>
        <w:pStyle w:val="ListParagraph"/>
        <w:numPr>
          <w:ilvl w:val="0"/>
          <w:numId w:val="3"/>
        </w:numPr>
        <w:bidi/>
        <w:spacing w:after="100" w:line="300"/>
        <w:jc w:val="right"/>
      </w:pPr>
      <w:r>
        <w:rPr>
          <w:rFonts w:ascii="Arial" w:cs="Arial" w:eastAsia="Arial" w:hAnsi="Arial"/>
          <w:sz w:val="24"/>
          <w:szCs w:val="24"/>
          <w:rtl/>
        </w:rPr>
        <w:t xml:space="preserve">في حالات الخسائر الجسيمة (بلوغها نصف رأس المال أو أكثر).</w:t>
      </w:r>
    </w:p>
    <w:p>
      <w:pPr>
        <w:pStyle w:val="Heading3"/>
        <w:bidi/>
        <w:spacing w:after="120" w:before="200"/>
        <w:jc w:val="right"/>
      </w:pPr>
      <w:r>
        <w:rPr>
          <w:rFonts w:ascii="Arial" w:cs="Arial" w:eastAsia="Arial" w:hAnsi="Arial"/>
          <w:b/>
          <w:bCs/>
          <w:color w:val="1F4E79"/>
          <w:sz w:val="26"/>
          <w:szCs w:val="26"/>
          <w:rtl/>
        </w:rPr>
        <w:t xml:space="preserve">أبرز اختصاصاتها (المادة 85 من النظام)</w:t>
      </w:r>
    </w:p>
    <w:p>
      <w:pPr>
        <w:pStyle w:val="ListParagraph"/>
        <w:numPr>
          <w:ilvl w:val="0"/>
          <w:numId w:val="2"/>
        </w:numPr>
        <w:bidi/>
        <w:spacing w:after="100" w:line="300"/>
        <w:jc w:val="right"/>
      </w:pPr>
      <w:r>
        <w:rPr>
          <w:rFonts w:ascii="Arial" w:cs="Arial" w:eastAsia="Arial" w:hAnsi="Arial"/>
          <w:sz w:val="24"/>
          <w:szCs w:val="24"/>
          <w:rtl/>
        </w:rPr>
        <w:t xml:space="preserve">تعديل النظام الأساس للشركة (باستثناء حقوق محددة).</w:t>
      </w:r>
    </w:p>
    <w:p>
      <w:pPr>
        <w:pStyle w:val="ListParagraph"/>
        <w:numPr>
          <w:ilvl w:val="0"/>
          <w:numId w:val="2"/>
        </w:numPr>
        <w:bidi/>
        <w:spacing w:after="100" w:line="300"/>
        <w:jc w:val="right"/>
      </w:pPr>
      <w:r>
        <w:rPr>
          <w:rFonts w:ascii="Arial" w:cs="Arial" w:eastAsia="Arial" w:hAnsi="Arial"/>
          <w:sz w:val="24"/>
          <w:szCs w:val="24"/>
          <w:rtl/>
        </w:rPr>
        <w:t xml:space="preserve">زيادة رأس المال أو تخفيضه.</w:t>
      </w:r>
    </w:p>
    <w:p>
      <w:pPr>
        <w:pStyle w:val="ListParagraph"/>
        <w:numPr>
          <w:ilvl w:val="0"/>
          <w:numId w:val="2"/>
        </w:numPr>
        <w:bidi/>
        <w:spacing w:after="100" w:line="300"/>
        <w:jc w:val="right"/>
      </w:pPr>
      <w:r>
        <w:rPr>
          <w:rFonts w:ascii="Arial" w:cs="Arial" w:eastAsia="Arial" w:hAnsi="Arial"/>
          <w:sz w:val="24"/>
          <w:szCs w:val="24"/>
          <w:rtl/>
        </w:rPr>
        <w:t xml:space="preserve">تحويل الشركة من شكل قانوني إلى آخر.</w:t>
      </w:r>
    </w:p>
    <w:p>
      <w:pPr>
        <w:pStyle w:val="ListParagraph"/>
        <w:numPr>
          <w:ilvl w:val="0"/>
          <w:numId w:val="2"/>
        </w:numPr>
        <w:bidi/>
        <w:spacing w:after="100" w:line="300"/>
        <w:jc w:val="right"/>
      </w:pPr>
      <w:r>
        <w:rPr>
          <w:rFonts w:ascii="Arial" w:cs="Arial" w:eastAsia="Arial" w:hAnsi="Arial"/>
          <w:sz w:val="24"/>
          <w:szCs w:val="24"/>
          <w:rtl/>
        </w:rPr>
        <w:t xml:space="preserve">اندماج الشركة أو تقسيمها.</w:t>
      </w:r>
    </w:p>
    <w:p>
      <w:pPr>
        <w:pStyle w:val="ListParagraph"/>
        <w:numPr>
          <w:ilvl w:val="0"/>
          <w:numId w:val="2"/>
        </w:numPr>
        <w:bidi/>
        <w:spacing w:after="100" w:line="300"/>
        <w:jc w:val="right"/>
      </w:pPr>
      <w:r>
        <w:rPr>
          <w:rFonts w:ascii="Arial" w:cs="Arial" w:eastAsia="Arial" w:hAnsi="Arial"/>
          <w:sz w:val="24"/>
          <w:szCs w:val="24"/>
          <w:rtl/>
        </w:rPr>
        <w:t xml:space="preserve">إصدار أسهم ممتازة أو قابلة للاسترداد.</w:t>
      </w:r>
    </w:p>
    <w:p>
      <w:pPr>
        <w:pStyle w:val="ListParagraph"/>
        <w:numPr>
          <w:ilvl w:val="0"/>
          <w:numId w:val="2"/>
        </w:numPr>
        <w:bidi/>
        <w:spacing w:after="100" w:line="300"/>
        <w:jc w:val="right"/>
      </w:pPr>
      <w:r>
        <w:rPr>
          <w:rFonts w:ascii="Arial" w:cs="Arial" w:eastAsia="Arial" w:hAnsi="Arial"/>
          <w:sz w:val="24"/>
          <w:szCs w:val="24"/>
          <w:rtl/>
        </w:rPr>
        <w:t xml:space="preserve">شراء الشركة لأسهمها (أسهم الخزينة).</w:t>
      </w:r>
    </w:p>
    <w:p>
      <w:pPr>
        <w:pStyle w:val="ListParagraph"/>
        <w:numPr>
          <w:ilvl w:val="0"/>
          <w:numId w:val="2"/>
        </w:numPr>
        <w:bidi/>
        <w:spacing w:after="100" w:line="300"/>
        <w:jc w:val="right"/>
      </w:pPr>
      <w:r>
        <w:rPr>
          <w:rFonts w:ascii="Arial" w:cs="Arial" w:eastAsia="Arial" w:hAnsi="Arial"/>
          <w:sz w:val="24"/>
          <w:szCs w:val="24"/>
          <w:rtl/>
        </w:rPr>
        <w:t xml:space="preserve">تجزئة الأسهم أو دمجها.</w:t>
      </w:r>
    </w:p>
    <w:p>
      <w:pPr>
        <w:pStyle w:val="ListParagraph"/>
        <w:numPr>
          <w:ilvl w:val="0"/>
          <w:numId w:val="2"/>
        </w:numPr>
        <w:bidi/>
        <w:spacing w:after="100" w:line="300"/>
        <w:jc w:val="right"/>
      </w:pPr>
      <w:r>
        <w:rPr>
          <w:rFonts w:ascii="Arial" w:cs="Arial" w:eastAsia="Arial" w:hAnsi="Arial"/>
          <w:sz w:val="24"/>
          <w:szCs w:val="24"/>
          <w:rtl/>
        </w:rPr>
        <w:t xml:space="preserve">تمديد مدة الشركة أو حلّها قبل الأجل.</w:t>
      </w:r>
    </w:p>
    <w:p>
      <w:pPr>
        <w:pStyle w:val="ListParagraph"/>
        <w:numPr>
          <w:ilvl w:val="0"/>
          <w:numId w:val="2"/>
        </w:numPr>
        <w:bidi/>
        <w:spacing w:after="100" w:line="300"/>
        <w:jc w:val="right"/>
      </w:pPr>
      <w:r>
        <w:rPr>
          <w:rFonts w:ascii="Arial" w:cs="Arial" w:eastAsia="Arial" w:hAnsi="Arial"/>
          <w:sz w:val="24"/>
          <w:szCs w:val="24"/>
          <w:rtl/>
        </w:rPr>
        <w:t xml:space="preserve">الموافقة على بيع أصول جوهرية للشركة.</w:t>
      </w:r>
    </w:p>
    <w:p>
      <w:pPr>
        <w:pStyle w:val="Heading3"/>
        <w:bidi/>
        <w:spacing w:after="120" w:before="200"/>
        <w:jc w:val="right"/>
      </w:pPr>
      <w:r>
        <w:rPr>
          <w:rFonts w:ascii="Arial" w:cs="Arial" w:eastAsia="Arial" w:hAnsi="Arial"/>
          <w:b/>
          <w:bCs/>
          <w:color w:val="1F4E79"/>
          <w:sz w:val="26"/>
          <w:szCs w:val="26"/>
          <w:rtl/>
        </w:rPr>
        <w:t xml:space="preserve">النصاب القانوني</w:t>
      </w:r>
    </w:p>
    <w:p>
      <w:pPr>
        <w:bidi/>
        <w:spacing w:after="140" w:line="320"/>
        <w:jc w:val="both"/>
      </w:pPr>
      <w:r>
        <w:rPr>
          <w:rFonts w:ascii="Arial" w:cs="Arial" w:eastAsia="Arial" w:hAnsi="Arial"/>
          <w:sz w:val="24"/>
          <w:szCs w:val="24"/>
          <w:rtl/>
        </w:rPr>
        <w:t xml:space="preserve">بحسب المادة (93) من النظام:</w:t>
      </w:r>
    </w:p>
    <w:p>
      <w:pPr>
        <w:pStyle w:val="ListParagraph"/>
        <w:numPr>
          <w:ilvl w:val="0"/>
          <w:numId w:val="3"/>
        </w:numPr>
        <w:bidi/>
        <w:spacing w:after="100" w:line="300"/>
        <w:jc w:val="right"/>
      </w:pPr>
      <w:r>
        <w:rPr>
          <w:rFonts w:ascii="Arial" w:cs="Arial" w:eastAsia="Arial" w:hAnsi="Arial"/>
          <w:sz w:val="24"/>
          <w:szCs w:val="24"/>
          <w:rtl/>
        </w:rPr>
        <w:t xml:space="preserve">الاجتماع الأول: حضور نصف الأسهم ذات حقوق التصويت على الأقل، ما لم ينص النظام الأساس على نسبة أعلى.</w:t>
      </w:r>
    </w:p>
    <w:p>
      <w:pPr>
        <w:pStyle w:val="ListParagraph"/>
        <w:numPr>
          <w:ilvl w:val="0"/>
          <w:numId w:val="3"/>
        </w:numPr>
        <w:bidi/>
        <w:spacing w:after="100" w:line="300"/>
        <w:jc w:val="right"/>
      </w:pPr>
      <w:r>
        <w:rPr>
          <w:rFonts w:ascii="Arial" w:cs="Arial" w:eastAsia="Arial" w:hAnsi="Arial"/>
          <w:sz w:val="24"/>
          <w:szCs w:val="24"/>
          <w:rtl/>
        </w:rPr>
        <w:t xml:space="preserve">الاجتماع الثاني: في حال عدم اكتمال النصاب، تُعقد الجمعية بعد ساعة من نهاية المدة المحددة للاجتماع الأول، وتُعدّ صحيحة بحضور ربع الأسهم على الأقل.</w:t>
      </w:r>
    </w:p>
    <w:p>
      <w:pPr>
        <w:pStyle w:val="ListParagraph"/>
        <w:numPr>
          <w:ilvl w:val="0"/>
          <w:numId w:val="3"/>
        </w:numPr>
        <w:bidi/>
        <w:spacing w:after="100" w:line="300"/>
        <w:jc w:val="right"/>
      </w:pPr>
      <w:r>
        <w:rPr>
          <w:rFonts w:ascii="Arial" w:cs="Arial" w:eastAsia="Arial" w:hAnsi="Arial"/>
          <w:sz w:val="24"/>
          <w:szCs w:val="24"/>
          <w:rtl/>
        </w:rPr>
        <w:t xml:space="preserve">الاجتماع الثالث: إذا لم يتوفر النصاب في الاجتماع الثاني، يُعقد اجتماع ثالث بحضور أي عدد من المساهمين، بعد دعوة جديدة وفق الإجراءات النظامية.</w:t>
      </w:r>
    </w:p>
    <w:p>
      <w:pPr>
        <w:pStyle w:val="Heading3"/>
        <w:bidi/>
        <w:spacing w:after="120" w:before="200"/>
        <w:jc w:val="right"/>
      </w:pPr>
      <w:r>
        <w:rPr>
          <w:rFonts w:ascii="Arial" w:cs="Arial" w:eastAsia="Arial" w:hAnsi="Arial"/>
          <w:b/>
          <w:bCs/>
          <w:color w:val="1F4E79"/>
          <w:sz w:val="26"/>
          <w:szCs w:val="26"/>
          <w:rtl/>
        </w:rPr>
        <w:t xml:space="preserve">أغلبية إصدار القرارات</w:t>
      </w:r>
    </w:p>
    <w:p>
      <w:pPr>
        <w:bidi/>
        <w:spacing w:after="140" w:line="320"/>
        <w:jc w:val="both"/>
      </w:pPr>
      <w:r>
        <w:rPr>
          <w:rFonts w:ascii="Arial" w:cs="Arial" w:eastAsia="Arial" w:hAnsi="Arial"/>
          <w:sz w:val="24"/>
          <w:szCs w:val="24"/>
          <w:rtl/>
        </w:rPr>
        <w:t xml:space="preserve">تصدر قرارات الجمعية غير العادية بأغلبية الثلثين من الأسهم الممثلة في الاجتماع. أما في القرارات الجوهرية - كزيادة رأس المال أو تخفيضه، أو حل الشركة، أو تغيير غرضها - فتصدر بأغلبية ثلاثة أرباع الأسهم الممثلة.</w:t>
      </w:r>
    </w:p>
    <w:p>
      <w:pPr>
        <w:pStyle w:val="Heading2"/>
        <w:bidi/>
        <w:spacing w:after="160" w:before="280"/>
        <w:jc w:val="right"/>
      </w:pPr>
      <w:r>
        <w:rPr>
          <w:rFonts w:ascii="Arial" w:cs="Arial" w:eastAsia="Arial" w:hAnsi="Arial"/>
          <w:b/>
          <w:bCs/>
          <w:color w:val="2E75B6"/>
          <w:sz w:val="30"/>
          <w:szCs w:val="30"/>
          <w:rtl/>
        </w:rPr>
        <w:t xml:space="preserve">3. الجمعية الخاصة</w:t>
      </w:r>
    </w:p>
    <w:p>
      <w:pPr>
        <w:pStyle w:val="Heading3"/>
        <w:bidi/>
        <w:spacing w:after="120" w:before="200"/>
        <w:jc w:val="right"/>
      </w:pPr>
      <w:r>
        <w:rPr>
          <w:rFonts w:ascii="Arial" w:cs="Arial" w:eastAsia="Arial" w:hAnsi="Arial"/>
          <w:b/>
          <w:bCs/>
          <w:color w:val="1F4E79"/>
          <w:sz w:val="26"/>
          <w:szCs w:val="26"/>
          <w:rtl/>
        </w:rPr>
        <w:t xml:space="preserve">التعريف والسمات</w:t>
      </w:r>
    </w:p>
    <w:p>
      <w:pPr>
        <w:bidi/>
        <w:spacing w:after="140" w:line="320"/>
        <w:jc w:val="both"/>
      </w:pPr>
      <w:r>
        <w:rPr>
          <w:rFonts w:ascii="Arial" w:cs="Arial" w:eastAsia="Arial" w:hAnsi="Arial"/>
          <w:sz w:val="24"/>
          <w:szCs w:val="24"/>
          <w:rtl/>
        </w:rPr>
        <w:t xml:space="preserve">الجمعية الخاصة هي اجتماع يضم فئة معينة من المساهمين - عادةً حاملي فئة محددة من الأسهم - لمناقشة موضوعات تخص هذه الفئة وحدها. وقد نظّمها نظام الشركات الجديد في المادة (89) لحماية حقوق فئات الأسهم المختلفة.</w:t>
      </w:r>
    </w:p>
    <w:p>
      <w:pPr>
        <w:pStyle w:val="Heading3"/>
        <w:bidi/>
        <w:spacing w:after="120" w:before="200"/>
        <w:jc w:val="right"/>
      </w:pPr>
      <w:r>
        <w:rPr>
          <w:rFonts w:ascii="Arial" w:cs="Arial" w:eastAsia="Arial" w:hAnsi="Arial"/>
          <w:b/>
          <w:bCs/>
          <w:color w:val="1F4E79"/>
          <w:sz w:val="26"/>
          <w:szCs w:val="26"/>
          <w:rtl/>
        </w:rPr>
        <w:t xml:space="preserve">متى تُعقد</w:t>
      </w:r>
    </w:p>
    <w:p>
      <w:pPr>
        <w:pStyle w:val="ListParagraph"/>
        <w:numPr>
          <w:ilvl w:val="0"/>
          <w:numId w:val="3"/>
        </w:numPr>
        <w:bidi/>
        <w:spacing w:after="100" w:line="300"/>
        <w:jc w:val="right"/>
      </w:pPr>
      <w:r>
        <w:rPr>
          <w:rFonts w:ascii="Arial" w:cs="Arial" w:eastAsia="Arial" w:hAnsi="Arial"/>
          <w:sz w:val="24"/>
          <w:szCs w:val="24"/>
          <w:rtl/>
        </w:rPr>
        <w:t xml:space="preserve">عند تعديل حقوق فئة معينة من الأسهم (مثل تعديل حقوق الأسهم الممتازة).</w:t>
      </w:r>
    </w:p>
    <w:p>
      <w:pPr>
        <w:pStyle w:val="ListParagraph"/>
        <w:numPr>
          <w:ilvl w:val="0"/>
          <w:numId w:val="3"/>
        </w:numPr>
        <w:bidi/>
        <w:spacing w:after="100" w:line="300"/>
        <w:jc w:val="right"/>
      </w:pPr>
      <w:r>
        <w:rPr>
          <w:rFonts w:ascii="Arial" w:cs="Arial" w:eastAsia="Arial" w:hAnsi="Arial"/>
          <w:sz w:val="24"/>
          <w:szCs w:val="24"/>
          <w:rtl/>
        </w:rPr>
        <w:t xml:space="preserve">عند إصدار أسهم ممتازة أو قابلة للاسترداد قد تؤثر على فئة معينة.</w:t>
      </w:r>
    </w:p>
    <w:p>
      <w:pPr>
        <w:pStyle w:val="ListParagraph"/>
        <w:numPr>
          <w:ilvl w:val="0"/>
          <w:numId w:val="3"/>
        </w:numPr>
        <w:bidi/>
        <w:spacing w:after="100" w:line="300"/>
        <w:jc w:val="right"/>
      </w:pPr>
      <w:r>
        <w:rPr>
          <w:rFonts w:ascii="Arial" w:cs="Arial" w:eastAsia="Arial" w:hAnsi="Arial"/>
          <w:sz w:val="24"/>
          <w:szCs w:val="24"/>
          <w:rtl/>
        </w:rPr>
        <w:t xml:space="preserve">عند تحويل فئة من الأسهم إلى فئة أخرى.</w:t>
      </w:r>
    </w:p>
    <w:p>
      <w:pPr>
        <w:pStyle w:val="ListParagraph"/>
        <w:numPr>
          <w:ilvl w:val="0"/>
          <w:numId w:val="3"/>
        </w:numPr>
        <w:bidi/>
        <w:spacing w:after="100" w:line="300"/>
        <w:jc w:val="right"/>
      </w:pPr>
      <w:r>
        <w:rPr>
          <w:rFonts w:ascii="Arial" w:cs="Arial" w:eastAsia="Arial" w:hAnsi="Arial"/>
          <w:sz w:val="24"/>
          <w:szCs w:val="24"/>
          <w:rtl/>
        </w:rPr>
        <w:t xml:space="preserve">عند اتخاذ قرارات تمس بحقوق فئة معينة (كالتصفية أو تحويل الأسهم الممتازة إلى عادية).</w:t>
      </w:r>
    </w:p>
    <w:p>
      <w:pPr>
        <w:pStyle w:val="ListParagraph"/>
        <w:numPr>
          <w:ilvl w:val="0"/>
          <w:numId w:val="3"/>
        </w:numPr>
        <w:bidi/>
        <w:spacing w:after="100" w:line="300"/>
        <w:jc w:val="right"/>
      </w:pPr>
      <w:r>
        <w:rPr>
          <w:rFonts w:ascii="Arial" w:cs="Arial" w:eastAsia="Arial" w:hAnsi="Arial"/>
          <w:sz w:val="24"/>
          <w:szCs w:val="24"/>
          <w:rtl/>
        </w:rPr>
        <w:t xml:space="preserve">في الحالات التي ينص عليها النظام الأساس للشركة.</w:t>
      </w:r>
    </w:p>
    <w:p>
      <w:pPr>
        <w:pStyle w:val="Heading3"/>
        <w:bidi/>
        <w:spacing w:after="120" w:before="200"/>
        <w:jc w:val="right"/>
      </w:pPr>
      <w:r>
        <w:rPr>
          <w:rFonts w:ascii="Arial" w:cs="Arial" w:eastAsia="Arial" w:hAnsi="Arial"/>
          <w:b/>
          <w:bCs/>
          <w:color w:val="1F4E79"/>
          <w:sz w:val="26"/>
          <w:szCs w:val="26"/>
          <w:rtl/>
        </w:rPr>
        <w:t xml:space="preserve">ميزة خاصة لحملة الأسهم الممتازة</w:t>
      </w:r>
    </w:p>
    <w:p>
      <w:pPr>
        <w:bidi/>
        <w:spacing w:after="140" w:line="320"/>
        <w:jc w:val="both"/>
      </w:pPr>
      <w:r>
        <w:rPr>
          <w:rFonts w:ascii="Arial" w:cs="Arial" w:eastAsia="Arial" w:hAnsi="Arial"/>
          <w:sz w:val="24"/>
          <w:szCs w:val="24"/>
          <w:rtl/>
        </w:rPr>
        <w:t xml:space="preserve">بحسب اللائحة التنفيذية، إذا فشلت الشركة في دفع النسبة المحددة لأصحاب الأسهم الممتازة من الأرباح الصافية مدة ثلاث سنوات متتالية، يجوز للجمعية الخاصة بهم أن تقرر حضورهم اجتماعات الجمعية العامة للشركة والمشاركة في التصويت إلى أن تتمكن الشركة من دفع كل الأرباح المخصصة لتلك السنوات.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مقارنة شاملة بين أنواع الجمعيات</w:t>
      </w:r>
    </w:p>
    <w:p>
      <w:pPr>
        <w:bidi/>
        <w:spacing w:after="140" w:line="320"/>
        <w:jc w:val="both"/>
      </w:pPr>
      <w:r>
        <w:rPr>
          <w:rFonts w:ascii="Arial" w:cs="Arial" w:eastAsia="Arial" w:hAnsi="Arial"/>
          <w:sz w:val="24"/>
          <w:szCs w:val="24"/>
          <w:rtl/>
        </w:rPr>
        <w:t xml:space="preserve">للتمييز الواضح بين أنواع الجمعيات، نقدم الجدول المقارن التالي: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2382"/>
        <w:gridCol w:w="2382"/>
        <w:gridCol w:w="2382"/>
      </w:tblGrid>
      <w:tr>
        <w:trPr>
          <w:tblHeader/>
        </w:trPr>
        <w:tc>
          <w:tcPr>
            <w:tcW w:type="dxa" w:w="18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وجه المقارنة</w:t>
            </w:r>
          </w:p>
        </w:tc>
        <w:tc>
          <w:tcPr>
            <w:tcW w:type="dxa" w:w="2382"/>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الجمعية العامة العادية</w:t>
            </w:r>
          </w:p>
        </w:tc>
        <w:tc>
          <w:tcPr>
            <w:tcW w:type="dxa" w:w="2382"/>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الجمعية العامة غير العادية</w:t>
            </w:r>
          </w:p>
        </w:tc>
        <w:tc>
          <w:tcPr>
            <w:tcW w:type="dxa" w:w="2382"/>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الجمعية الخاصة</w:t>
            </w:r>
          </w:p>
        </w:tc>
      </w:tr>
      <w:tr>
        <w:tc>
          <w:tcPr>
            <w:tcW w:type="dxa" w:w="18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التوقيت</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سنوياً (مرة على الأقل)</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كلما دعت الحاجة</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كلما دعت الحاجة</w:t>
            </w:r>
          </w:p>
        </w:tc>
      </w:tr>
      <w:tr>
        <w:tc>
          <w:tcPr>
            <w:tcW w:type="dxa" w:w="188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النصاب الأول</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ربع الأسهم</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نصف الأسهم</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حسب الفئة</w:t>
            </w:r>
          </w:p>
        </w:tc>
      </w:tr>
      <w:tr>
        <w:tc>
          <w:tcPr>
            <w:tcW w:type="dxa" w:w="18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النصاب الثاني</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أي عدد بعد ساعة</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ربع الأسهم بعد ساعة</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حسب النظام الأساس</w:t>
            </w:r>
          </w:p>
        </w:tc>
      </w:tr>
      <w:tr>
        <w:tc>
          <w:tcPr>
            <w:tcW w:type="dxa" w:w="188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أغلبية القرار</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أغلبية مطلقة (&gt;50%)</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ثلثا الأصوات</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حسب الفئة</w:t>
            </w:r>
          </w:p>
        </w:tc>
      </w:tr>
      <w:tr>
        <w:tc>
          <w:tcPr>
            <w:tcW w:type="dxa" w:w="18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القرارات الجوهرية</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ثلاثة أرباع الأصوات</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w:t>
            </w:r>
          </w:p>
        </w:tc>
      </w:tr>
      <w:tr>
        <w:tc>
          <w:tcPr>
            <w:tcW w:type="dxa" w:w="188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الاختصاصات</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الأمور الاعتيادية والسنوية</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تعديل النظام الأساس والقرارات المصيرية</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أمور فئة معينة</w:t>
            </w:r>
          </w:p>
        </w:tc>
      </w:tr>
      <w:tr>
        <w:tc>
          <w:tcPr>
            <w:tcW w:type="dxa" w:w="18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الجهة الداعية</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مجلس الإدارة</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مجلس الإدارة (وحالات استثنائية)</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مجلس الإدارة أو الفئة المعنية</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حق الحضور والتصويت</w:t>
      </w:r>
    </w:p>
    <w:p>
      <w:pPr>
        <w:bidi/>
        <w:spacing w:after="140" w:line="320"/>
        <w:jc w:val="both"/>
      </w:pPr>
      <w:r>
        <w:rPr>
          <w:rFonts w:ascii="Arial" w:cs="Arial" w:eastAsia="Arial" w:hAnsi="Arial"/>
          <w:sz w:val="24"/>
          <w:szCs w:val="24"/>
          <w:rtl/>
        </w:rPr>
        <w:t xml:space="preserve">تنظم أحكام نظام الشركات والنظام الأساس للشركة من له حق حضور الجمعيات العمومية والتصويت فيها. وهذا الحق من الحقوق الجوهرية للمساهم التي لا يجوز التنازل عنها أو تقييدها بشكل غير مشروع.</w:t>
      </w:r>
    </w:p>
    <w:p>
      <w:pPr>
        <w:pStyle w:val="Heading2"/>
        <w:bidi/>
        <w:spacing w:after="160" w:before="280"/>
        <w:jc w:val="right"/>
      </w:pPr>
      <w:r>
        <w:rPr>
          <w:rFonts w:ascii="Arial" w:cs="Arial" w:eastAsia="Arial" w:hAnsi="Arial"/>
          <w:b/>
          <w:bCs/>
          <w:color w:val="2E75B6"/>
          <w:sz w:val="30"/>
          <w:szCs w:val="30"/>
          <w:rtl/>
        </w:rPr>
        <w:t xml:space="preserve">الأصل العام: حق المساهم في الحضور</w:t>
      </w:r>
    </w:p>
    <w:p>
      <w:pPr>
        <w:bidi/>
        <w:spacing w:after="140" w:line="320"/>
        <w:jc w:val="both"/>
      </w:pPr>
      <w:r>
        <w:rPr>
          <w:rFonts w:ascii="Arial" w:cs="Arial" w:eastAsia="Arial" w:hAnsi="Arial"/>
          <w:sz w:val="24"/>
          <w:szCs w:val="24"/>
          <w:rtl/>
        </w:rPr>
        <w:t xml:space="preserve">الأصل أن لكل مساهم - بصرف النظر عن عدد أسهمه - الحق في حضور الجمعيات العامة. ومع ذلك، يجوز للنظام الأساس وضع شروط معقولة، شرط ألا تحرم المساهم من هذا الحق الأساسي.</w:t>
      </w:r>
    </w:p>
    <w:p>
      <w:pPr>
        <w:pStyle w:val="Heading2"/>
        <w:bidi/>
        <w:spacing w:after="160" w:before="280"/>
        <w:jc w:val="right"/>
      </w:pPr>
      <w:r>
        <w:rPr>
          <w:rFonts w:ascii="Arial" w:cs="Arial" w:eastAsia="Arial" w:hAnsi="Arial"/>
          <w:b/>
          <w:bCs/>
          <w:color w:val="2E75B6"/>
          <w:sz w:val="30"/>
          <w:szCs w:val="30"/>
          <w:rtl/>
        </w:rPr>
        <w:t xml:space="preserve">الحضور بالأصالة</w:t>
      </w:r>
    </w:p>
    <w:p>
      <w:pPr>
        <w:bidi/>
        <w:spacing w:after="140" w:line="320"/>
        <w:jc w:val="both"/>
      </w:pPr>
      <w:r>
        <w:rPr>
          <w:rFonts w:ascii="Arial" w:cs="Arial" w:eastAsia="Arial" w:hAnsi="Arial"/>
          <w:sz w:val="24"/>
          <w:szCs w:val="24"/>
          <w:rtl/>
        </w:rPr>
        <w:t xml:space="preserve">يعني الحضور الشخصي للمساهم، حيث يحضر بنفسه ويُصوّت بأسهمه مباشرة. وفي العصر الرقمي، يشمل ذلك:</w:t>
      </w:r>
    </w:p>
    <w:p>
      <w:pPr>
        <w:pStyle w:val="ListParagraph"/>
        <w:numPr>
          <w:ilvl w:val="0"/>
          <w:numId w:val="3"/>
        </w:numPr>
        <w:bidi/>
        <w:spacing w:after="100" w:line="300"/>
        <w:jc w:val="right"/>
      </w:pPr>
      <w:r>
        <w:rPr>
          <w:rFonts w:ascii="Arial" w:cs="Arial" w:eastAsia="Arial" w:hAnsi="Arial"/>
          <w:sz w:val="24"/>
          <w:szCs w:val="24"/>
          <w:rtl/>
        </w:rPr>
        <w:t xml:space="preserve">الحضور الجسدي في مكان الانعقاد.</w:t>
      </w:r>
    </w:p>
    <w:p>
      <w:pPr>
        <w:pStyle w:val="ListParagraph"/>
        <w:numPr>
          <w:ilvl w:val="0"/>
          <w:numId w:val="3"/>
        </w:numPr>
        <w:bidi/>
        <w:spacing w:after="100" w:line="300"/>
        <w:jc w:val="right"/>
      </w:pPr>
      <w:r>
        <w:rPr>
          <w:rFonts w:ascii="Arial" w:cs="Arial" w:eastAsia="Arial" w:hAnsi="Arial"/>
          <w:sz w:val="24"/>
          <w:szCs w:val="24"/>
          <w:rtl/>
        </w:rPr>
        <w:t xml:space="preserve">الحضور الافتراضي عبر منصات إلكترونية معتمدة.</w:t>
      </w:r>
    </w:p>
    <w:p>
      <w:pPr>
        <w:pStyle w:val="ListParagraph"/>
        <w:numPr>
          <w:ilvl w:val="0"/>
          <w:numId w:val="3"/>
        </w:numPr>
        <w:bidi/>
        <w:spacing w:after="100" w:line="300"/>
        <w:jc w:val="right"/>
      </w:pPr>
      <w:r>
        <w:rPr>
          <w:rFonts w:ascii="Arial" w:cs="Arial" w:eastAsia="Arial" w:hAnsi="Arial"/>
          <w:sz w:val="24"/>
          <w:szCs w:val="24"/>
          <w:rtl/>
        </w:rPr>
        <w:t xml:space="preserve">التصويت الإلكتروني المسبق (يجب أن يُتاح لفترة لا تقل عن 3 أيام قبل الانعقاد).</w:t>
      </w:r>
    </w:p>
    <w:p>
      <w:pPr>
        <w:pStyle w:val="Heading2"/>
        <w:bidi/>
        <w:spacing w:after="160" w:before="280"/>
        <w:jc w:val="right"/>
      </w:pPr>
      <w:r>
        <w:rPr>
          <w:rFonts w:ascii="Arial" w:cs="Arial" w:eastAsia="Arial" w:hAnsi="Arial"/>
          <w:b/>
          <w:bCs/>
          <w:color w:val="2E75B6"/>
          <w:sz w:val="30"/>
          <w:szCs w:val="30"/>
          <w:rtl/>
        </w:rPr>
        <w:t xml:space="preserve">الحضور بالنيابة (الوكالة)</w:t>
      </w:r>
    </w:p>
    <w:p>
      <w:pPr>
        <w:bidi/>
        <w:spacing w:after="140" w:line="320"/>
        <w:jc w:val="both"/>
      </w:pPr>
      <w:r>
        <w:rPr>
          <w:rFonts w:ascii="Arial" w:cs="Arial" w:eastAsia="Arial" w:hAnsi="Arial"/>
          <w:sz w:val="24"/>
          <w:szCs w:val="24"/>
          <w:rtl/>
        </w:rPr>
        <w:t xml:space="preserve">يجوز للمساهم أن يُوكّل عنه شخصاً آخر لحضور الجمعية والتصويت نيابة عنه، وفق ضوابط:</w:t>
      </w:r>
    </w:p>
    <w:p>
      <w:pPr>
        <w:pStyle w:val="ListParagraph"/>
        <w:numPr>
          <w:ilvl w:val="0"/>
          <w:numId w:val="2"/>
        </w:numPr>
        <w:bidi/>
        <w:spacing w:after="100" w:line="300"/>
        <w:jc w:val="right"/>
      </w:pPr>
      <w:r>
        <w:rPr>
          <w:rFonts w:ascii="Arial" w:cs="Arial" w:eastAsia="Arial" w:hAnsi="Arial"/>
          <w:sz w:val="24"/>
          <w:szCs w:val="24"/>
          <w:rtl/>
        </w:rPr>
        <w:t xml:space="preserve">أن تكون الوكالة مكتوبة.</w:t>
      </w:r>
    </w:p>
    <w:p>
      <w:pPr>
        <w:pStyle w:val="ListParagraph"/>
        <w:numPr>
          <w:ilvl w:val="0"/>
          <w:numId w:val="2"/>
        </w:numPr>
        <w:bidi/>
        <w:spacing w:after="100" w:line="300"/>
        <w:jc w:val="right"/>
      </w:pPr>
      <w:r>
        <w:rPr>
          <w:rFonts w:ascii="Arial" w:cs="Arial" w:eastAsia="Arial" w:hAnsi="Arial"/>
          <w:sz w:val="24"/>
          <w:szCs w:val="24"/>
          <w:rtl/>
        </w:rPr>
        <w:t xml:space="preserve">ألا يكون الوكيل من أعضاء مجلس الإدارة (في الغالب) أو عاملي الشركة.</w:t>
      </w:r>
    </w:p>
    <w:p>
      <w:pPr>
        <w:pStyle w:val="ListParagraph"/>
        <w:numPr>
          <w:ilvl w:val="0"/>
          <w:numId w:val="2"/>
        </w:numPr>
        <w:bidi/>
        <w:spacing w:after="100" w:line="300"/>
        <w:jc w:val="right"/>
      </w:pPr>
      <w:r>
        <w:rPr>
          <w:rFonts w:ascii="Arial" w:cs="Arial" w:eastAsia="Arial" w:hAnsi="Arial"/>
          <w:sz w:val="24"/>
          <w:szCs w:val="24"/>
          <w:rtl/>
        </w:rPr>
        <w:t xml:space="preserve">أن تتضمن الوكالة تفاصيل واضحة عن الجمعية المعنية وحدود التوكيل.</w:t>
      </w:r>
    </w:p>
    <w:p>
      <w:pPr>
        <w:pStyle w:val="ListParagraph"/>
        <w:numPr>
          <w:ilvl w:val="0"/>
          <w:numId w:val="2"/>
        </w:numPr>
        <w:bidi/>
        <w:spacing w:after="100" w:line="300"/>
        <w:jc w:val="right"/>
      </w:pPr>
      <w:r>
        <w:rPr>
          <w:rFonts w:ascii="Arial" w:cs="Arial" w:eastAsia="Arial" w:hAnsi="Arial"/>
          <w:sz w:val="24"/>
          <w:szCs w:val="24"/>
          <w:rtl/>
        </w:rPr>
        <w:t xml:space="preserve">توثيق الوكالة وفق الإجراءات المعتمدة لدى الشركة.</w:t>
      </w:r>
    </w:p>
    <w:p>
      <w:pPr>
        <w:pStyle w:val="Heading2"/>
        <w:bidi/>
        <w:spacing w:after="160" w:before="280"/>
        <w:jc w:val="right"/>
      </w:pPr>
      <w:r>
        <w:rPr>
          <w:rFonts w:ascii="Arial" w:cs="Arial" w:eastAsia="Arial" w:hAnsi="Arial"/>
          <w:b/>
          <w:bCs/>
          <w:color w:val="2E75B6"/>
          <w:sz w:val="30"/>
          <w:szCs w:val="30"/>
          <w:rtl/>
        </w:rPr>
        <w:t xml:space="preserve">المساهمون الذين لا يحق لهم التصويت</w:t>
      </w:r>
    </w:p>
    <w:p>
      <w:pPr>
        <w:bidi/>
        <w:spacing w:after="140" w:line="320"/>
        <w:jc w:val="both"/>
      </w:pPr>
      <w:r>
        <w:rPr>
          <w:rFonts w:ascii="Arial" w:cs="Arial" w:eastAsia="Arial" w:hAnsi="Arial"/>
          <w:sz w:val="24"/>
          <w:szCs w:val="24"/>
          <w:rtl/>
        </w:rPr>
        <w:t xml:space="preserve">في حالات محددة، يُمنع بعض المساهمين من التصويت على بنود معينة:</w:t>
      </w:r>
    </w:p>
    <w:p>
      <w:pPr>
        <w:pStyle w:val="ListParagraph"/>
        <w:numPr>
          <w:ilvl w:val="0"/>
          <w:numId w:val="3"/>
        </w:numPr>
        <w:bidi/>
        <w:spacing w:after="100" w:line="300"/>
        <w:jc w:val="right"/>
      </w:pPr>
      <w:r>
        <w:rPr>
          <w:rFonts w:ascii="Arial" w:cs="Arial" w:eastAsia="Arial" w:hAnsi="Arial"/>
          <w:sz w:val="24"/>
          <w:szCs w:val="24"/>
          <w:rtl/>
        </w:rPr>
        <w:t xml:space="preserve">عضو مجلس الإدارة لا يصوّت على القرارات المتعلقة بإبراء ذمته أو تحديد مكافآته.</w:t>
      </w:r>
    </w:p>
    <w:p>
      <w:pPr>
        <w:pStyle w:val="ListParagraph"/>
        <w:numPr>
          <w:ilvl w:val="0"/>
          <w:numId w:val="3"/>
        </w:numPr>
        <w:bidi/>
        <w:spacing w:after="100" w:line="300"/>
        <w:jc w:val="right"/>
      </w:pPr>
      <w:r>
        <w:rPr>
          <w:rFonts w:ascii="Arial" w:cs="Arial" w:eastAsia="Arial" w:hAnsi="Arial"/>
          <w:sz w:val="24"/>
          <w:szCs w:val="24"/>
          <w:rtl/>
        </w:rPr>
        <w:t xml:space="preserve">صاحب المصلحة في عقد معروض على الجمعية لا يصوّت عليه.</w:t>
      </w:r>
    </w:p>
    <w:p>
      <w:pPr>
        <w:pStyle w:val="ListParagraph"/>
        <w:numPr>
          <w:ilvl w:val="0"/>
          <w:numId w:val="3"/>
        </w:numPr>
        <w:bidi/>
        <w:spacing w:after="100" w:line="300"/>
        <w:jc w:val="right"/>
      </w:pPr>
      <w:r>
        <w:rPr>
          <w:rFonts w:ascii="Arial" w:cs="Arial" w:eastAsia="Arial" w:hAnsi="Arial"/>
          <w:sz w:val="24"/>
          <w:szCs w:val="24"/>
          <w:rtl/>
        </w:rPr>
        <w:t xml:space="preserve">حملة الأسهم الممتازة عادةً لا يصوّتون في الجمعيات العامة (مع استثناءات).</w:t>
      </w:r>
    </w:p>
    <w:p>
      <w:pPr>
        <w:pStyle w:val="ListParagraph"/>
        <w:numPr>
          <w:ilvl w:val="0"/>
          <w:numId w:val="3"/>
        </w:numPr>
        <w:bidi/>
        <w:spacing w:after="100" w:line="300"/>
        <w:jc w:val="right"/>
      </w:pPr>
      <w:r>
        <w:rPr>
          <w:rFonts w:ascii="Arial" w:cs="Arial" w:eastAsia="Arial" w:hAnsi="Arial"/>
          <w:sz w:val="24"/>
          <w:szCs w:val="24"/>
          <w:rtl/>
        </w:rPr>
        <w:t xml:space="preserve">أسهم الخزينة لا يكون لها أصوات.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موقع الجمعية في هرم حوكمة الشركة</w:t>
      </w:r>
    </w:p>
    <w:p>
      <w:pPr>
        <w:bidi/>
        <w:spacing w:after="140" w:line="320"/>
        <w:jc w:val="both"/>
      </w:pPr>
      <w:r>
        <w:rPr>
          <w:rFonts w:ascii="Arial" w:cs="Arial" w:eastAsia="Arial" w:hAnsi="Arial"/>
          <w:sz w:val="24"/>
          <w:szCs w:val="24"/>
          <w:rtl/>
        </w:rPr>
        <w:t xml:space="preserve">لفهم الجمعية العمومية بشكل صحيح، يجب رؤيتها ضمن هيكل الحوكمة الكامل للشركة. وفيما يلي توضيح لهذا الهيكل وموقع الجمعية فيه:</w:t>
      </w:r>
    </w:p>
    <w:p>
      <w:pPr>
        <w:pStyle w:val="Heading2"/>
        <w:bidi/>
        <w:spacing w:after="160" w:before="280"/>
        <w:jc w:val="right"/>
      </w:pPr>
      <w:r>
        <w:rPr>
          <w:rFonts w:ascii="Arial" w:cs="Arial" w:eastAsia="Arial" w:hAnsi="Arial"/>
          <w:b/>
          <w:bCs/>
          <w:color w:val="2E75B6"/>
          <w:sz w:val="30"/>
          <w:szCs w:val="30"/>
          <w:rtl/>
        </w:rPr>
        <w:t xml:space="preserve">الهرم التنظيمي للشركة المساهمة</w:t>
      </w:r>
    </w:p>
    <w:p>
      <w:pPr>
        <w:pStyle w:val="Heading3"/>
        <w:bidi/>
        <w:spacing w:after="120" w:before="200"/>
        <w:jc w:val="right"/>
      </w:pPr>
      <w:r>
        <w:rPr>
          <w:rFonts w:ascii="Arial" w:cs="Arial" w:eastAsia="Arial" w:hAnsi="Arial"/>
          <w:b/>
          <w:bCs/>
          <w:color w:val="1F4E79"/>
          <w:sz w:val="26"/>
          <w:szCs w:val="26"/>
          <w:rtl/>
        </w:rPr>
        <w:t xml:space="preserve">1. القاعدة: المساهمون</w:t>
      </w:r>
    </w:p>
    <w:p>
      <w:pPr>
        <w:bidi/>
        <w:spacing w:after="140" w:line="320"/>
        <w:jc w:val="both"/>
      </w:pPr>
      <w:r>
        <w:rPr>
          <w:rFonts w:ascii="Arial" w:cs="Arial" w:eastAsia="Arial" w:hAnsi="Arial"/>
          <w:sz w:val="24"/>
          <w:szCs w:val="24"/>
          <w:rtl/>
        </w:rPr>
        <w:t xml:space="preserve">هم أصحاب الشركة الفعليون، يملكون الأسهم ويمارسون سلطاتهم من خلال الجمعيات العمومية.</w:t>
      </w:r>
    </w:p>
    <w:p>
      <w:pPr>
        <w:pStyle w:val="Heading3"/>
        <w:bidi/>
        <w:spacing w:after="120" w:before="200"/>
        <w:jc w:val="right"/>
      </w:pPr>
      <w:r>
        <w:rPr>
          <w:rFonts w:ascii="Arial" w:cs="Arial" w:eastAsia="Arial" w:hAnsi="Arial"/>
          <w:b/>
          <w:bCs/>
          <w:color w:val="1F4E79"/>
          <w:sz w:val="26"/>
          <w:szCs w:val="26"/>
          <w:rtl/>
        </w:rPr>
        <w:t xml:space="preserve">2. السلطة العليا: الجمعية العمومية</w:t>
      </w:r>
    </w:p>
    <w:p>
      <w:pPr>
        <w:bidi/>
        <w:spacing w:after="140" w:line="320"/>
        <w:jc w:val="both"/>
      </w:pPr>
      <w:r>
        <w:rPr>
          <w:rFonts w:ascii="Arial" w:cs="Arial" w:eastAsia="Arial" w:hAnsi="Arial"/>
          <w:sz w:val="24"/>
          <w:szCs w:val="24"/>
          <w:rtl/>
        </w:rPr>
        <w:t xml:space="preserve">الجهاز الذي يُجسّد إرادة المساهمين، ويتخذ القرارات المصيرية. تنقسم إلى عادية وغير عادية وخاصة.</w:t>
      </w:r>
    </w:p>
    <w:p>
      <w:pPr>
        <w:pStyle w:val="Heading3"/>
        <w:bidi/>
        <w:spacing w:after="120" w:before="200"/>
        <w:jc w:val="right"/>
      </w:pPr>
      <w:r>
        <w:rPr>
          <w:rFonts w:ascii="Arial" w:cs="Arial" w:eastAsia="Arial" w:hAnsi="Arial"/>
          <w:b/>
          <w:bCs/>
          <w:color w:val="1F4E79"/>
          <w:sz w:val="26"/>
          <w:szCs w:val="26"/>
          <w:rtl/>
        </w:rPr>
        <w:t xml:space="preserve">3. السلطة التنفيذية الاستراتيجية: مجلس الإدارة</w:t>
      </w:r>
    </w:p>
    <w:p>
      <w:pPr>
        <w:bidi/>
        <w:spacing w:after="140" w:line="320"/>
        <w:jc w:val="both"/>
      </w:pPr>
      <w:r>
        <w:rPr>
          <w:rFonts w:ascii="Arial" w:cs="Arial" w:eastAsia="Arial" w:hAnsi="Arial"/>
          <w:sz w:val="24"/>
          <w:szCs w:val="24"/>
          <w:rtl/>
        </w:rPr>
        <w:t xml:space="preserve">ينتخبه المساهمون في الجمعية العمومية، ويتولى الإدارة الاستراتيجية للشركة، ويُحاسب أمام الجمعية.</w:t>
      </w:r>
    </w:p>
    <w:p>
      <w:pPr>
        <w:pStyle w:val="Heading3"/>
        <w:bidi/>
        <w:spacing w:after="120" w:before="200"/>
        <w:jc w:val="right"/>
      </w:pPr>
      <w:r>
        <w:rPr>
          <w:rFonts w:ascii="Arial" w:cs="Arial" w:eastAsia="Arial" w:hAnsi="Arial"/>
          <w:b/>
          <w:bCs/>
          <w:color w:val="1F4E79"/>
          <w:sz w:val="26"/>
          <w:szCs w:val="26"/>
          <w:rtl/>
        </w:rPr>
        <w:t xml:space="preserve">4. اللجان المنبثقة عن المجلس</w:t>
      </w:r>
    </w:p>
    <w:p>
      <w:pPr>
        <w:bidi/>
        <w:spacing w:after="140" w:line="320"/>
        <w:jc w:val="both"/>
      </w:pPr>
      <w:r>
        <w:rPr>
          <w:rFonts w:ascii="Arial" w:cs="Arial" w:eastAsia="Arial" w:hAnsi="Arial"/>
          <w:sz w:val="24"/>
          <w:szCs w:val="24"/>
          <w:rtl/>
        </w:rPr>
        <w:t xml:space="preserve">لجنة المراجعة، لجنة الترشيحات والمكافآت، لجنة المخاطر، وغيرها. كل منها تتخصص في مجال محدد.</w:t>
      </w:r>
    </w:p>
    <w:p>
      <w:pPr>
        <w:pStyle w:val="Heading3"/>
        <w:bidi/>
        <w:spacing w:after="120" w:before="200"/>
        <w:jc w:val="right"/>
      </w:pPr>
      <w:r>
        <w:rPr>
          <w:rFonts w:ascii="Arial" w:cs="Arial" w:eastAsia="Arial" w:hAnsi="Arial"/>
          <w:b/>
          <w:bCs/>
          <w:color w:val="1F4E79"/>
          <w:sz w:val="26"/>
          <w:szCs w:val="26"/>
          <w:rtl/>
        </w:rPr>
        <w:t xml:space="preserve">5. السلطة التنفيذية اليومية: الإدارة التنفيذية</w:t>
      </w:r>
    </w:p>
    <w:p>
      <w:pPr>
        <w:bidi/>
        <w:spacing w:after="140" w:line="320"/>
        <w:jc w:val="both"/>
      </w:pPr>
      <w:r>
        <w:rPr>
          <w:rFonts w:ascii="Arial" w:cs="Arial" w:eastAsia="Arial" w:hAnsi="Arial"/>
          <w:sz w:val="24"/>
          <w:szCs w:val="24"/>
          <w:rtl/>
        </w:rPr>
        <w:t xml:space="preserve">يُعيّنها مجلس الإدارة، وتتولى الإدارة اليومية للشركة وتنفيذ السياسات والاستراتيجيات.</w:t>
      </w:r>
    </w:p>
    <w:p>
      <w:pPr>
        <w:pStyle w:val="Heading3"/>
        <w:bidi/>
        <w:spacing w:after="120" w:before="200"/>
        <w:jc w:val="right"/>
      </w:pPr>
      <w:r>
        <w:rPr>
          <w:rFonts w:ascii="Arial" w:cs="Arial" w:eastAsia="Arial" w:hAnsi="Arial"/>
          <w:b/>
          <w:bCs/>
          <w:color w:val="1F4E79"/>
          <w:sz w:val="26"/>
          <w:szCs w:val="26"/>
          <w:rtl/>
        </w:rPr>
        <w:t xml:space="preserve">6. الموظفون والعاملون</w:t>
      </w:r>
    </w:p>
    <w:p>
      <w:pPr>
        <w:bidi/>
        <w:spacing w:after="140" w:line="320"/>
        <w:jc w:val="both"/>
      </w:pPr>
      <w:r>
        <w:rPr>
          <w:rFonts w:ascii="Arial" w:cs="Arial" w:eastAsia="Arial" w:hAnsi="Arial"/>
          <w:sz w:val="24"/>
          <w:szCs w:val="24"/>
          <w:rtl/>
        </w:rPr>
        <w:t xml:space="preserve">ينفّذون التوجيهات اليومية ويُسهمون في تحقيق أهداف الشركة.</w:t>
      </w:r>
    </w:p>
    <w:p>
      <w:pPr>
        <w:pStyle w:val="Heading2"/>
        <w:bidi/>
        <w:spacing w:after="160" w:before="280"/>
        <w:jc w:val="right"/>
      </w:pPr>
      <w:r>
        <w:rPr>
          <w:rFonts w:ascii="Arial" w:cs="Arial" w:eastAsia="Arial" w:hAnsi="Arial"/>
          <w:b/>
          <w:bCs/>
          <w:color w:val="2E75B6"/>
          <w:sz w:val="30"/>
          <w:szCs w:val="30"/>
          <w:rtl/>
        </w:rPr>
        <w:t xml:space="preserve">العلاقات بين المستويات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المستوى الأعلى</w:t>
            </w:r>
          </w:p>
        </w:tc>
        <w:tc>
          <w:tcPr>
            <w:tcW w:type="dxa" w:w="2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المستوى الأدنى</w:t>
            </w:r>
          </w:p>
        </w:tc>
        <w:tc>
          <w:tcPr>
            <w:tcW w:type="dxa" w:w="46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طبيعة العلاقة</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المساهمون</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الجمعية العمومية</w:t>
            </w:r>
          </w:p>
        </w:tc>
        <w:tc>
          <w:tcPr>
            <w:tcW w:type="dxa" w:w="46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الجمعية تمثل المساهمين وتُجسّد إرادتهم</w:t>
            </w:r>
          </w:p>
        </w:tc>
      </w:tr>
      <w:tr>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الجمعية العمومية</w:t>
            </w:r>
          </w:p>
        </w:tc>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مجلس الإدارة</w:t>
            </w:r>
          </w:p>
        </w:tc>
        <w:tc>
          <w:tcPr>
            <w:tcW w:type="dxa" w:w="46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تنتخبه، تُقيّمه، تُحاسبه، تُبرئ ذمته</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مجلس الإدارة</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اللجان</w:t>
            </w:r>
          </w:p>
        </w:tc>
        <w:tc>
          <w:tcPr>
            <w:tcW w:type="dxa" w:w="46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يشكّلها، يحدد اختصاصاتها، يُشرف عليها</w:t>
            </w:r>
          </w:p>
        </w:tc>
      </w:tr>
      <w:tr>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مجلس الإدارة</w:t>
            </w:r>
          </w:p>
        </w:tc>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الإدارة التنفيذية</w:t>
            </w:r>
          </w:p>
        </w:tc>
        <w:tc>
          <w:tcPr>
            <w:tcW w:type="dxa" w:w="46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يُعيّنها، يحدد سياساتها، يُقيّم أداءها</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الإدارة التنفيذية</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الموظفون</w:t>
            </w:r>
          </w:p>
        </w:tc>
        <w:tc>
          <w:tcPr>
            <w:tcW w:type="dxa" w:w="46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تُديرهم، تُحفّزهم، تُقيّم أداءهم</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مفتاح الفهم</w:t>
            </w:r>
          </w:p>
          <w:p>
            <w:pPr>
              <w:bidi/>
              <w:spacing w:line="300"/>
              <w:jc w:val="both"/>
            </w:pPr>
            <w:r>
              <w:rPr>
                <w:rFonts w:ascii="Arial" w:cs="Arial" w:eastAsia="Arial" w:hAnsi="Arial"/>
                <w:sz w:val="24"/>
                <w:szCs w:val="24"/>
                <w:rtl/>
              </w:rPr>
              <w:t xml:space="preserve">الجمعية العمومية ليست "اجتماعاً" بالمعنى الإداري التقليدي، بل هي السلطة العليا التي تستمد منها كل سلطات الشركة شرعيتها. مجلس الإدارة يستمد سلطته من الجمعية، والإدارة التنفيذية تستمد سلطتها من المجلس. هذه السلسلة من المشروعية تبدأ من المساهمين وتنتهي بآخر موظف في الشركة.</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التطورات الحديثة في الجمعيات العمومية</w:t>
      </w:r>
    </w:p>
    <w:p>
      <w:pPr>
        <w:bidi/>
        <w:spacing w:after="140" w:line="320"/>
        <w:jc w:val="both"/>
      </w:pPr>
      <w:r>
        <w:rPr>
          <w:rFonts w:ascii="Arial" w:cs="Arial" w:eastAsia="Arial" w:hAnsi="Arial"/>
          <w:sz w:val="24"/>
          <w:szCs w:val="24"/>
          <w:rtl/>
        </w:rPr>
        <w:t xml:space="preserve">شهدت الجمعيات العمومية تطورات جوهرية في السنوات الأخيرة، خاصةً مع التحول الرقمي ورؤية المملكة 2030. ومن أبرز هذه التطورات:</w:t>
      </w:r>
    </w:p>
    <w:p>
      <w:pPr>
        <w:pStyle w:val="Heading2"/>
        <w:bidi/>
        <w:spacing w:after="160" w:before="280"/>
        <w:jc w:val="right"/>
      </w:pPr>
      <w:r>
        <w:rPr>
          <w:rFonts w:ascii="Arial" w:cs="Arial" w:eastAsia="Arial" w:hAnsi="Arial"/>
          <w:b/>
          <w:bCs/>
          <w:color w:val="2E75B6"/>
          <w:sz w:val="30"/>
          <w:szCs w:val="30"/>
          <w:rtl/>
        </w:rPr>
        <w:t xml:space="preserve">1. الجمعيات الافتراضية والهجينة</w:t>
      </w:r>
    </w:p>
    <w:p>
      <w:pPr>
        <w:bidi/>
        <w:spacing w:after="140" w:line="320"/>
        <w:jc w:val="both"/>
      </w:pPr>
      <w:r>
        <w:rPr>
          <w:rFonts w:ascii="Arial" w:cs="Arial" w:eastAsia="Arial" w:hAnsi="Arial"/>
          <w:sz w:val="24"/>
          <w:szCs w:val="24"/>
          <w:rtl/>
        </w:rPr>
        <w:t xml:space="preserve">بعد جائحة كوفيد-19، أصبحت الجمعيات الافتراضية معترفاً بها قانونياً في كثير من الأنظمة. ويُتيح النظام السعودي الجديد إمكانية:</w:t>
      </w:r>
    </w:p>
    <w:p>
      <w:pPr>
        <w:pStyle w:val="ListParagraph"/>
        <w:numPr>
          <w:ilvl w:val="0"/>
          <w:numId w:val="3"/>
        </w:numPr>
        <w:bidi/>
        <w:spacing w:after="100" w:line="300"/>
        <w:jc w:val="right"/>
      </w:pPr>
      <w:r>
        <w:rPr>
          <w:rFonts w:ascii="Arial" w:cs="Arial" w:eastAsia="Arial" w:hAnsi="Arial"/>
          <w:sz w:val="24"/>
          <w:szCs w:val="24"/>
          <w:rtl/>
        </w:rPr>
        <w:t xml:space="preserve">عقد الجمعيات بالكامل عبر منصات إلكترونية.</w:t>
      </w:r>
    </w:p>
    <w:p>
      <w:pPr>
        <w:pStyle w:val="ListParagraph"/>
        <w:numPr>
          <w:ilvl w:val="0"/>
          <w:numId w:val="3"/>
        </w:numPr>
        <w:bidi/>
        <w:spacing w:after="100" w:line="300"/>
        <w:jc w:val="right"/>
      </w:pPr>
      <w:r>
        <w:rPr>
          <w:rFonts w:ascii="Arial" w:cs="Arial" w:eastAsia="Arial" w:hAnsi="Arial"/>
          <w:sz w:val="24"/>
          <w:szCs w:val="24"/>
          <w:rtl/>
        </w:rPr>
        <w:t xml:space="preserve">الجمعيات الهجينة (حضور جسدي وافتراضي).</w:t>
      </w:r>
    </w:p>
    <w:p>
      <w:pPr>
        <w:pStyle w:val="ListParagraph"/>
        <w:numPr>
          <w:ilvl w:val="0"/>
          <w:numId w:val="3"/>
        </w:numPr>
        <w:bidi/>
        <w:spacing w:after="100" w:line="300"/>
        <w:jc w:val="right"/>
      </w:pPr>
      <w:r>
        <w:rPr>
          <w:rFonts w:ascii="Arial" w:cs="Arial" w:eastAsia="Arial" w:hAnsi="Arial"/>
          <w:sz w:val="24"/>
          <w:szCs w:val="24"/>
          <w:rtl/>
        </w:rPr>
        <w:t xml:space="preserve">التصويت الإلكتروني المسبق والآني.</w:t>
      </w:r>
    </w:p>
    <w:p>
      <w:pPr>
        <w:pStyle w:val="ListParagraph"/>
        <w:numPr>
          <w:ilvl w:val="0"/>
          <w:numId w:val="3"/>
        </w:numPr>
        <w:bidi/>
        <w:spacing w:after="100" w:line="300"/>
        <w:jc w:val="right"/>
      </w:pPr>
      <w:r>
        <w:rPr>
          <w:rFonts w:ascii="Arial" w:cs="Arial" w:eastAsia="Arial" w:hAnsi="Arial"/>
          <w:sz w:val="24"/>
          <w:szCs w:val="24"/>
          <w:rtl/>
        </w:rPr>
        <w:t xml:space="preserve">بث الجمعيات مباشرة للمساهمين غير القادرين على الحضور.</w:t>
      </w:r>
    </w:p>
    <w:p>
      <w:pPr>
        <w:pStyle w:val="Heading2"/>
        <w:bidi/>
        <w:spacing w:after="160" w:before="280"/>
        <w:jc w:val="right"/>
      </w:pPr>
      <w:r>
        <w:rPr>
          <w:rFonts w:ascii="Arial" w:cs="Arial" w:eastAsia="Arial" w:hAnsi="Arial"/>
          <w:b/>
          <w:bCs/>
          <w:color w:val="2E75B6"/>
          <w:sz w:val="30"/>
          <w:szCs w:val="30"/>
          <w:rtl/>
        </w:rPr>
        <w:t xml:space="preserve">2. التصويت الإلكتروني المسبق</w:t>
      </w:r>
    </w:p>
    <w:p>
      <w:pPr>
        <w:bidi/>
        <w:spacing w:after="140" w:line="320"/>
        <w:jc w:val="both"/>
      </w:pPr>
      <w:r>
        <w:rPr>
          <w:rFonts w:ascii="Arial" w:cs="Arial" w:eastAsia="Arial" w:hAnsi="Arial"/>
          <w:sz w:val="24"/>
          <w:szCs w:val="24"/>
          <w:rtl/>
        </w:rPr>
        <w:t xml:space="preserve">وفقاً للائحة التنفيذية، يُفتح باب التصويت الآلي على بنود جدول الأعمال بعد تاريخ نشر الدعوة، على ألا تقل فترة إتاحة التصويت الآلي عن ثلاثة أيام قبل تاريخ انعقاد الجمعية. ويتوقف التصويت الآلي على البند عند انتهاء مناقشته والتصويت عليه في الجمعية.</w:t>
      </w:r>
    </w:p>
    <w:p>
      <w:pPr>
        <w:pStyle w:val="Heading2"/>
        <w:bidi/>
        <w:spacing w:after="160" w:before="280"/>
        <w:jc w:val="right"/>
      </w:pPr>
      <w:r>
        <w:rPr>
          <w:rFonts w:ascii="Arial" w:cs="Arial" w:eastAsia="Arial" w:hAnsi="Arial"/>
          <w:b/>
          <w:bCs/>
          <w:color w:val="2E75B6"/>
          <w:sz w:val="30"/>
          <w:szCs w:val="30"/>
          <w:rtl/>
        </w:rPr>
        <w:t xml:space="preserve">3. تيسير المشاركة</w:t>
      </w:r>
    </w:p>
    <w:p>
      <w:pPr>
        <w:bidi/>
        <w:spacing w:after="140" w:line="320"/>
        <w:jc w:val="both"/>
      </w:pPr>
      <w:r>
        <w:rPr>
          <w:rFonts w:ascii="Arial" w:cs="Arial" w:eastAsia="Arial" w:hAnsi="Arial"/>
          <w:sz w:val="24"/>
          <w:szCs w:val="24"/>
          <w:rtl/>
        </w:rPr>
        <w:t xml:space="preserve">اتجهت التشريعات الحديثة إلى تيسير مشاركة المساهمين الأقلية وصغار المستثمرين:</w:t>
      </w:r>
    </w:p>
    <w:p>
      <w:pPr>
        <w:pStyle w:val="ListParagraph"/>
        <w:numPr>
          <w:ilvl w:val="0"/>
          <w:numId w:val="3"/>
        </w:numPr>
        <w:bidi/>
        <w:spacing w:after="100" w:line="300"/>
        <w:jc w:val="right"/>
      </w:pPr>
      <w:r>
        <w:rPr>
          <w:rFonts w:ascii="Arial" w:cs="Arial" w:eastAsia="Arial" w:hAnsi="Arial"/>
          <w:sz w:val="24"/>
          <w:szCs w:val="24"/>
          <w:rtl/>
        </w:rPr>
        <w:t xml:space="preserve">إلغاء شرط الحد الأدنى من الأسهم لحضور الجمعية.</w:t>
      </w:r>
    </w:p>
    <w:p>
      <w:pPr>
        <w:pStyle w:val="ListParagraph"/>
        <w:numPr>
          <w:ilvl w:val="0"/>
          <w:numId w:val="3"/>
        </w:numPr>
        <w:bidi/>
        <w:spacing w:after="100" w:line="300"/>
        <w:jc w:val="right"/>
      </w:pPr>
      <w:r>
        <w:rPr>
          <w:rFonts w:ascii="Arial" w:cs="Arial" w:eastAsia="Arial" w:hAnsi="Arial"/>
          <w:sz w:val="24"/>
          <w:szCs w:val="24"/>
          <w:rtl/>
        </w:rPr>
        <w:t xml:space="preserve">توفير قنوات إلكترونية متعددة للمشاركة.</w:t>
      </w:r>
    </w:p>
    <w:p>
      <w:pPr>
        <w:pStyle w:val="ListParagraph"/>
        <w:numPr>
          <w:ilvl w:val="0"/>
          <w:numId w:val="3"/>
        </w:numPr>
        <w:bidi/>
        <w:spacing w:after="100" w:line="300"/>
        <w:jc w:val="right"/>
      </w:pPr>
      <w:r>
        <w:rPr>
          <w:rFonts w:ascii="Arial" w:cs="Arial" w:eastAsia="Arial" w:hAnsi="Arial"/>
          <w:sz w:val="24"/>
          <w:szCs w:val="24"/>
          <w:rtl/>
        </w:rPr>
        <w:t xml:space="preserve">إتاحة الوثائق إلكترونياً قبل الجمعية بفترة كافية.</w:t>
      </w:r>
    </w:p>
    <w:p>
      <w:pPr>
        <w:pStyle w:val="ListParagraph"/>
        <w:numPr>
          <w:ilvl w:val="0"/>
          <w:numId w:val="3"/>
        </w:numPr>
        <w:bidi/>
        <w:spacing w:after="100" w:line="300"/>
        <w:jc w:val="right"/>
      </w:pPr>
      <w:r>
        <w:rPr>
          <w:rFonts w:ascii="Arial" w:cs="Arial" w:eastAsia="Arial" w:hAnsi="Arial"/>
          <w:sz w:val="24"/>
          <w:szCs w:val="24"/>
          <w:rtl/>
        </w:rPr>
        <w:t xml:space="preserve">تطوير آليات التوكيل الإلكتروني.</w:t>
      </w:r>
    </w:p>
    <w:p>
      <w:pPr>
        <w:pStyle w:val="Heading2"/>
        <w:bidi/>
        <w:spacing w:after="160" w:before="280"/>
        <w:jc w:val="right"/>
      </w:pPr>
      <w:r>
        <w:rPr>
          <w:rFonts w:ascii="Arial" w:cs="Arial" w:eastAsia="Arial" w:hAnsi="Arial"/>
          <w:b/>
          <w:bCs/>
          <w:color w:val="2E75B6"/>
          <w:sz w:val="30"/>
          <w:szCs w:val="30"/>
          <w:rtl/>
        </w:rPr>
        <w:t xml:space="preserve">4. زيادة الشفافية</w:t>
      </w:r>
    </w:p>
    <w:p>
      <w:pPr>
        <w:pStyle w:val="ListParagraph"/>
        <w:numPr>
          <w:ilvl w:val="0"/>
          <w:numId w:val="3"/>
        </w:numPr>
        <w:bidi/>
        <w:spacing w:after="100" w:line="300"/>
        <w:jc w:val="right"/>
      </w:pPr>
      <w:r>
        <w:rPr>
          <w:rFonts w:ascii="Arial" w:cs="Arial" w:eastAsia="Arial" w:hAnsi="Arial"/>
          <w:sz w:val="24"/>
          <w:szCs w:val="24"/>
          <w:rtl/>
        </w:rPr>
        <w:t xml:space="preserve">إلزام الشركات بنشر تفاصيل الجمعيات على منصة "تداول".</w:t>
      </w:r>
    </w:p>
    <w:p>
      <w:pPr>
        <w:pStyle w:val="ListParagraph"/>
        <w:numPr>
          <w:ilvl w:val="0"/>
          <w:numId w:val="3"/>
        </w:numPr>
        <w:bidi/>
        <w:spacing w:after="100" w:line="300"/>
        <w:jc w:val="right"/>
      </w:pPr>
      <w:r>
        <w:rPr>
          <w:rFonts w:ascii="Arial" w:cs="Arial" w:eastAsia="Arial" w:hAnsi="Arial"/>
          <w:sz w:val="24"/>
          <w:szCs w:val="24"/>
          <w:rtl/>
        </w:rPr>
        <w:t xml:space="preserve">الإفصاح المسبق عن جدول الأعمال والمستندات المتعلقة.</w:t>
      </w:r>
    </w:p>
    <w:p>
      <w:pPr>
        <w:pStyle w:val="ListParagraph"/>
        <w:numPr>
          <w:ilvl w:val="0"/>
          <w:numId w:val="3"/>
        </w:numPr>
        <w:bidi/>
        <w:spacing w:after="100" w:line="300"/>
        <w:jc w:val="right"/>
      </w:pPr>
      <w:r>
        <w:rPr>
          <w:rFonts w:ascii="Arial" w:cs="Arial" w:eastAsia="Arial" w:hAnsi="Arial"/>
          <w:sz w:val="24"/>
          <w:szCs w:val="24"/>
          <w:rtl/>
        </w:rPr>
        <w:t xml:space="preserve">نشر نتائج التصويت تفصيلياً بعد الجمعية.</w:t>
      </w:r>
    </w:p>
    <w:p>
      <w:pPr>
        <w:pStyle w:val="ListParagraph"/>
        <w:numPr>
          <w:ilvl w:val="0"/>
          <w:numId w:val="3"/>
        </w:numPr>
        <w:bidi/>
        <w:spacing w:after="100" w:line="300"/>
        <w:jc w:val="right"/>
      </w:pPr>
      <w:r>
        <w:rPr>
          <w:rFonts w:ascii="Arial" w:cs="Arial" w:eastAsia="Arial" w:hAnsi="Arial"/>
          <w:sz w:val="24"/>
          <w:szCs w:val="24"/>
          <w:rtl/>
        </w:rPr>
        <w:t xml:space="preserve">الإفصاح عن أي تعارض مصالح.</w:t>
      </w:r>
    </w:p>
    <w:p>
      <w:pPr>
        <w:pStyle w:val="Heading2"/>
        <w:bidi/>
        <w:spacing w:after="160" w:before="280"/>
        <w:jc w:val="right"/>
      </w:pPr>
      <w:r>
        <w:rPr>
          <w:rFonts w:ascii="Arial" w:cs="Arial" w:eastAsia="Arial" w:hAnsi="Arial"/>
          <w:b/>
          <w:bCs/>
          <w:color w:val="2E75B6"/>
          <w:sz w:val="30"/>
          <w:szCs w:val="30"/>
          <w:rtl/>
        </w:rPr>
        <w:t xml:space="preserve">5. الأمن السيبراني</w:t>
      </w:r>
    </w:p>
    <w:p>
      <w:pPr>
        <w:bidi/>
        <w:spacing w:after="140" w:line="320"/>
        <w:jc w:val="both"/>
      </w:pPr>
      <w:r>
        <w:rPr>
          <w:rFonts w:ascii="Arial" w:cs="Arial" w:eastAsia="Arial" w:hAnsi="Arial"/>
          <w:sz w:val="24"/>
          <w:szCs w:val="24"/>
          <w:rtl/>
        </w:rPr>
        <w:t xml:space="preserve">مع التحول الرقمي، أصبح الأمن السيبراني محوراً مهماً في إدارة الجمعيات:</w:t>
      </w:r>
    </w:p>
    <w:p>
      <w:pPr>
        <w:pStyle w:val="ListParagraph"/>
        <w:numPr>
          <w:ilvl w:val="0"/>
          <w:numId w:val="3"/>
        </w:numPr>
        <w:bidi/>
        <w:spacing w:after="100" w:line="300"/>
        <w:jc w:val="right"/>
      </w:pPr>
      <w:r>
        <w:rPr>
          <w:rFonts w:ascii="Arial" w:cs="Arial" w:eastAsia="Arial" w:hAnsi="Arial"/>
          <w:sz w:val="24"/>
          <w:szCs w:val="24"/>
          <w:rtl/>
        </w:rPr>
        <w:t xml:space="preserve">حماية بيانات المساهمين والتصويت من الاختراق.</w:t>
      </w:r>
    </w:p>
    <w:p>
      <w:pPr>
        <w:pStyle w:val="ListParagraph"/>
        <w:numPr>
          <w:ilvl w:val="0"/>
          <w:numId w:val="3"/>
        </w:numPr>
        <w:bidi/>
        <w:spacing w:after="100" w:line="300"/>
        <w:jc w:val="right"/>
      </w:pPr>
      <w:r>
        <w:rPr>
          <w:rFonts w:ascii="Arial" w:cs="Arial" w:eastAsia="Arial" w:hAnsi="Arial"/>
          <w:sz w:val="24"/>
          <w:szCs w:val="24"/>
          <w:rtl/>
        </w:rPr>
        <w:t xml:space="preserve">ضمان سلامة عمليات التصويت الإلكتروني.</w:t>
      </w:r>
    </w:p>
    <w:p>
      <w:pPr>
        <w:pStyle w:val="ListParagraph"/>
        <w:numPr>
          <w:ilvl w:val="0"/>
          <w:numId w:val="3"/>
        </w:numPr>
        <w:bidi/>
        <w:spacing w:after="100" w:line="300"/>
        <w:jc w:val="right"/>
      </w:pPr>
      <w:r>
        <w:rPr>
          <w:rFonts w:ascii="Arial" w:cs="Arial" w:eastAsia="Arial" w:hAnsi="Arial"/>
          <w:sz w:val="24"/>
          <w:szCs w:val="24"/>
          <w:rtl/>
        </w:rPr>
        <w:t xml:space="preserve">التحقق من هوية المشاركين.</w:t>
      </w:r>
    </w:p>
    <w:p>
      <w:pPr>
        <w:pStyle w:val="ListParagraph"/>
        <w:numPr>
          <w:ilvl w:val="0"/>
          <w:numId w:val="3"/>
        </w:numPr>
        <w:bidi/>
        <w:spacing w:after="100" w:line="300"/>
        <w:jc w:val="right"/>
      </w:pPr>
      <w:r>
        <w:rPr>
          <w:rFonts w:ascii="Arial" w:cs="Arial" w:eastAsia="Arial" w:hAnsi="Arial"/>
          <w:sz w:val="24"/>
          <w:szCs w:val="24"/>
          <w:rtl/>
        </w:rPr>
        <w:t xml:space="preserve">الامتثال لنظام حماية البيانات الشخصية.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التحديات الشائعة في إدارة الجمعيات</w:t>
      </w:r>
    </w:p>
    <w:p>
      <w:pPr>
        <w:bidi/>
        <w:spacing w:after="140" w:line="320"/>
        <w:jc w:val="both"/>
      </w:pPr>
      <w:r>
        <w:rPr>
          <w:rFonts w:ascii="Arial" w:cs="Arial" w:eastAsia="Arial" w:hAnsi="Arial"/>
          <w:sz w:val="24"/>
          <w:szCs w:val="24"/>
          <w:rtl/>
        </w:rPr>
        <w:t xml:space="preserve">رغم التطور التشريعي والتقني، تواجه الشركات تحديات متعددة في إدارة جمعياتها العمومية:</w:t>
      </w:r>
    </w:p>
    <w:p>
      <w:pPr>
        <w:pStyle w:val="Heading2"/>
        <w:bidi/>
        <w:spacing w:after="160" w:before="280"/>
        <w:jc w:val="right"/>
      </w:pPr>
      <w:r>
        <w:rPr>
          <w:rFonts w:ascii="Arial" w:cs="Arial" w:eastAsia="Arial" w:hAnsi="Arial"/>
          <w:b/>
          <w:bCs/>
          <w:color w:val="2E75B6"/>
          <w:sz w:val="30"/>
          <w:szCs w:val="30"/>
          <w:rtl/>
        </w:rPr>
        <w:t xml:space="preserve">1. ضعف المشاركة</w:t>
      </w:r>
    </w:p>
    <w:p>
      <w:pPr>
        <w:bidi/>
        <w:spacing w:after="140" w:line="320"/>
        <w:jc w:val="both"/>
      </w:pPr>
      <w:r>
        <w:rPr>
          <w:rFonts w:ascii="Arial" w:cs="Arial" w:eastAsia="Arial" w:hAnsi="Arial"/>
          <w:sz w:val="24"/>
          <w:szCs w:val="24"/>
          <w:rtl/>
        </w:rPr>
        <w:t xml:space="preserve">التحدي: كثير من المساهمين - خاصةً صغار المستثمرين - لا يحضرون الجمعيات، مما يُؤثر على شرعية القرارات وتمثيلها لإرادة جميع المساهمين.</w:t>
      </w:r>
    </w:p>
    <w:p>
      <w:pPr>
        <w:bidi/>
        <w:spacing w:after="140" w:line="320"/>
        <w:jc w:val="both"/>
      </w:pPr>
      <w:r>
        <w:rPr>
          <w:rFonts w:ascii="Arial" w:cs="Arial" w:eastAsia="Arial" w:hAnsi="Arial"/>
          <w:sz w:val="24"/>
          <w:szCs w:val="24"/>
          <w:rtl/>
        </w:rPr>
        <w:t xml:space="preserve">الأسباب: عدم الوعي بالحقوق، صعوبة الإجراءات، شعور المساهم الصغير بضعف تأثيره، تشتت المساهمين جغرافياً.</w:t>
      </w:r>
    </w:p>
    <w:p>
      <w:pPr>
        <w:pStyle w:val="Heading2"/>
        <w:bidi/>
        <w:spacing w:after="160" w:before="280"/>
        <w:jc w:val="right"/>
      </w:pPr>
      <w:r>
        <w:rPr>
          <w:rFonts w:ascii="Arial" w:cs="Arial" w:eastAsia="Arial" w:hAnsi="Arial"/>
          <w:b/>
          <w:bCs/>
          <w:color w:val="2E75B6"/>
          <w:sz w:val="30"/>
          <w:szCs w:val="30"/>
          <w:rtl/>
        </w:rPr>
        <w:t xml:space="preserve">2. تعقيد الإجراءات</w:t>
      </w:r>
    </w:p>
    <w:p>
      <w:pPr>
        <w:bidi/>
        <w:spacing w:after="140" w:line="320"/>
        <w:jc w:val="both"/>
      </w:pPr>
      <w:r>
        <w:rPr>
          <w:rFonts w:ascii="Arial" w:cs="Arial" w:eastAsia="Arial" w:hAnsi="Arial"/>
          <w:sz w:val="24"/>
          <w:szCs w:val="24"/>
          <w:rtl/>
        </w:rPr>
        <w:t xml:space="preserve">التحدي: قد تكون إجراءات الدعوة، التسجيل، التصويت معقدة بشكل يُثبط المساهمين عن المشاركة.</w:t>
      </w:r>
    </w:p>
    <w:p>
      <w:pPr>
        <w:pStyle w:val="Heading2"/>
        <w:bidi/>
        <w:spacing w:after="160" w:before="280"/>
        <w:jc w:val="right"/>
      </w:pPr>
      <w:r>
        <w:rPr>
          <w:rFonts w:ascii="Arial" w:cs="Arial" w:eastAsia="Arial" w:hAnsi="Arial"/>
          <w:b/>
          <w:bCs/>
          <w:color w:val="2E75B6"/>
          <w:sz w:val="30"/>
          <w:szCs w:val="30"/>
          <w:rtl/>
        </w:rPr>
        <w:t xml:space="preserve">3. الفجوة المعلوماتية</w:t>
      </w:r>
    </w:p>
    <w:p>
      <w:pPr>
        <w:bidi/>
        <w:spacing w:after="140" w:line="320"/>
        <w:jc w:val="both"/>
      </w:pPr>
      <w:r>
        <w:rPr>
          <w:rFonts w:ascii="Arial" w:cs="Arial" w:eastAsia="Arial" w:hAnsi="Arial"/>
          <w:sz w:val="24"/>
          <w:szCs w:val="24"/>
          <w:rtl/>
        </w:rPr>
        <w:t xml:space="preserve">التحدي: عدم وصول المعلومات الكافية للمساهمين قبل الجمعية يمنعهم من اتخاذ قرارات مدروسة.</w:t>
      </w:r>
    </w:p>
    <w:p>
      <w:pPr>
        <w:pStyle w:val="Heading2"/>
        <w:bidi/>
        <w:spacing w:after="160" w:before="280"/>
        <w:jc w:val="right"/>
      </w:pPr>
      <w:r>
        <w:rPr>
          <w:rFonts w:ascii="Arial" w:cs="Arial" w:eastAsia="Arial" w:hAnsi="Arial"/>
          <w:b/>
          <w:bCs/>
          <w:color w:val="2E75B6"/>
          <w:sz w:val="30"/>
          <w:szCs w:val="30"/>
          <w:rtl/>
        </w:rPr>
        <w:t xml:space="preserve">4. الجمعيات الشكلية</w:t>
      </w:r>
    </w:p>
    <w:p>
      <w:pPr>
        <w:bidi/>
        <w:spacing w:after="140" w:line="320"/>
        <w:jc w:val="both"/>
      </w:pPr>
      <w:r>
        <w:rPr>
          <w:rFonts w:ascii="Arial" w:cs="Arial" w:eastAsia="Arial" w:hAnsi="Arial"/>
          <w:sz w:val="24"/>
          <w:szCs w:val="24"/>
          <w:rtl/>
        </w:rPr>
        <w:t xml:space="preserve">التحدي: في بعض الحالات تُدار الجمعيات بشكل شكلي، حيث تكون القرارات قد اتُّخذت مسبقاً، والمناقشة قاصرة على المظهر.</w:t>
      </w:r>
    </w:p>
    <w:p>
      <w:pPr>
        <w:pStyle w:val="Heading2"/>
        <w:bidi/>
        <w:spacing w:after="160" w:before="280"/>
        <w:jc w:val="right"/>
      </w:pPr>
      <w:r>
        <w:rPr>
          <w:rFonts w:ascii="Arial" w:cs="Arial" w:eastAsia="Arial" w:hAnsi="Arial"/>
          <w:b/>
          <w:bCs/>
          <w:color w:val="2E75B6"/>
          <w:sz w:val="30"/>
          <w:szCs w:val="30"/>
          <w:rtl/>
        </w:rPr>
        <w:t xml:space="preserve">5. تعارض المصالح</w:t>
      </w:r>
    </w:p>
    <w:p>
      <w:pPr>
        <w:bidi/>
        <w:spacing w:after="140" w:line="320"/>
        <w:jc w:val="both"/>
      </w:pPr>
      <w:r>
        <w:rPr>
          <w:rFonts w:ascii="Arial" w:cs="Arial" w:eastAsia="Arial" w:hAnsi="Arial"/>
          <w:sz w:val="24"/>
          <w:szCs w:val="24"/>
          <w:rtl/>
        </w:rPr>
        <w:t xml:space="preserve">التحدي: ظهور تعارض مصالح بين المساهمين الكبار والصغار، أو بين الإدارة والمساهمين.</w:t>
      </w:r>
    </w:p>
    <w:p>
      <w:pPr>
        <w:pStyle w:val="Heading2"/>
        <w:bidi/>
        <w:spacing w:after="160" w:before="280"/>
        <w:jc w:val="right"/>
      </w:pPr>
      <w:r>
        <w:rPr>
          <w:rFonts w:ascii="Arial" w:cs="Arial" w:eastAsia="Arial" w:hAnsi="Arial"/>
          <w:b/>
          <w:bCs/>
          <w:color w:val="2E75B6"/>
          <w:sz w:val="30"/>
          <w:szCs w:val="30"/>
          <w:rtl/>
        </w:rPr>
        <w:t xml:space="preserve">6. التحديات التقنية</w:t>
      </w:r>
    </w:p>
    <w:p>
      <w:pPr>
        <w:bidi/>
        <w:spacing w:after="140" w:line="320"/>
        <w:jc w:val="both"/>
      </w:pPr>
      <w:r>
        <w:rPr>
          <w:rFonts w:ascii="Arial" w:cs="Arial" w:eastAsia="Arial" w:hAnsi="Arial"/>
          <w:sz w:val="24"/>
          <w:szCs w:val="24"/>
          <w:rtl/>
        </w:rPr>
        <w:t xml:space="preserve">التحدي: في الجمعيات الافتراضية، قد تظهر مشاكل تقنية تُؤثر على سلامة الانعقاد.</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أفضل الممارسات في إدارة الجمعيات</w:t>
      </w:r>
    </w:p>
    <w:p>
      <w:pPr>
        <w:bidi/>
        <w:spacing w:after="140" w:line="320"/>
        <w:jc w:val="both"/>
      </w:pPr>
      <w:r>
        <w:rPr>
          <w:rFonts w:ascii="Arial" w:cs="Arial" w:eastAsia="Arial" w:hAnsi="Arial"/>
          <w:sz w:val="24"/>
          <w:szCs w:val="24"/>
          <w:rtl/>
        </w:rPr>
        <w:t xml:space="preserve">تتميز الشركات الرائدة بتطبيق ممارسات متقدمة في إدارة جمعياتها العمومية:</w:t>
      </w:r>
    </w:p>
    <w:p>
      <w:pPr>
        <w:pStyle w:val="ListParagraph"/>
        <w:numPr>
          <w:ilvl w:val="0"/>
          <w:numId w:val="2"/>
        </w:numPr>
        <w:bidi/>
        <w:spacing w:after="100" w:line="300"/>
        <w:jc w:val="right"/>
      </w:pPr>
      <w:r>
        <w:rPr>
          <w:rFonts w:ascii="Arial" w:cs="Arial" w:eastAsia="Arial" w:hAnsi="Arial"/>
          <w:sz w:val="24"/>
          <w:szCs w:val="24"/>
          <w:rtl/>
        </w:rPr>
        <w:t xml:space="preserve">التخطيط المبكر: البدء بالتحضير قبل الجمعية بفترة كافية (لا تقل عن 6-8 أسابيع).</w:t>
      </w:r>
    </w:p>
    <w:p>
      <w:pPr>
        <w:pStyle w:val="ListParagraph"/>
        <w:numPr>
          <w:ilvl w:val="0"/>
          <w:numId w:val="2"/>
        </w:numPr>
        <w:bidi/>
        <w:spacing w:after="100" w:line="300"/>
        <w:jc w:val="right"/>
      </w:pPr>
      <w:r>
        <w:rPr>
          <w:rFonts w:ascii="Arial" w:cs="Arial" w:eastAsia="Arial" w:hAnsi="Arial"/>
          <w:sz w:val="24"/>
          <w:szCs w:val="24"/>
          <w:rtl/>
        </w:rPr>
        <w:t xml:space="preserve">التواصل الفعّال: استخدام قنوات متعددة للتواصل مع المساهمين قبل الجمعية وأثناءها وبعدها.</w:t>
      </w:r>
    </w:p>
    <w:p>
      <w:pPr>
        <w:pStyle w:val="ListParagraph"/>
        <w:numPr>
          <w:ilvl w:val="0"/>
          <w:numId w:val="2"/>
        </w:numPr>
        <w:bidi/>
        <w:spacing w:after="100" w:line="300"/>
        <w:jc w:val="right"/>
      </w:pPr>
      <w:r>
        <w:rPr>
          <w:rFonts w:ascii="Arial" w:cs="Arial" w:eastAsia="Arial" w:hAnsi="Arial"/>
          <w:sz w:val="24"/>
          <w:szCs w:val="24"/>
          <w:rtl/>
        </w:rPr>
        <w:t xml:space="preserve">الشفافية الكاملة: نشر جميع الوثائق ذات العلاقة قبل الجمعية بمدة كافية.</w:t>
      </w:r>
    </w:p>
    <w:p>
      <w:pPr>
        <w:pStyle w:val="ListParagraph"/>
        <w:numPr>
          <w:ilvl w:val="0"/>
          <w:numId w:val="2"/>
        </w:numPr>
        <w:bidi/>
        <w:spacing w:after="100" w:line="300"/>
        <w:jc w:val="right"/>
      </w:pPr>
      <w:r>
        <w:rPr>
          <w:rFonts w:ascii="Arial" w:cs="Arial" w:eastAsia="Arial" w:hAnsi="Arial"/>
          <w:sz w:val="24"/>
          <w:szCs w:val="24"/>
          <w:rtl/>
        </w:rPr>
        <w:t xml:space="preserve">لغة الوضوح: صياغة جدول الأعمال والقرارات بلغة واضحة ومفهومة لغير المتخصصين.</w:t>
      </w:r>
    </w:p>
    <w:p>
      <w:pPr>
        <w:pStyle w:val="ListParagraph"/>
        <w:numPr>
          <w:ilvl w:val="0"/>
          <w:numId w:val="2"/>
        </w:numPr>
        <w:bidi/>
        <w:spacing w:after="100" w:line="300"/>
        <w:jc w:val="right"/>
      </w:pPr>
      <w:r>
        <w:rPr>
          <w:rFonts w:ascii="Arial" w:cs="Arial" w:eastAsia="Arial" w:hAnsi="Arial"/>
          <w:sz w:val="24"/>
          <w:szCs w:val="24"/>
          <w:rtl/>
        </w:rPr>
        <w:t xml:space="preserve">تيسير الحضور: توفير خيارات متعددة للحضور (جسدي، افتراضي، توكيل، تصويت إلكتروني مسبق).</w:t>
      </w:r>
    </w:p>
    <w:p>
      <w:pPr>
        <w:pStyle w:val="ListParagraph"/>
        <w:numPr>
          <w:ilvl w:val="0"/>
          <w:numId w:val="2"/>
        </w:numPr>
        <w:bidi/>
        <w:spacing w:after="100" w:line="300"/>
        <w:jc w:val="right"/>
      </w:pPr>
      <w:r>
        <w:rPr>
          <w:rFonts w:ascii="Arial" w:cs="Arial" w:eastAsia="Arial" w:hAnsi="Arial"/>
          <w:sz w:val="24"/>
          <w:szCs w:val="24"/>
          <w:rtl/>
        </w:rPr>
        <w:t xml:space="preserve">إتاحة المناقشة: تخصيص وقت كافٍ للأسئلة والمناقشة قبل التصويت.</w:t>
      </w:r>
    </w:p>
    <w:p>
      <w:pPr>
        <w:pStyle w:val="ListParagraph"/>
        <w:numPr>
          <w:ilvl w:val="0"/>
          <w:numId w:val="2"/>
        </w:numPr>
        <w:bidi/>
        <w:spacing w:after="100" w:line="300"/>
        <w:jc w:val="right"/>
      </w:pPr>
      <w:r>
        <w:rPr>
          <w:rFonts w:ascii="Arial" w:cs="Arial" w:eastAsia="Arial" w:hAnsi="Arial"/>
          <w:sz w:val="24"/>
          <w:szCs w:val="24"/>
          <w:rtl/>
        </w:rPr>
        <w:t xml:space="preserve">التصويت السري: عند الحاجة، إتاحة التصويت السري لحماية المساهمين.</w:t>
      </w:r>
    </w:p>
    <w:p>
      <w:pPr>
        <w:pStyle w:val="ListParagraph"/>
        <w:numPr>
          <w:ilvl w:val="0"/>
          <w:numId w:val="2"/>
        </w:numPr>
        <w:bidi/>
        <w:spacing w:after="100" w:line="300"/>
        <w:jc w:val="right"/>
      </w:pPr>
      <w:r>
        <w:rPr>
          <w:rFonts w:ascii="Arial" w:cs="Arial" w:eastAsia="Arial" w:hAnsi="Arial"/>
          <w:sz w:val="24"/>
          <w:szCs w:val="24"/>
          <w:rtl/>
        </w:rPr>
        <w:t xml:space="preserve">التوثيق الدقيق: توثيق شامل لما دار في الجمعية مع نتائج التصويت التفصيلية.</w:t>
      </w:r>
    </w:p>
    <w:p>
      <w:pPr>
        <w:pStyle w:val="ListParagraph"/>
        <w:numPr>
          <w:ilvl w:val="0"/>
          <w:numId w:val="2"/>
        </w:numPr>
        <w:bidi/>
        <w:spacing w:after="100" w:line="300"/>
        <w:jc w:val="right"/>
      </w:pPr>
      <w:r>
        <w:rPr>
          <w:rFonts w:ascii="Arial" w:cs="Arial" w:eastAsia="Arial" w:hAnsi="Arial"/>
          <w:sz w:val="24"/>
          <w:szCs w:val="24"/>
          <w:rtl/>
        </w:rPr>
        <w:t xml:space="preserve">المتابعة بعد الجمعية: إرسال ملخص للمساهمين بنتائج الجمعية وقرارتها.</w:t>
      </w:r>
    </w:p>
    <w:p>
      <w:pPr>
        <w:pStyle w:val="ListParagraph"/>
        <w:numPr>
          <w:ilvl w:val="0"/>
          <w:numId w:val="2"/>
        </w:numPr>
        <w:bidi/>
        <w:spacing w:after="100" w:line="300"/>
        <w:jc w:val="right"/>
      </w:pPr>
      <w:r>
        <w:rPr>
          <w:rFonts w:ascii="Arial" w:cs="Arial" w:eastAsia="Arial" w:hAnsi="Arial"/>
          <w:sz w:val="24"/>
          <w:szCs w:val="24"/>
          <w:rtl/>
        </w:rPr>
        <w:t xml:space="preserve">التقييم والتحسين: مراجعة كل جمعية لاكتشاف فرص التحسين للجمعية التالية.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الجمعية العمومية هي عصب حوكمة الشركة المساهمة، والجهاز الذي يُجسّد الديمقراطية في إدارتها. ومن خلالها يُمارس المساهمون حقوقهم الجماعية ويُحاسبون الإدارة على أدائها. ومع التطور التشريعي في المملكة العربية السعودية - خاصةً مع نظام الشركات الجديد - أصبحت الجمعيات أكثر مرونة وانفتاحاً على التقنيات الحديثة، مع الحفاظ على ضوابط صارمة لحماية حقوق المساهمين.</w:t>
      </w:r>
    </w:p>
    <w:p>
      <w:pPr>
        <w:bidi/>
        <w:spacing w:after="140" w:line="320"/>
        <w:jc w:val="both"/>
      </w:pPr>
      <w:r>
        <w:rPr>
          <w:rFonts w:ascii="Arial" w:cs="Arial" w:eastAsia="Arial" w:hAnsi="Arial"/>
          <w:sz w:val="24"/>
          <w:szCs w:val="24"/>
          <w:rtl/>
        </w:rPr>
        <w:t xml:space="preserve">النجاح في إدارة الجمعيات لا يُقاس بمجرد الالتزام بالمتطلبات النظامية، بل بمدى تحقيقها لأهدافها الحقيقية: تمكين المساهمين من المشاركة الفاعلة، اتخاذ قرارات مدروسة، تعزيز الشفافية والثقة، وبناء علاقة مستدامة بين الشركة ومالكيها. وهذا يستوجب رؤية متكاملة تجمع بين الالتزام القانوني، الكفاءة التشغيلية، والاحترام الحقيقي لإرادة المساهمين.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الجمعية العمومية هي أعلى سلطة في الشركة المساهمة وأداة المساهمين الديمقراطية. 2) تنقسم إلى: عادية (للأمور الاعتيادية)، غير عادية (للقرارات المصيرية)، وخاصة (لفئات أسهم محددة). 3) النصاب الأول للعادية ربع الأسهم وللعامة غير العادية نصفها. 4) قرارات العادية بالأغلبية المطلقة، وغير العادية بالثلثين، والقرارات الجوهرية بثلاثة أرباع. 5) الحق في الحضور حق أساسي لكل مساهم، يمارسه بالأصالة أو الوكالة. 6) التحول الرقمي يفتح آفاقاً جديدة في الجمعيات الافتراضية والتصويت الإلكتروني.</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3"/>
        </w:numPr>
        <w:bidi/>
        <w:spacing w:after="100" w:line="300"/>
        <w:jc w:val="right"/>
      </w:pPr>
      <w:r>
        <w:rPr>
          <w:rFonts w:ascii="Arial" w:cs="Arial" w:eastAsia="Arial" w:hAnsi="Arial"/>
          <w:sz w:val="24"/>
          <w:szCs w:val="24"/>
          <w:rtl/>
        </w:rPr>
        <w:t xml:space="preserve">نظام الشركات السعودي الصادر بالمرسوم الملكي رقم (م/132) - الفصول الخاصة بالجمعيات.</w:t>
      </w:r>
    </w:p>
    <w:p>
      <w:pPr>
        <w:pStyle w:val="ListParagraph"/>
        <w:numPr>
          <w:ilvl w:val="0"/>
          <w:numId w:val="3"/>
        </w:numPr>
        <w:bidi/>
        <w:spacing w:after="100" w:line="300"/>
        <w:jc w:val="right"/>
      </w:pPr>
      <w:r>
        <w:rPr>
          <w:rFonts w:ascii="Arial" w:cs="Arial" w:eastAsia="Arial" w:hAnsi="Arial"/>
          <w:sz w:val="24"/>
          <w:szCs w:val="24"/>
          <w:rtl/>
        </w:rPr>
        <w:t xml:space="preserve">اللائحة التنفيذية لنظام الشركات (2023) - أحكام الجمعيات والتصويت.</w:t>
      </w:r>
    </w:p>
    <w:p>
      <w:pPr>
        <w:pStyle w:val="ListParagraph"/>
        <w:numPr>
          <w:ilvl w:val="0"/>
          <w:numId w:val="3"/>
        </w:numPr>
        <w:bidi/>
        <w:spacing w:after="100" w:line="300"/>
        <w:jc w:val="right"/>
      </w:pPr>
      <w:r>
        <w:rPr>
          <w:rFonts w:ascii="Arial" w:cs="Arial" w:eastAsia="Arial" w:hAnsi="Arial"/>
          <w:sz w:val="24"/>
          <w:szCs w:val="24"/>
          <w:rtl/>
        </w:rPr>
        <w:t xml:space="preserve">اللائحة التنفيذية لنظام الشركات الخاصة بشركات المساهمة المدرجة، هيئة السوق المالية.</w:t>
      </w:r>
    </w:p>
    <w:p>
      <w:pPr>
        <w:pStyle w:val="ListParagraph"/>
        <w:numPr>
          <w:ilvl w:val="0"/>
          <w:numId w:val="3"/>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3"/>
        </w:numPr>
        <w:bidi/>
        <w:spacing w:after="100" w:line="300"/>
        <w:jc w:val="right"/>
      </w:pPr>
      <w:r>
        <w:rPr>
          <w:rFonts w:ascii="Arial" w:cs="Arial" w:eastAsia="Arial" w:hAnsi="Arial"/>
          <w:sz w:val="24"/>
          <w:szCs w:val="24"/>
          <w:rtl/>
        </w:rPr>
        <w:t xml:space="preserve">نظام السوق المالية ولوائحه التنفيذية.</w:t>
      </w:r>
    </w:p>
    <w:p>
      <w:pPr>
        <w:pStyle w:val="ListParagraph"/>
        <w:numPr>
          <w:ilvl w:val="0"/>
          <w:numId w:val="3"/>
        </w:numPr>
        <w:bidi/>
        <w:spacing w:after="100" w:line="300"/>
        <w:jc w:val="right"/>
      </w:pPr>
      <w:r>
        <w:rPr>
          <w:rFonts w:ascii="Arial" w:cs="Arial" w:eastAsia="Arial" w:hAnsi="Arial"/>
          <w:sz w:val="24"/>
          <w:szCs w:val="24"/>
          <w:rtl/>
        </w:rPr>
        <w:t xml:space="preserve">مبادئ منظمة التعاون الاقتصادي والتنمية لحوكمة الشركات (OECD).</w:t>
      </w:r>
    </w:p>
    <w:p>
      <w:pPr>
        <w:pStyle w:val="ListParagraph"/>
        <w:numPr>
          <w:ilvl w:val="0"/>
          <w:numId w:val="3"/>
        </w:numPr>
        <w:bidi/>
        <w:spacing w:after="100" w:line="300"/>
        <w:jc w:val="right"/>
      </w:pPr>
      <w:r>
        <w:rPr>
          <w:rFonts w:ascii="Arial" w:cs="Arial" w:eastAsia="Arial" w:hAnsi="Arial"/>
          <w:sz w:val="24"/>
          <w:szCs w:val="24"/>
          <w:rtl/>
        </w:rPr>
        <w:t xml:space="preserve">الميثاق الدولي لحقوق المساهمين.</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الجمعيات العمومية: مقدمة شاملة | المحور الثاني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الجمعيات العمومية للشركات المساهمة</dc:title>
  <dc:creator>Corporate Governance Knowledge Base</dc:creator>
  <cp:lastModifiedBy>Un-named</cp:lastModifiedBy>
  <cp:revision>1</cp:revision>
  <dcterms:created xsi:type="dcterms:W3CDTF">2026-05-16T08:06:12.745Z</dcterms:created>
  <dcterms:modified xsi:type="dcterms:W3CDTF">2026-05-16T08:06:12.759Z</dcterms:modified>
</cp:coreProperties>
</file>

<file path=docProps/custom.xml><?xml version="1.0" encoding="utf-8"?>
<Properties xmlns="http://schemas.openxmlformats.org/officeDocument/2006/custom-properties" xmlns:vt="http://schemas.openxmlformats.org/officeDocument/2006/docPropsVTypes"/>
</file>