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الإطار القانوني للجمعيات العمومية</w:t>
      </w:r>
    </w:p>
    <w:p>
      <w:pPr>
        <w:bidi/>
        <w:spacing w:after="400"/>
        <w:jc w:val="center"/>
      </w:pPr>
      <w:r>
        <w:rPr>
          <w:rFonts w:ascii="Arial" w:cs="Arial" w:eastAsia="Arial" w:hAnsi="Arial"/>
          <w:i/>
          <w:iCs/>
          <w:color w:val="2E75B6"/>
          <w:sz w:val="26"/>
          <w:szCs w:val="26"/>
          <w:rtl/>
        </w:rPr>
        <w:t xml:space="preserve">الأحكام النظامية، اللوائح التنفيذية، والمتطلبات التنظيمية في المملكة العربية السعودية</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الإطار القانوني للجمعيات العمومية ليس مجموعة أحكام جامدة، بل منظومة متطورة من التشريعات واللوائح والإجراءات التي تحكم كل تفصيل في حياة الجمعية - من الدعوة، إلى الانعقاد، إلى التصويت، إلى توثيق القرارات وتنفيذها. وفهم هذه المنظومة بدقة هو الأساس الذي يبني عليه أمناء سر مجالس الإدارة وممارسو الحوكمة عملهم اليومي.</w:t>
      </w:r>
    </w:p>
    <w:p>
      <w:pPr>
        <w:bidi/>
        <w:spacing w:after="140" w:line="320"/>
        <w:jc w:val="both"/>
      </w:pPr>
      <w:r>
        <w:rPr>
          <w:rFonts w:ascii="Arial" w:cs="Arial" w:eastAsia="Arial" w:hAnsi="Arial"/>
          <w:sz w:val="24"/>
          <w:szCs w:val="24"/>
          <w:rtl/>
        </w:rPr>
        <w:t xml:space="preserve">في المملكة العربية السعودية، شهد الإطار القانوني للجمعيات تطوراً جوهرياً مع صدور نظام الشركات الجديد بالمرسوم الملكي رقم (م/132)، الذي دخل حيز التنفيذ في 19 يناير 2023. وقد عُزّز هذا النظام بلائحة تنفيذية شاملة، وبلوائح متخصصة من هيئة السوق المالية للشركات المدرجة، لتُكوّن منظومة قانونية متكاملة بمعايير دولية.</w:t>
      </w:r>
    </w:p>
    <w:p>
      <w:pPr>
        <w:bidi/>
        <w:spacing w:after="140" w:line="320"/>
        <w:jc w:val="both"/>
      </w:pPr>
      <w:r>
        <w:rPr>
          <w:rFonts w:ascii="Arial" w:cs="Arial" w:eastAsia="Arial" w:hAnsi="Arial"/>
          <w:sz w:val="24"/>
          <w:szCs w:val="24"/>
          <w:rtl/>
        </w:rPr>
        <w:t xml:space="preserve">في هذا المقال، نستعرض الإطار القانوني للجمعيات العمومية في المملكة بشكل تفصيلي، مع توضيح المصادر التشريعية، الجهات التنظيمية المختصة، أبرز الأحكام النافذة، والتعديلات الجوهرية في النظام الجديد مقارنة بالقديم.</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المصادر التشريعية الرئيسية</w:t>
      </w:r>
    </w:p>
    <w:p>
      <w:pPr>
        <w:bidi/>
        <w:spacing w:after="140" w:line="320"/>
        <w:jc w:val="both"/>
      </w:pPr>
      <w:r>
        <w:rPr>
          <w:rFonts w:ascii="Arial" w:cs="Arial" w:eastAsia="Arial" w:hAnsi="Arial"/>
          <w:sz w:val="24"/>
          <w:szCs w:val="24"/>
          <w:rtl/>
        </w:rPr>
        <w:t xml:space="preserve">تستند أحكام الجمعيات العمومية في المملكة العربية السعودية إلى منظومة متعددة المصادر، تتدرج من النظام العام إلى اللوائح التطبيقية والتعليمات التنفيذية. وفيما يلي أبرز هذه المصادر:</w:t>
      </w:r>
    </w:p>
    <w:p>
      <w:pPr>
        <w:pStyle w:val="Heading2"/>
        <w:bidi/>
        <w:spacing w:after="160" w:before="280"/>
        <w:jc w:val="right"/>
      </w:pPr>
      <w:r>
        <w:rPr>
          <w:rFonts w:ascii="Arial" w:cs="Arial" w:eastAsia="Arial" w:hAnsi="Arial"/>
          <w:b/>
          <w:bCs/>
          <w:color w:val="2E75B6"/>
          <w:sz w:val="30"/>
          <w:szCs w:val="30"/>
          <w:rtl/>
        </w:rPr>
        <w:t xml:space="preserve">1. نظام الشركات (الأساس التشريعي)</w:t>
      </w:r>
    </w:p>
    <w:p>
      <w:pPr>
        <w:bidi/>
        <w:spacing w:after="140" w:line="320"/>
        <w:jc w:val="both"/>
      </w:pPr>
      <w:r>
        <w:rPr>
          <w:rFonts w:ascii="Arial" w:cs="Arial" w:eastAsia="Arial" w:hAnsi="Arial"/>
          <w:sz w:val="24"/>
          <w:szCs w:val="24"/>
          <w:rtl/>
        </w:rPr>
        <w:t xml:space="preserve">الصادر بالمرسوم الملكي رقم (م/132) بتاريخ 1/12/1443هـ، الموافق 30 يونيو 2022م، والنافذ في 19 يناير 2023م. ويُعدّ المرجع الأساسي والشامل لكل ما يتعلق بالشركات المساهمة في المملكة، بما في ذلك جمعياتها العمومية.</w:t>
      </w:r>
    </w:p>
    <w:p>
      <w:pPr>
        <w:pStyle w:val="Heading3"/>
        <w:bidi/>
        <w:spacing w:after="120" w:before="200"/>
        <w:jc w:val="right"/>
      </w:pPr>
      <w:r>
        <w:rPr>
          <w:rFonts w:ascii="Arial" w:cs="Arial" w:eastAsia="Arial" w:hAnsi="Arial"/>
          <w:b/>
          <w:bCs/>
          <w:color w:val="1F4E79"/>
          <w:sz w:val="26"/>
          <w:szCs w:val="26"/>
          <w:rtl/>
        </w:rPr>
        <w:t xml:space="preserve">الفصول ذات العلاقة بالجمعيات</w:t>
      </w:r>
    </w:p>
    <w:p>
      <w:pPr>
        <w:bidi/>
        <w:spacing w:after="140" w:line="320"/>
        <w:jc w:val="both"/>
      </w:pPr>
      <w:r>
        <w:rPr>
          <w:rFonts w:ascii="Arial" w:cs="Arial" w:eastAsia="Arial" w:hAnsi="Arial"/>
          <w:sz w:val="24"/>
          <w:szCs w:val="24"/>
          <w:rtl/>
        </w:rPr>
        <w:t xml:space="preserve">يتضمن النظام عدة فصول وأبواب تنظم الجمعيات العمومية، أبرزها:</w:t>
      </w:r>
    </w:p>
    <w:p>
      <w:pPr>
        <w:pStyle w:val="ListParagraph"/>
        <w:numPr>
          <w:ilvl w:val="0"/>
          <w:numId w:val="2"/>
        </w:numPr>
        <w:bidi/>
        <w:spacing w:after="100" w:line="300"/>
        <w:jc w:val="right"/>
      </w:pPr>
      <w:r>
        <w:rPr>
          <w:rFonts w:ascii="Arial" w:cs="Arial" w:eastAsia="Arial" w:hAnsi="Arial"/>
          <w:sz w:val="24"/>
          <w:szCs w:val="24"/>
          <w:rtl/>
        </w:rPr>
        <w:t xml:space="preserve">الفصل المتعلق بالجمعيات العامة والخاصة للمساهمين.</w:t>
      </w:r>
    </w:p>
    <w:p>
      <w:pPr>
        <w:pStyle w:val="ListParagraph"/>
        <w:numPr>
          <w:ilvl w:val="0"/>
          <w:numId w:val="2"/>
        </w:numPr>
        <w:bidi/>
        <w:spacing w:after="100" w:line="300"/>
        <w:jc w:val="right"/>
      </w:pPr>
      <w:r>
        <w:rPr>
          <w:rFonts w:ascii="Arial" w:cs="Arial" w:eastAsia="Arial" w:hAnsi="Arial"/>
          <w:sz w:val="24"/>
          <w:szCs w:val="24"/>
          <w:rtl/>
        </w:rPr>
        <w:t xml:space="preserve">أحكام الدعوة والإعلان عن الجمعيات.</w:t>
      </w:r>
    </w:p>
    <w:p>
      <w:pPr>
        <w:pStyle w:val="ListParagraph"/>
        <w:numPr>
          <w:ilvl w:val="0"/>
          <w:numId w:val="2"/>
        </w:numPr>
        <w:bidi/>
        <w:spacing w:after="100" w:line="300"/>
        <w:jc w:val="right"/>
      </w:pPr>
      <w:r>
        <w:rPr>
          <w:rFonts w:ascii="Arial" w:cs="Arial" w:eastAsia="Arial" w:hAnsi="Arial"/>
          <w:sz w:val="24"/>
          <w:szCs w:val="24"/>
          <w:rtl/>
        </w:rPr>
        <w:t xml:space="preserve">ضوابط النصاب والتصويت.</w:t>
      </w:r>
    </w:p>
    <w:p>
      <w:pPr>
        <w:pStyle w:val="ListParagraph"/>
        <w:numPr>
          <w:ilvl w:val="0"/>
          <w:numId w:val="2"/>
        </w:numPr>
        <w:bidi/>
        <w:spacing w:after="100" w:line="300"/>
        <w:jc w:val="right"/>
      </w:pPr>
      <w:r>
        <w:rPr>
          <w:rFonts w:ascii="Arial" w:cs="Arial" w:eastAsia="Arial" w:hAnsi="Arial"/>
          <w:sz w:val="24"/>
          <w:szCs w:val="24"/>
          <w:rtl/>
        </w:rPr>
        <w:t xml:space="preserve">اختصاصات كل نوع من الجمعيات.</w:t>
      </w:r>
    </w:p>
    <w:p>
      <w:pPr>
        <w:pStyle w:val="ListParagraph"/>
        <w:numPr>
          <w:ilvl w:val="0"/>
          <w:numId w:val="2"/>
        </w:numPr>
        <w:bidi/>
        <w:spacing w:after="100" w:line="300"/>
        <w:jc w:val="right"/>
      </w:pPr>
      <w:r>
        <w:rPr>
          <w:rFonts w:ascii="Arial" w:cs="Arial" w:eastAsia="Arial" w:hAnsi="Arial"/>
          <w:sz w:val="24"/>
          <w:szCs w:val="24"/>
          <w:rtl/>
        </w:rPr>
        <w:t xml:space="preserve">أحكام المحاضر وتنفيذ القرارات.</w:t>
      </w:r>
    </w:p>
    <w:p>
      <w:pPr>
        <w:pStyle w:val="ListParagraph"/>
        <w:numPr>
          <w:ilvl w:val="0"/>
          <w:numId w:val="2"/>
        </w:numPr>
        <w:bidi/>
        <w:spacing w:after="100" w:line="300"/>
        <w:jc w:val="right"/>
      </w:pPr>
      <w:r>
        <w:rPr>
          <w:rFonts w:ascii="Arial" w:cs="Arial" w:eastAsia="Arial" w:hAnsi="Arial"/>
          <w:sz w:val="24"/>
          <w:szCs w:val="24"/>
          <w:rtl/>
        </w:rPr>
        <w:t xml:space="preserve">حقوق الطعن والاعتراض.</w:t>
      </w:r>
    </w:p>
    <w:p>
      <w:pPr>
        <w:pStyle w:val="Heading3"/>
        <w:bidi/>
        <w:spacing w:after="120" w:before="200"/>
        <w:jc w:val="right"/>
      </w:pPr>
      <w:r>
        <w:rPr>
          <w:rFonts w:ascii="Arial" w:cs="Arial" w:eastAsia="Arial" w:hAnsi="Arial"/>
          <w:b/>
          <w:bCs/>
          <w:color w:val="1F4E79"/>
          <w:sz w:val="26"/>
          <w:szCs w:val="26"/>
          <w:rtl/>
        </w:rPr>
        <w:t xml:space="preserve">أهم المواد المنظمة</w:t>
      </w:r>
    </w:p>
    <w:p>
      <w:pPr>
        <w:pStyle w:val="ListParagraph"/>
        <w:numPr>
          <w:ilvl w:val="0"/>
          <w:numId w:val="3"/>
        </w:numPr>
        <w:bidi/>
        <w:spacing w:after="100" w:line="300"/>
        <w:jc w:val="right"/>
      </w:pPr>
      <w:r>
        <w:rPr>
          <w:rFonts w:ascii="Arial" w:cs="Arial" w:eastAsia="Arial" w:hAnsi="Arial"/>
          <w:sz w:val="24"/>
          <w:szCs w:val="24"/>
          <w:rtl/>
        </w:rPr>
        <w:t xml:space="preserve">المادة (85): اختصاصات الجمعية العامة غير العادية.</w:t>
      </w:r>
    </w:p>
    <w:p>
      <w:pPr>
        <w:pStyle w:val="ListParagraph"/>
        <w:numPr>
          <w:ilvl w:val="0"/>
          <w:numId w:val="3"/>
        </w:numPr>
        <w:bidi/>
        <w:spacing w:after="100" w:line="300"/>
        <w:jc w:val="right"/>
      </w:pPr>
      <w:r>
        <w:rPr>
          <w:rFonts w:ascii="Arial" w:cs="Arial" w:eastAsia="Arial" w:hAnsi="Arial"/>
          <w:sz w:val="24"/>
          <w:szCs w:val="24"/>
          <w:rtl/>
        </w:rPr>
        <w:t xml:space="preserve">المادة (87): اختصاصات الجمعية العامة العادية.</w:t>
      </w:r>
    </w:p>
    <w:p>
      <w:pPr>
        <w:pStyle w:val="ListParagraph"/>
        <w:numPr>
          <w:ilvl w:val="0"/>
          <w:numId w:val="3"/>
        </w:numPr>
        <w:bidi/>
        <w:spacing w:after="100" w:line="300"/>
        <w:jc w:val="right"/>
      </w:pPr>
      <w:r>
        <w:rPr>
          <w:rFonts w:ascii="Arial" w:cs="Arial" w:eastAsia="Arial" w:hAnsi="Arial"/>
          <w:sz w:val="24"/>
          <w:szCs w:val="24"/>
          <w:rtl/>
        </w:rPr>
        <w:t xml:space="preserve">المادة (88): توقيت انعقاد الجمعية السنوية.</w:t>
      </w:r>
    </w:p>
    <w:p>
      <w:pPr>
        <w:pStyle w:val="ListParagraph"/>
        <w:numPr>
          <w:ilvl w:val="0"/>
          <w:numId w:val="3"/>
        </w:numPr>
        <w:bidi/>
        <w:spacing w:after="100" w:line="300"/>
        <w:jc w:val="right"/>
      </w:pPr>
      <w:r>
        <w:rPr>
          <w:rFonts w:ascii="Arial" w:cs="Arial" w:eastAsia="Arial" w:hAnsi="Arial"/>
          <w:sz w:val="24"/>
          <w:szCs w:val="24"/>
          <w:rtl/>
        </w:rPr>
        <w:t xml:space="preserve">المادة (89): الجمعيات الخاصة.</w:t>
      </w:r>
    </w:p>
    <w:p>
      <w:pPr>
        <w:pStyle w:val="ListParagraph"/>
        <w:numPr>
          <w:ilvl w:val="0"/>
          <w:numId w:val="3"/>
        </w:numPr>
        <w:bidi/>
        <w:spacing w:after="100" w:line="300"/>
        <w:jc w:val="right"/>
      </w:pPr>
      <w:r>
        <w:rPr>
          <w:rFonts w:ascii="Arial" w:cs="Arial" w:eastAsia="Arial" w:hAnsi="Arial"/>
          <w:sz w:val="24"/>
          <w:szCs w:val="24"/>
          <w:rtl/>
        </w:rPr>
        <w:t xml:space="preserve">المادة (90): الدعوة للجمعيات.</w:t>
      </w:r>
    </w:p>
    <w:p>
      <w:pPr>
        <w:pStyle w:val="ListParagraph"/>
        <w:numPr>
          <w:ilvl w:val="0"/>
          <w:numId w:val="3"/>
        </w:numPr>
        <w:bidi/>
        <w:spacing w:after="100" w:line="300"/>
        <w:jc w:val="right"/>
      </w:pPr>
      <w:r>
        <w:rPr>
          <w:rFonts w:ascii="Arial" w:cs="Arial" w:eastAsia="Arial" w:hAnsi="Arial"/>
          <w:sz w:val="24"/>
          <w:szCs w:val="24"/>
          <w:rtl/>
        </w:rPr>
        <w:t xml:space="preserve">المادة (91): جدول الأعمال والإعلان.</w:t>
      </w:r>
    </w:p>
    <w:p>
      <w:pPr>
        <w:pStyle w:val="ListParagraph"/>
        <w:numPr>
          <w:ilvl w:val="0"/>
          <w:numId w:val="3"/>
        </w:numPr>
        <w:bidi/>
        <w:spacing w:after="100" w:line="300"/>
        <w:jc w:val="right"/>
      </w:pPr>
      <w:r>
        <w:rPr>
          <w:rFonts w:ascii="Arial" w:cs="Arial" w:eastAsia="Arial" w:hAnsi="Arial"/>
          <w:sz w:val="24"/>
          <w:szCs w:val="24"/>
          <w:rtl/>
        </w:rPr>
        <w:t xml:space="preserve">المادة (92): نصاب الجمعية العامة العادية.</w:t>
      </w:r>
    </w:p>
    <w:p>
      <w:pPr>
        <w:pStyle w:val="ListParagraph"/>
        <w:numPr>
          <w:ilvl w:val="0"/>
          <w:numId w:val="3"/>
        </w:numPr>
        <w:bidi/>
        <w:spacing w:after="100" w:line="300"/>
        <w:jc w:val="right"/>
      </w:pPr>
      <w:r>
        <w:rPr>
          <w:rFonts w:ascii="Arial" w:cs="Arial" w:eastAsia="Arial" w:hAnsi="Arial"/>
          <w:sz w:val="24"/>
          <w:szCs w:val="24"/>
          <w:rtl/>
        </w:rPr>
        <w:t xml:space="preserve">المادة (93): نصاب الجمعية العامة غير العادية.</w:t>
      </w:r>
    </w:p>
    <w:p>
      <w:pPr>
        <w:pStyle w:val="ListParagraph"/>
        <w:numPr>
          <w:ilvl w:val="0"/>
          <w:numId w:val="3"/>
        </w:numPr>
        <w:bidi/>
        <w:spacing w:after="100" w:line="300"/>
        <w:jc w:val="right"/>
      </w:pPr>
      <w:r>
        <w:rPr>
          <w:rFonts w:ascii="Arial" w:cs="Arial" w:eastAsia="Arial" w:hAnsi="Arial"/>
          <w:sz w:val="24"/>
          <w:szCs w:val="24"/>
          <w:rtl/>
        </w:rPr>
        <w:t xml:space="preserve">المادة (94): التصويت في الجمعيات.</w:t>
      </w:r>
    </w:p>
    <w:p>
      <w:pPr>
        <w:pStyle w:val="ListParagraph"/>
        <w:numPr>
          <w:ilvl w:val="0"/>
          <w:numId w:val="3"/>
        </w:numPr>
        <w:bidi/>
        <w:spacing w:after="100" w:line="300"/>
        <w:jc w:val="right"/>
      </w:pPr>
      <w:r>
        <w:rPr>
          <w:rFonts w:ascii="Arial" w:cs="Arial" w:eastAsia="Arial" w:hAnsi="Arial"/>
          <w:sz w:val="24"/>
          <w:szCs w:val="24"/>
          <w:rtl/>
        </w:rPr>
        <w:t xml:space="preserve">المادة (95): محاضر الجمعيات.</w:t>
      </w:r>
    </w:p>
    <w:p>
      <w:pPr>
        <w:pStyle w:val="Heading2"/>
        <w:bidi/>
        <w:spacing w:after="160" w:before="280"/>
        <w:jc w:val="right"/>
      </w:pPr>
      <w:r>
        <w:rPr>
          <w:rFonts w:ascii="Arial" w:cs="Arial" w:eastAsia="Arial" w:hAnsi="Arial"/>
          <w:b/>
          <w:bCs/>
          <w:color w:val="2E75B6"/>
          <w:sz w:val="30"/>
          <w:szCs w:val="30"/>
          <w:rtl/>
        </w:rPr>
        <w:t xml:space="preserve">2. اللائحة التنفيذية لنظام الشركات</w:t>
      </w:r>
    </w:p>
    <w:p>
      <w:pPr>
        <w:bidi/>
        <w:spacing w:after="140" w:line="320"/>
        <w:jc w:val="both"/>
      </w:pPr>
      <w:r>
        <w:rPr>
          <w:rFonts w:ascii="Arial" w:cs="Arial" w:eastAsia="Arial" w:hAnsi="Arial"/>
          <w:sz w:val="24"/>
          <w:szCs w:val="24"/>
          <w:rtl/>
        </w:rPr>
        <w:t xml:space="preserve">صدرت اللائحة التنفيذية لنظام الشركات لتُكمّل أحكام النظام وتُوضّح آليات تطبيقها العملية. وتتضمن أحكاماً تفصيلية بشأن:</w:t>
      </w:r>
    </w:p>
    <w:p>
      <w:pPr>
        <w:pStyle w:val="ListParagraph"/>
        <w:numPr>
          <w:ilvl w:val="0"/>
          <w:numId w:val="2"/>
        </w:numPr>
        <w:bidi/>
        <w:spacing w:after="100" w:line="300"/>
        <w:jc w:val="right"/>
      </w:pPr>
      <w:r>
        <w:rPr>
          <w:rFonts w:ascii="Arial" w:cs="Arial" w:eastAsia="Arial" w:hAnsi="Arial"/>
          <w:sz w:val="24"/>
          <w:szCs w:val="24"/>
          <w:rtl/>
        </w:rPr>
        <w:t xml:space="preserve">إجراءات الدعوة وفترات الإعلان.</w:t>
      </w:r>
    </w:p>
    <w:p>
      <w:pPr>
        <w:pStyle w:val="ListParagraph"/>
        <w:numPr>
          <w:ilvl w:val="0"/>
          <w:numId w:val="2"/>
        </w:numPr>
        <w:bidi/>
        <w:spacing w:after="100" w:line="300"/>
        <w:jc w:val="right"/>
      </w:pPr>
      <w:r>
        <w:rPr>
          <w:rFonts w:ascii="Arial" w:cs="Arial" w:eastAsia="Arial" w:hAnsi="Arial"/>
          <w:sz w:val="24"/>
          <w:szCs w:val="24"/>
          <w:rtl/>
        </w:rPr>
        <w:t xml:space="preserve">نماذج الوكالة وضوابطها.</w:t>
      </w:r>
    </w:p>
    <w:p>
      <w:pPr>
        <w:pStyle w:val="ListParagraph"/>
        <w:numPr>
          <w:ilvl w:val="0"/>
          <w:numId w:val="2"/>
        </w:numPr>
        <w:bidi/>
        <w:spacing w:after="100" w:line="300"/>
        <w:jc w:val="right"/>
      </w:pPr>
      <w:r>
        <w:rPr>
          <w:rFonts w:ascii="Arial" w:cs="Arial" w:eastAsia="Arial" w:hAnsi="Arial"/>
          <w:sz w:val="24"/>
          <w:szCs w:val="24"/>
          <w:rtl/>
        </w:rPr>
        <w:t xml:space="preserve">التصويت الإلكتروني والمسبق.</w:t>
      </w:r>
    </w:p>
    <w:p>
      <w:pPr>
        <w:pStyle w:val="ListParagraph"/>
        <w:numPr>
          <w:ilvl w:val="0"/>
          <w:numId w:val="2"/>
        </w:numPr>
        <w:bidi/>
        <w:spacing w:after="100" w:line="300"/>
        <w:jc w:val="right"/>
      </w:pPr>
      <w:r>
        <w:rPr>
          <w:rFonts w:ascii="Arial" w:cs="Arial" w:eastAsia="Arial" w:hAnsi="Arial"/>
          <w:sz w:val="24"/>
          <w:szCs w:val="24"/>
          <w:rtl/>
        </w:rPr>
        <w:t xml:space="preserve">توثيق المحاضر والقرارات.</w:t>
      </w:r>
    </w:p>
    <w:p>
      <w:pPr>
        <w:pStyle w:val="ListParagraph"/>
        <w:numPr>
          <w:ilvl w:val="0"/>
          <w:numId w:val="2"/>
        </w:numPr>
        <w:bidi/>
        <w:spacing w:after="100" w:line="300"/>
        <w:jc w:val="right"/>
      </w:pPr>
      <w:r>
        <w:rPr>
          <w:rFonts w:ascii="Arial" w:cs="Arial" w:eastAsia="Arial" w:hAnsi="Arial"/>
          <w:sz w:val="24"/>
          <w:szCs w:val="24"/>
          <w:rtl/>
        </w:rPr>
        <w:t xml:space="preserve">الموافقات الخاصة بفئات الأسهم المختلفة.</w:t>
      </w:r>
    </w:p>
    <w:p>
      <w:pPr>
        <w:pStyle w:val="ListParagraph"/>
        <w:numPr>
          <w:ilvl w:val="0"/>
          <w:numId w:val="2"/>
        </w:numPr>
        <w:bidi/>
        <w:spacing w:after="100" w:line="300"/>
        <w:jc w:val="right"/>
      </w:pPr>
      <w:r>
        <w:rPr>
          <w:rFonts w:ascii="Arial" w:cs="Arial" w:eastAsia="Arial" w:hAnsi="Arial"/>
          <w:sz w:val="24"/>
          <w:szCs w:val="24"/>
          <w:rtl/>
        </w:rPr>
        <w:t xml:space="preserve">الإجراءات في حالات خاصة (الاندماج، التحويل، التصفية).</w:t>
      </w:r>
    </w:p>
    <w:p>
      <w:pPr>
        <w:pStyle w:val="Heading2"/>
        <w:bidi/>
        <w:spacing w:after="160" w:before="280"/>
        <w:jc w:val="right"/>
      </w:pPr>
      <w:r>
        <w:rPr>
          <w:rFonts w:ascii="Arial" w:cs="Arial" w:eastAsia="Arial" w:hAnsi="Arial"/>
          <w:b/>
          <w:bCs/>
          <w:color w:val="2E75B6"/>
          <w:sz w:val="30"/>
          <w:szCs w:val="30"/>
          <w:rtl/>
        </w:rPr>
        <w:t xml:space="preserve">3. اللائحة التنفيذية لنظام الشركات الخاصة بشركات المساهمة المدرجة</w:t>
      </w:r>
    </w:p>
    <w:p>
      <w:pPr>
        <w:bidi/>
        <w:spacing w:after="140" w:line="320"/>
        <w:jc w:val="both"/>
      </w:pPr>
      <w:r>
        <w:rPr>
          <w:rFonts w:ascii="Arial" w:cs="Arial" w:eastAsia="Arial" w:hAnsi="Arial"/>
          <w:sz w:val="24"/>
          <w:szCs w:val="24"/>
          <w:rtl/>
        </w:rPr>
        <w:t xml:space="preserve">صادرة عن هيئة السوق المالية، وتنطبق تحديداً على الشركات المساهمة المدرجة في السوق المالية السعودية (تداول). وتتضمن متطلبات إضافية تخص:</w:t>
      </w:r>
    </w:p>
    <w:p>
      <w:pPr>
        <w:pStyle w:val="ListParagraph"/>
        <w:numPr>
          <w:ilvl w:val="0"/>
          <w:numId w:val="2"/>
        </w:numPr>
        <w:bidi/>
        <w:spacing w:after="100" w:line="300"/>
        <w:jc w:val="right"/>
      </w:pPr>
      <w:r>
        <w:rPr>
          <w:rFonts w:ascii="Arial" w:cs="Arial" w:eastAsia="Arial" w:hAnsi="Arial"/>
          <w:sz w:val="24"/>
          <w:szCs w:val="24"/>
          <w:rtl/>
        </w:rPr>
        <w:t xml:space="preserve">الإفصاح المسبق عن الجمعيات.</w:t>
      </w:r>
    </w:p>
    <w:p>
      <w:pPr>
        <w:pStyle w:val="ListParagraph"/>
        <w:numPr>
          <w:ilvl w:val="0"/>
          <w:numId w:val="2"/>
        </w:numPr>
        <w:bidi/>
        <w:spacing w:after="100" w:line="300"/>
        <w:jc w:val="right"/>
      </w:pPr>
      <w:r>
        <w:rPr>
          <w:rFonts w:ascii="Arial" w:cs="Arial" w:eastAsia="Arial" w:hAnsi="Arial"/>
          <w:sz w:val="24"/>
          <w:szCs w:val="24"/>
          <w:rtl/>
        </w:rPr>
        <w:t xml:space="preserve">التصويت الآلي والإلكتروني.</w:t>
      </w:r>
    </w:p>
    <w:p>
      <w:pPr>
        <w:pStyle w:val="ListParagraph"/>
        <w:numPr>
          <w:ilvl w:val="0"/>
          <w:numId w:val="2"/>
        </w:numPr>
        <w:bidi/>
        <w:spacing w:after="100" w:line="300"/>
        <w:jc w:val="right"/>
      </w:pPr>
      <w:r>
        <w:rPr>
          <w:rFonts w:ascii="Arial" w:cs="Arial" w:eastAsia="Arial" w:hAnsi="Arial"/>
          <w:sz w:val="24"/>
          <w:szCs w:val="24"/>
          <w:rtl/>
        </w:rPr>
        <w:t xml:space="preserve">المشاركة عن بُعد.</w:t>
      </w:r>
    </w:p>
    <w:p>
      <w:pPr>
        <w:pStyle w:val="ListParagraph"/>
        <w:numPr>
          <w:ilvl w:val="0"/>
          <w:numId w:val="2"/>
        </w:numPr>
        <w:bidi/>
        <w:spacing w:after="100" w:line="300"/>
        <w:jc w:val="right"/>
      </w:pPr>
      <w:r>
        <w:rPr>
          <w:rFonts w:ascii="Arial" w:cs="Arial" w:eastAsia="Arial" w:hAnsi="Arial"/>
          <w:sz w:val="24"/>
          <w:szCs w:val="24"/>
          <w:rtl/>
        </w:rPr>
        <w:t xml:space="preserve">الإفصاح عن نتائج الجمعيات.</w:t>
      </w:r>
    </w:p>
    <w:p>
      <w:pPr>
        <w:pStyle w:val="ListParagraph"/>
        <w:numPr>
          <w:ilvl w:val="0"/>
          <w:numId w:val="2"/>
        </w:numPr>
        <w:bidi/>
        <w:spacing w:after="100" w:line="300"/>
        <w:jc w:val="right"/>
      </w:pPr>
      <w:r>
        <w:rPr>
          <w:rFonts w:ascii="Arial" w:cs="Arial" w:eastAsia="Arial" w:hAnsi="Arial"/>
          <w:sz w:val="24"/>
          <w:szCs w:val="24"/>
          <w:rtl/>
        </w:rPr>
        <w:t xml:space="preserve">متطلبات خاصة بفئات الأسهم المختلفة.</w:t>
      </w:r>
    </w:p>
    <w:p>
      <w:pPr>
        <w:pStyle w:val="Heading2"/>
        <w:bidi/>
        <w:spacing w:after="160" w:before="280"/>
        <w:jc w:val="right"/>
      </w:pPr>
      <w:r>
        <w:rPr>
          <w:rFonts w:ascii="Arial" w:cs="Arial" w:eastAsia="Arial" w:hAnsi="Arial"/>
          <w:b/>
          <w:bCs/>
          <w:color w:val="2E75B6"/>
          <w:sz w:val="30"/>
          <w:szCs w:val="30"/>
          <w:rtl/>
        </w:rPr>
        <w:t xml:space="preserve">4. لائحة حوكمة الشركات</w:t>
      </w:r>
    </w:p>
    <w:p>
      <w:pPr>
        <w:bidi/>
        <w:spacing w:after="140" w:line="320"/>
        <w:jc w:val="both"/>
      </w:pPr>
      <w:r>
        <w:rPr>
          <w:rFonts w:ascii="Arial" w:cs="Arial" w:eastAsia="Arial" w:hAnsi="Arial"/>
          <w:sz w:val="24"/>
          <w:szCs w:val="24"/>
          <w:rtl/>
        </w:rPr>
        <w:t xml:space="preserve">صادرة عن هيئة السوق المالية السعودية، وتُحدد المبادئ والممارسات الفُضلى في حوكمة الشركات، بما في ذلك أحكام الجمعيات العمومية. وتركز على:</w:t>
      </w:r>
    </w:p>
    <w:p>
      <w:pPr>
        <w:pStyle w:val="ListParagraph"/>
        <w:numPr>
          <w:ilvl w:val="0"/>
          <w:numId w:val="2"/>
        </w:numPr>
        <w:bidi/>
        <w:spacing w:after="100" w:line="300"/>
        <w:jc w:val="right"/>
      </w:pPr>
      <w:r>
        <w:rPr>
          <w:rFonts w:ascii="Arial" w:cs="Arial" w:eastAsia="Arial" w:hAnsi="Arial"/>
          <w:sz w:val="24"/>
          <w:szCs w:val="24"/>
          <w:rtl/>
        </w:rPr>
        <w:t xml:space="preserve">حقوق المساهمين.</w:t>
      </w:r>
    </w:p>
    <w:p>
      <w:pPr>
        <w:pStyle w:val="ListParagraph"/>
        <w:numPr>
          <w:ilvl w:val="0"/>
          <w:numId w:val="2"/>
        </w:numPr>
        <w:bidi/>
        <w:spacing w:after="100" w:line="300"/>
        <w:jc w:val="right"/>
      </w:pPr>
      <w:r>
        <w:rPr>
          <w:rFonts w:ascii="Arial" w:cs="Arial" w:eastAsia="Arial" w:hAnsi="Arial"/>
          <w:sz w:val="24"/>
          <w:szCs w:val="24"/>
          <w:rtl/>
        </w:rPr>
        <w:t xml:space="preserve">المعاملة المتساوية.</w:t>
      </w:r>
    </w:p>
    <w:p>
      <w:pPr>
        <w:pStyle w:val="ListParagraph"/>
        <w:numPr>
          <w:ilvl w:val="0"/>
          <w:numId w:val="2"/>
        </w:numPr>
        <w:bidi/>
        <w:spacing w:after="100" w:line="300"/>
        <w:jc w:val="right"/>
      </w:pPr>
      <w:r>
        <w:rPr>
          <w:rFonts w:ascii="Arial" w:cs="Arial" w:eastAsia="Arial" w:hAnsi="Arial"/>
          <w:sz w:val="24"/>
          <w:szCs w:val="24"/>
          <w:rtl/>
        </w:rPr>
        <w:t xml:space="preserve">الإفصاح والشفافية.</w:t>
      </w:r>
    </w:p>
    <w:p>
      <w:pPr>
        <w:pStyle w:val="ListParagraph"/>
        <w:numPr>
          <w:ilvl w:val="0"/>
          <w:numId w:val="2"/>
        </w:numPr>
        <w:bidi/>
        <w:spacing w:after="100" w:line="300"/>
        <w:jc w:val="right"/>
      </w:pPr>
      <w:r>
        <w:rPr>
          <w:rFonts w:ascii="Arial" w:cs="Arial" w:eastAsia="Arial" w:hAnsi="Arial"/>
          <w:sz w:val="24"/>
          <w:szCs w:val="24"/>
          <w:rtl/>
        </w:rPr>
        <w:t xml:space="preserve">مسؤوليات مجلس الإدارة في إعداد الجمعيات.</w:t>
      </w:r>
    </w:p>
    <w:p>
      <w:pPr>
        <w:pStyle w:val="ListParagraph"/>
        <w:numPr>
          <w:ilvl w:val="0"/>
          <w:numId w:val="2"/>
        </w:numPr>
        <w:bidi/>
        <w:spacing w:after="100" w:line="300"/>
        <w:jc w:val="right"/>
      </w:pPr>
      <w:r>
        <w:rPr>
          <w:rFonts w:ascii="Arial" w:cs="Arial" w:eastAsia="Arial" w:hAnsi="Arial"/>
          <w:sz w:val="24"/>
          <w:szCs w:val="24"/>
          <w:rtl/>
        </w:rPr>
        <w:t xml:space="preserve">التواصل مع المساهمين.</w:t>
      </w:r>
    </w:p>
    <w:p>
      <w:pPr>
        <w:pStyle w:val="Heading2"/>
        <w:bidi/>
        <w:spacing w:after="160" w:before="280"/>
        <w:jc w:val="right"/>
      </w:pPr>
      <w:r>
        <w:rPr>
          <w:rFonts w:ascii="Arial" w:cs="Arial" w:eastAsia="Arial" w:hAnsi="Arial"/>
          <w:b/>
          <w:bCs/>
          <w:color w:val="2E75B6"/>
          <w:sz w:val="30"/>
          <w:szCs w:val="30"/>
          <w:rtl/>
        </w:rPr>
        <w:t xml:space="preserve">5. نظام السوق المالية ولوائحه التنفيذية</w:t>
      </w:r>
    </w:p>
    <w:p>
      <w:pPr>
        <w:bidi/>
        <w:spacing w:after="140" w:line="320"/>
        <w:jc w:val="both"/>
      </w:pPr>
      <w:r>
        <w:rPr>
          <w:rFonts w:ascii="Arial" w:cs="Arial" w:eastAsia="Arial" w:hAnsi="Arial"/>
          <w:sz w:val="24"/>
          <w:szCs w:val="24"/>
          <w:rtl/>
        </w:rPr>
        <w:t xml:space="preserve">ينطبق على الشركات المدرجة، ويتضمن أحكاماً مرتبطة بالجمعيات، خاصة فيما يتعلق بـ:</w:t>
      </w:r>
    </w:p>
    <w:p>
      <w:pPr>
        <w:pStyle w:val="ListParagraph"/>
        <w:numPr>
          <w:ilvl w:val="0"/>
          <w:numId w:val="2"/>
        </w:numPr>
        <w:bidi/>
        <w:spacing w:after="100" w:line="300"/>
        <w:jc w:val="right"/>
      </w:pPr>
      <w:r>
        <w:rPr>
          <w:rFonts w:ascii="Arial" w:cs="Arial" w:eastAsia="Arial" w:hAnsi="Arial"/>
          <w:sz w:val="24"/>
          <w:szCs w:val="24"/>
          <w:rtl/>
        </w:rPr>
        <w:t xml:space="preserve">الإفصاح والشفافية في السوق المالية.</w:t>
      </w:r>
    </w:p>
    <w:p>
      <w:pPr>
        <w:pStyle w:val="ListParagraph"/>
        <w:numPr>
          <w:ilvl w:val="0"/>
          <w:numId w:val="2"/>
        </w:numPr>
        <w:bidi/>
        <w:spacing w:after="100" w:line="300"/>
        <w:jc w:val="right"/>
      </w:pPr>
      <w:r>
        <w:rPr>
          <w:rFonts w:ascii="Arial" w:cs="Arial" w:eastAsia="Arial" w:hAnsi="Arial"/>
          <w:sz w:val="24"/>
          <w:szCs w:val="24"/>
          <w:rtl/>
        </w:rPr>
        <w:t xml:space="preserve">قواعد طرح الأوراق المالية والالتزامات المستمرة.</w:t>
      </w:r>
    </w:p>
    <w:p>
      <w:pPr>
        <w:pStyle w:val="ListParagraph"/>
        <w:numPr>
          <w:ilvl w:val="0"/>
          <w:numId w:val="2"/>
        </w:numPr>
        <w:bidi/>
        <w:spacing w:after="100" w:line="300"/>
        <w:jc w:val="right"/>
      </w:pPr>
      <w:r>
        <w:rPr>
          <w:rFonts w:ascii="Arial" w:cs="Arial" w:eastAsia="Arial" w:hAnsi="Arial"/>
          <w:sz w:val="24"/>
          <w:szCs w:val="24"/>
          <w:rtl/>
        </w:rPr>
        <w:t xml:space="preserve">التعامل مع المعلومات الداخلية حول الجمعيات.</w:t>
      </w:r>
    </w:p>
    <w:p>
      <w:pPr>
        <w:pStyle w:val="ListParagraph"/>
        <w:numPr>
          <w:ilvl w:val="0"/>
          <w:numId w:val="2"/>
        </w:numPr>
        <w:bidi/>
        <w:spacing w:after="100" w:line="300"/>
        <w:jc w:val="right"/>
      </w:pPr>
      <w:r>
        <w:rPr>
          <w:rFonts w:ascii="Arial" w:cs="Arial" w:eastAsia="Arial" w:hAnsi="Arial"/>
          <w:sz w:val="24"/>
          <w:szCs w:val="24"/>
          <w:rtl/>
        </w:rPr>
        <w:t xml:space="preserve">لائحة الأشخاص ذوي العلاقة.</w:t>
      </w:r>
    </w:p>
    <w:p>
      <w:pPr>
        <w:pStyle w:val="Heading2"/>
        <w:bidi/>
        <w:spacing w:after="160" w:before="280"/>
        <w:jc w:val="right"/>
      </w:pPr>
      <w:r>
        <w:rPr>
          <w:rFonts w:ascii="Arial" w:cs="Arial" w:eastAsia="Arial" w:hAnsi="Arial"/>
          <w:b/>
          <w:bCs/>
          <w:color w:val="2E75B6"/>
          <w:sz w:val="30"/>
          <w:szCs w:val="30"/>
          <w:rtl/>
        </w:rPr>
        <w:t xml:space="preserve">6. النظام الأساس للشركة</w:t>
      </w:r>
    </w:p>
    <w:p>
      <w:pPr>
        <w:bidi/>
        <w:spacing w:after="140" w:line="320"/>
        <w:jc w:val="both"/>
      </w:pPr>
      <w:r>
        <w:rPr>
          <w:rFonts w:ascii="Arial" w:cs="Arial" w:eastAsia="Arial" w:hAnsi="Arial"/>
          <w:sz w:val="24"/>
          <w:szCs w:val="24"/>
          <w:rtl/>
        </w:rPr>
        <w:t xml:space="preserve">يُعتبر النظام الأساس للشركة المصدر التطبيقي الأهم، إذ يجب أن يتوافق مع الأنظمة العامة، ويُمكن أن يتضمن أحكاماً إضافية أو تخصيصية في حدود ما يسمح به النظام:</w:t>
      </w:r>
    </w:p>
    <w:p>
      <w:pPr>
        <w:pStyle w:val="ListParagraph"/>
        <w:numPr>
          <w:ilvl w:val="0"/>
          <w:numId w:val="2"/>
        </w:numPr>
        <w:bidi/>
        <w:spacing w:after="100" w:line="300"/>
        <w:jc w:val="right"/>
      </w:pPr>
      <w:r>
        <w:rPr>
          <w:rFonts w:ascii="Arial" w:cs="Arial" w:eastAsia="Arial" w:hAnsi="Arial"/>
          <w:sz w:val="24"/>
          <w:szCs w:val="24"/>
          <w:rtl/>
        </w:rPr>
        <w:t xml:space="preserve">شروط الدعوة الإضافية.</w:t>
      </w:r>
    </w:p>
    <w:p>
      <w:pPr>
        <w:pStyle w:val="ListParagraph"/>
        <w:numPr>
          <w:ilvl w:val="0"/>
          <w:numId w:val="2"/>
        </w:numPr>
        <w:bidi/>
        <w:spacing w:after="100" w:line="300"/>
        <w:jc w:val="right"/>
      </w:pPr>
      <w:r>
        <w:rPr>
          <w:rFonts w:ascii="Arial" w:cs="Arial" w:eastAsia="Arial" w:hAnsi="Arial"/>
          <w:sz w:val="24"/>
          <w:szCs w:val="24"/>
          <w:rtl/>
        </w:rPr>
        <w:t xml:space="preserve">نسب نصاب أعلى من النصاب القانوني (في حدود المسموح).</w:t>
      </w:r>
    </w:p>
    <w:p>
      <w:pPr>
        <w:pStyle w:val="ListParagraph"/>
        <w:numPr>
          <w:ilvl w:val="0"/>
          <w:numId w:val="2"/>
        </w:numPr>
        <w:bidi/>
        <w:spacing w:after="100" w:line="300"/>
        <w:jc w:val="right"/>
      </w:pPr>
      <w:r>
        <w:rPr>
          <w:rFonts w:ascii="Arial" w:cs="Arial" w:eastAsia="Arial" w:hAnsi="Arial"/>
          <w:sz w:val="24"/>
          <w:szCs w:val="24"/>
          <w:rtl/>
        </w:rPr>
        <w:t xml:space="preserve">ضوابط التوكيل وقيوده.</w:t>
      </w:r>
    </w:p>
    <w:p>
      <w:pPr>
        <w:pStyle w:val="ListParagraph"/>
        <w:numPr>
          <w:ilvl w:val="0"/>
          <w:numId w:val="2"/>
        </w:numPr>
        <w:bidi/>
        <w:spacing w:after="100" w:line="300"/>
        <w:jc w:val="right"/>
      </w:pPr>
      <w:r>
        <w:rPr>
          <w:rFonts w:ascii="Arial" w:cs="Arial" w:eastAsia="Arial" w:hAnsi="Arial"/>
          <w:sz w:val="24"/>
          <w:szCs w:val="24"/>
          <w:rtl/>
        </w:rPr>
        <w:t xml:space="preserve">طرق التصويت المعتمدة.</w:t>
      </w:r>
    </w:p>
    <w:p>
      <w:pPr>
        <w:pStyle w:val="ListParagraph"/>
        <w:numPr>
          <w:ilvl w:val="0"/>
          <w:numId w:val="2"/>
        </w:numPr>
        <w:bidi/>
        <w:spacing w:after="100" w:line="300"/>
        <w:jc w:val="right"/>
      </w:pPr>
      <w:r>
        <w:rPr>
          <w:rFonts w:ascii="Arial" w:cs="Arial" w:eastAsia="Arial" w:hAnsi="Arial"/>
          <w:sz w:val="24"/>
          <w:szCs w:val="24"/>
          <w:rtl/>
        </w:rPr>
        <w:t xml:space="preserve">شروط خاصة بأنواع الأسهم المختلفة.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ملاحظة محورية</w:t>
            </w:r>
          </w:p>
          <w:p>
            <w:pPr>
              <w:bidi/>
              <w:spacing w:line="300"/>
              <w:jc w:val="both"/>
            </w:pPr>
            <w:r>
              <w:rPr>
                <w:rFonts w:ascii="Arial" w:cs="Arial" w:eastAsia="Arial" w:hAnsi="Arial"/>
                <w:sz w:val="24"/>
                <w:szCs w:val="24"/>
                <w:rtl/>
              </w:rPr>
              <w:t xml:space="preserve">في حالة تعارض النظام الأساس للشركة مع الأنظمة العامة، تُطبّق الأنظمة العامة، وتُعدّ أحكام النظام الأساس المخالفة كأن لم تكن. كما لا يجوز للنظام الأساس أن يحرم المساهم من حقوقه الأساسية المنصوص عليها في النظام، أو أن يفرض شروطاً مُجحفة تُعرقل ممارسته لهذه الحقوق.</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الجهات التنظيمية المختصة</w:t>
      </w:r>
    </w:p>
    <w:p>
      <w:pPr>
        <w:bidi/>
        <w:spacing w:after="140" w:line="320"/>
        <w:jc w:val="both"/>
      </w:pPr>
      <w:r>
        <w:rPr>
          <w:rFonts w:ascii="Arial" w:cs="Arial" w:eastAsia="Arial" w:hAnsi="Arial"/>
          <w:sz w:val="24"/>
          <w:szCs w:val="24"/>
          <w:rtl/>
        </w:rPr>
        <w:t xml:space="preserve">تتعدد الجهات التنظيمية التي تُشرف على تطبيق أحكام الجمعيات العمومية، وكل جهة لها اختصاصات محددة:</w:t>
      </w:r>
    </w:p>
    <w:p>
      <w:pPr>
        <w:pStyle w:val="Heading2"/>
        <w:bidi/>
        <w:spacing w:after="160" w:before="280"/>
        <w:jc w:val="right"/>
      </w:pPr>
      <w:r>
        <w:rPr>
          <w:rFonts w:ascii="Arial" w:cs="Arial" w:eastAsia="Arial" w:hAnsi="Arial"/>
          <w:b/>
          <w:bCs/>
          <w:color w:val="2E75B6"/>
          <w:sz w:val="30"/>
          <w:szCs w:val="30"/>
          <w:rtl/>
        </w:rPr>
        <w:t xml:space="preserve">1. وزارة التجارة</w:t>
      </w:r>
    </w:p>
    <w:p>
      <w:pPr>
        <w:bidi/>
        <w:spacing w:after="140" w:line="320"/>
        <w:jc w:val="both"/>
      </w:pPr>
      <w:r>
        <w:rPr>
          <w:rFonts w:ascii="Arial" w:cs="Arial" w:eastAsia="Arial" w:hAnsi="Arial"/>
          <w:sz w:val="24"/>
          <w:szCs w:val="24"/>
          <w:rtl/>
        </w:rPr>
        <w:t xml:space="preserve">الجهة الرئيسية المشرفة على تطبيق نظام الشركات. وتختص بـ:</w:t>
      </w:r>
    </w:p>
    <w:p>
      <w:pPr>
        <w:pStyle w:val="ListParagraph"/>
        <w:numPr>
          <w:ilvl w:val="0"/>
          <w:numId w:val="2"/>
        </w:numPr>
        <w:bidi/>
        <w:spacing w:after="100" w:line="300"/>
        <w:jc w:val="right"/>
      </w:pPr>
      <w:r>
        <w:rPr>
          <w:rFonts w:ascii="Arial" w:cs="Arial" w:eastAsia="Arial" w:hAnsi="Arial"/>
          <w:sz w:val="24"/>
          <w:szCs w:val="24"/>
          <w:rtl/>
        </w:rPr>
        <w:t xml:space="preserve">الإشراف العام على الشركات غير المدرجة.</w:t>
      </w:r>
    </w:p>
    <w:p>
      <w:pPr>
        <w:pStyle w:val="ListParagraph"/>
        <w:numPr>
          <w:ilvl w:val="0"/>
          <w:numId w:val="2"/>
        </w:numPr>
        <w:bidi/>
        <w:spacing w:after="100" w:line="300"/>
        <w:jc w:val="right"/>
      </w:pPr>
      <w:r>
        <w:rPr>
          <w:rFonts w:ascii="Arial" w:cs="Arial" w:eastAsia="Arial" w:hAnsi="Arial"/>
          <w:sz w:val="24"/>
          <w:szCs w:val="24"/>
          <w:rtl/>
        </w:rPr>
        <w:t xml:space="preserve">اعتماد التغييرات في النظام الأساس.</w:t>
      </w:r>
    </w:p>
    <w:p>
      <w:pPr>
        <w:pStyle w:val="ListParagraph"/>
        <w:numPr>
          <w:ilvl w:val="0"/>
          <w:numId w:val="2"/>
        </w:numPr>
        <w:bidi/>
        <w:spacing w:after="100" w:line="300"/>
        <w:jc w:val="right"/>
      </w:pPr>
      <w:r>
        <w:rPr>
          <w:rFonts w:ascii="Arial" w:cs="Arial" w:eastAsia="Arial" w:hAnsi="Arial"/>
          <w:sz w:val="24"/>
          <w:szCs w:val="24"/>
          <w:rtl/>
        </w:rPr>
        <w:t xml:space="preserve">توثيق سجلات الشركات.</w:t>
      </w:r>
    </w:p>
    <w:p>
      <w:pPr>
        <w:pStyle w:val="ListParagraph"/>
        <w:numPr>
          <w:ilvl w:val="0"/>
          <w:numId w:val="2"/>
        </w:numPr>
        <w:bidi/>
        <w:spacing w:after="100" w:line="300"/>
        <w:jc w:val="right"/>
      </w:pPr>
      <w:r>
        <w:rPr>
          <w:rFonts w:ascii="Arial" w:cs="Arial" w:eastAsia="Arial" w:hAnsi="Arial"/>
          <w:sz w:val="24"/>
          <w:szCs w:val="24"/>
          <w:rtl/>
        </w:rPr>
        <w:t xml:space="preserve">الفصل في بعض النزاعات الإدارية.</w:t>
      </w:r>
    </w:p>
    <w:p>
      <w:pPr>
        <w:pStyle w:val="ListParagraph"/>
        <w:numPr>
          <w:ilvl w:val="0"/>
          <w:numId w:val="2"/>
        </w:numPr>
        <w:bidi/>
        <w:spacing w:after="100" w:line="300"/>
        <w:jc w:val="right"/>
      </w:pPr>
      <w:r>
        <w:rPr>
          <w:rFonts w:ascii="Arial" w:cs="Arial" w:eastAsia="Arial" w:hAnsi="Arial"/>
          <w:sz w:val="24"/>
          <w:szCs w:val="24"/>
          <w:rtl/>
        </w:rPr>
        <w:t xml:space="preserve">إصدار اللوائح المنفّذة لنظام الشركات.</w:t>
      </w:r>
    </w:p>
    <w:p>
      <w:pPr>
        <w:pStyle w:val="ListParagraph"/>
        <w:numPr>
          <w:ilvl w:val="0"/>
          <w:numId w:val="2"/>
        </w:numPr>
        <w:bidi/>
        <w:spacing w:after="100" w:line="300"/>
        <w:jc w:val="right"/>
      </w:pPr>
      <w:r>
        <w:rPr>
          <w:rFonts w:ascii="Arial" w:cs="Arial" w:eastAsia="Arial" w:hAnsi="Arial"/>
          <w:sz w:val="24"/>
          <w:szCs w:val="24"/>
          <w:rtl/>
        </w:rPr>
        <w:t xml:space="preserve">مراقبة الامتثال للأحكام النظامية.</w:t>
      </w:r>
    </w:p>
    <w:p>
      <w:pPr>
        <w:pStyle w:val="Heading2"/>
        <w:bidi/>
        <w:spacing w:after="160" w:before="280"/>
        <w:jc w:val="right"/>
      </w:pPr>
      <w:r>
        <w:rPr>
          <w:rFonts w:ascii="Arial" w:cs="Arial" w:eastAsia="Arial" w:hAnsi="Arial"/>
          <w:b/>
          <w:bCs/>
          <w:color w:val="2E75B6"/>
          <w:sz w:val="30"/>
          <w:szCs w:val="30"/>
          <w:rtl/>
        </w:rPr>
        <w:t xml:space="preserve">2. هيئة السوق المالية</w:t>
      </w:r>
    </w:p>
    <w:p>
      <w:pPr>
        <w:bidi/>
        <w:spacing w:after="140" w:line="320"/>
        <w:jc w:val="both"/>
      </w:pPr>
      <w:r>
        <w:rPr>
          <w:rFonts w:ascii="Arial" w:cs="Arial" w:eastAsia="Arial" w:hAnsi="Arial"/>
          <w:sz w:val="24"/>
          <w:szCs w:val="24"/>
          <w:rtl/>
        </w:rPr>
        <w:t xml:space="preserve">الجهة المختصة بالشركات المدرجة في السوق المالية السعودية. واختصاصاتها فيما يخص الجمعيات تشمل:</w:t>
      </w:r>
    </w:p>
    <w:p>
      <w:pPr>
        <w:pStyle w:val="ListParagraph"/>
        <w:numPr>
          <w:ilvl w:val="0"/>
          <w:numId w:val="2"/>
        </w:numPr>
        <w:bidi/>
        <w:spacing w:after="100" w:line="300"/>
        <w:jc w:val="right"/>
      </w:pPr>
      <w:r>
        <w:rPr>
          <w:rFonts w:ascii="Arial" w:cs="Arial" w:eastAsia="Arial" w:hAnsi="Arial"/>
          <w:sz w:val="24"/>
          <w:szCs w:val="24"/>
          <w:rtl/>
        </w:rPr>
        <w:t xml:space="preserve">الإشراف على الإفصاحات المتعلقة بالجمعيات.</w:t>
      </w:r>
    </w:p>
    <w:p>
      <w:pPr>
        <w:pStyle w:val="ListParagraph"/>
        <w:numPr>
          <w:ilvl w:val="0"/>
          <w:numId w:val="2"/>
        </w:numPr>
        <w:bidi/>
        <w:spacing w:after="100" w:line="300"/>
        <w:jc w:val="right"/>
      </w:pPr>
      <w:r>
        <w:rPr>
          <w:rFonts w:ascii="Arial" w:cs="Arial" w:eastAsia="Arial" w:hAnsi="Arial"/>
          <w:sz w:val="24"/>
          <w:szCs w:val="24"/>
          <w:rtl/>
        </w:rPr>
        <w:t xml:space="preserve">اعتماد لوائح حوكمة الشركات.</w:t>
      </w:r>
    </w:p>
    <w:p>
      <w:pPr>
        <w:pStyle w:val="ListParagraph"/>
        <w:numPr>
          <w:ilvl w:val="0"/>
          <w:numId w:val="2"/>
        </w:numPr>
        <w:bidi/>
        <w:spacing w:after="100" w:line="300"/>
        <w:jc w:val="right"/>
      </w:pPr>
      <w:r>
        <w:rPr>
          <w:rFonts w:ascii="Arial" w:cs="Arial" w:eastAsia="Arial" w:hAnsi="Arial"/>
          <w:sz w:val="24"/>
          <w:szCs w:val="24"/>
          <w:rtl/>
        </w:rPr>
        <w:t xml:space="preserve">متابعة الامتثال للالتزامات المستمرة.</w:t>
      </w:r>
    </w:p>
    <w:p>
      <w:pPr>
        <w:pStyle w:val="ListParagraph"/>
        <w:numPr>
          <w:ilvl w:val="0"/>
          <w:numId w:val="2"/>
        </w:numPr>
        <w:bidi/>
        <w:spacing w:after="100" w:line="300"/>
        <w:jc w:val="right"/>
      </w:pPr>
      <w:r>
        <w:rPr>
          <w:rFonts w:ascii="Arial" w:cs="Arial" w:eastAsia="Arial" w:hAnsi="Arial"/>
          <w:sz w:val="24"/>
          <w:szCs w:val="24"/>
          <w:rtl/>
        </w:rPr>
        <w:t xml:space="preserve">التحقق من سلامة الإجراءات.</w:t>
      </w:r>
    </w:p>
    <w:p>
      <w:pPr>
        <w:pStyle w:val="ListParagraph"/>
        <w:numPr>
          <w:ilvl w:val="0"/>
          <w:numId w:val="2"/>
        </w:numPr>
        <w:bidi/>
        <w:spacing w:after="100" w:line="300"/>
        <w:jc w:val="right"/>
      </w:pPr>
      <w:r>
        <w:rPr>
          <w:rFonts w:ascii="Arial" w:cs="Arial" w:eastAsia="Arial" w:hAnsi="Arial"/>
          <w:sz w:val="24"/>
          <w:szCs w:val="24"/>
          <w:rtl/>
        </w:rPr>
        <w:t xml:space="preserve">التحقيق في الشكاوى والمخالفات.</w:t>
      </w:r>
    </w:p>
    <w:p>
      <w:pPr>
        <w:pStyle w:val="ListParagraph"/>
        <w:numPr>
          <w:ilvl w:val="0"/>
          <w:numId w:val="2"/>
        </w:numPr>
        <w:bidi/>
        <w:spacing w:after="100" w:line="300"/>
        <w:jc w:val="right"/>
      </w:pPr>
      <w:r>
        <w:rPr>
          <w:rFonts w:ascii="Arial" w:cs="Arial" w:eastAsia="Arial" w:hAnsi="Arial"/>
          <w:sz w:val="24"/>
          <w:szCs w:val="24"/>
          <w:rtl/>
        </w:rPr>
        <w:t xml:space="preserve">فرض العقوبات في حالات المخالفات.</w:t>
      </w:r>
    </w:p>
    <w:p>
      <w:pPr>
        <w:pStyle w:val="Heading2"/>
        <w:bidi/>
        <w:spacing w:after="160" w:before="280"/>
        <w:jc w:val="right"/>
      </w:pPr>
      <w:r>
        <w:rPr>
          <w:rFonts w:ascii="Arial" w:cs="Arial" w:eastAsia="Arial" w:hAnsi="Arial"/>
          <w:b/>
          <w:bCs/>
          <w:color w:val="2E75B6"/>
          <w:sz w:val="30"/>
          <w:szCs w:val="30"/>
          <w:rtl/>
        </w:rPr>
        <w:t xml:space="preserve">3. السوق المالية السعودية (تداول)</w:t>
      </w:r>
    </w:p>
    <w:p>
      <w:pPr>
        <w:bidi/>
        <w:spacing w:after="140" w:line="320"/>
        <w:jc w:val="both"/>
      </w:pPr>
      <w:r>
        <w:rPr>
          <w:rFonts w:ascii="Arial" w:cs="Arial" w:eastAsia="Arial" w:hAnsi="Arial"/>
          <w:sz w:val="24"/>
          <w:szCs w:val="24"/>
          <w:rtl/>
        </w:rPr>
        <w:t xml:space="preserve">الجهة التشغيلية المشرفة على منصة "تداول" التي تُنشر عبرها إعلانات الجمعيات وإفصاحاتها:</w:t>
      </w:r>
    </w:p>
    <w:p>
      <w:pPr>
        <w:pStyle w:val="ListParagraph"/>
        <w:numPr>
          <w:ilvl w:val="0"/>
          <w:numId w:val="2"/>
        </w:numPr>
        <w:bidi/>
        <w:spacing w:after="100" w:line="300"/>
        <w:jc w:val="right"/>
      </w:pPr>
      <w:r>
        <w:rPr>
          <w:rFonts w:ascii="Arial" w:cs="Arial" w:eastAsia="Arial" w:hAnsi="Arial"/>
          <w:sz w:val="24"/>
          <w:szCs w:val="24"/>
          <w:rtl/>
        </w:rPr>
        <w:t xml:space="preserve">استقبال الإفصاحات الرسمية للجمعيات.</w:t>
      </w:r>
    </w:p>
    <w:p>
      <w:pPr>
        <w:pStyle w:val="ListParagraph"/>
        <w:numPr>
          <w:ilvl w:val="0"/>
          <w:numId w:val="2"/>
        </w:numPr>
        <w:bidi/>
        <w:spacing w:after="100" w:line="300"/>
        <w:jc w:val="right"/>
      </w:pPr>
      <w:r>
        <w:rPr>
          <w:rFonts w:ascii="Arial" w:cs="Arial" w:eastAsia="Arial" w:hAnsi="Arial"/>
          <w:sz w:val="24"/>
          <w:szCs w:val="24"/>
          <w:rtl/>
        </w:rPr>
        <w:t xml:space="preserve">توفير منصة الإفصاح للجمهور.</w:t>
      </w:r>
    </w:p>
    <w:p>
      <w:pPr>
        <w:pStyle w:val="ListParagraph"/>
        <w:numPr>
          <w:ilvl w:val="0"/>
          <w:numId w:val="2"/>
        </w:numPr>
        <w:bidi/>
        <w:spacing w:after="100" w:line="300"/>
        <w:jc w:val="right"/>
      </w:pPr>
      <w:r>
        <w:rPr>
          <w:rFonts w:ascii="Arial" w:cs="Arial" w:eastAsia="Arial" w:hAnsi="Arial"/>
          <w:sz w:val="24"/>
          <w:szCs w:val="24"/>
          <w:rtl/>
        </w:rPr>
        <w:t xml:space="preserve">تنظيم البيئة التشغيلية للسوق.</w:t>
      </w:r>
    </w:p>
    <w:p>
      <w:pPr>
        <w:pStyle w:val="ListParagraph"/>
        <w:numPr>
          <w:ilvl w:val="0"/>
          <w:numId w:val="2"/>
        </w:numPr>
        <w:bidi/>
        <w:spacing w:after="100" w:line="300"/>
        <w:jc w:val="right"/>
      </w:pPr>
      <w:r>
        <w:rPr>
          <w:rFonts w:ascii="Arial" w:cs="Arial" w:eastAsia="Arial" w:hAnsi="Arial"/>
          <w:sz w:val="24"/>
          <w:szCs w:val="24"/>
          <w:rtl/>
        </w:rPr>
        <w:t xml:space="preserve">التعاون مع مركز إيداع في تنفيذ القرارات.</w:t>
      </w:r>
    </w:p>
    <w:p>
      <w:pPr>
        <w:pStyle w:val="Heading2"/>
        <w:bidi/>
        <w:spacing w:after="160" w:before="280"/>
        <w:jc w:val="right"/>
      </w:pPr>
      <w:r>
        <w:rPr>
          <w:rFonts w:ascii="Arial" w:cs="Arial" w:eastAsia="Arial" w:hAnsi="Arial"/>
          <w:b/>
          <w:bCs/>
          <w:color w:val="2E75B6"/>
          <w:sz w:val="30"/>
          <w:szCs w:val="30"/>
          <w:rtl/>
        </w:rPr>
        <w:t xml:space="preserve">4. شركة مركز إيداع الأوراق المالية (إيداع)</w:t>
      </w:r>
    </w:p>
    <w:p>
      <w:pPr>
        <w:bidi/>
        <w:spacing w:after="140" w:line="320"/>
        <w:jc w:val="both"/>
      </w:pPr>
      <w:r>
        <w:rPr>
          <w:rFonts w:ascii="Arial" w:cs="Arial" w:eastAsia="Arial" w:hAnsi="Arial"/>
          <w:sz w:val="24"/>
          <w:szCs w:val="24"/>
          <w:rtl/>
        </w:rPr>
        <w:t xml:space="preserve">الجهة المسؤولة عن منظومة سجل المساهمين والتصويت في الشركات المدرجة:</w:t>
      </w:r>
    </w:p>
    <w:p>
      <w:pPr>
        <w:pStyle w:val="ListParagraph"/>
        <w:numPr>
          <w:ilvl w:val="0"/>
          <w:numId w:val="2"/>
        </w:numPr>
        <w:bidi/>
        <w:spacing w:after="100" w:line="300"/>
        <w:jc w:val="right"/>
      </w:pPr>
      <w:r>
        <w:rPr>
          <w:rFonts w:ascii="Arial" w:cs="Arial" w:eastAsia="Arial" w:hAnsi="Arial"/>
          <w:sz w:val="24"/>
          <w:szCs w:val="24"/>
          <w:rtl/>
        </w:rPr>
        <w:t xml:space="preserve">إدارة سجلات المساهمين للشركات المدرجة.</w:t>
      </w:r>
    </w:p>
    <w:p>
      <w:pPr>
        <w:pStyle w:val="ListParagraph"/>
        <w:numPr>
          <w:ilvl w:val="0"/>
          <w:numId w:val="2"/>
        </w:numPr>
        <w:bidi/>
        <w:spacing w:after="100" w:line="300"/>
        <w:jc w:val="right"/>
      </w:pPr>
      <w:r>
        <w:rPr>
          <w:rFonts w:ascii="Arial" w:cs="Arial" w:eastAsia="Arial" w:hAnsi="Arial"/>
          <w:sz w:val="24"/>
          <w:szCs w:val="24"/>
          <w:rtl/>
        </w:rPr>
        <w:t xml:space="preserve">توفير قائمة المستحقين لحضور الجمعيات.</w:t>
      </w:r>
    </w:p>
    <w:p>
      <w:pPr>
        <w:pStyle w:val="ListParagraph"/>
        <w:numPr>
          <w:ilvl w:val="0"/>
          <w:numId w:val="2"/>
        </w:numPr>
        <w:bidi/>
        <w:spacing w:after="100" w:line="300"/>
        <w:jc w:val="right"/>
      </w:pPr>
      <w:r>
        <w:rPr>
          <w:rFonts w:ascii="Arial" w:cs="Arial" w:eastAsia="Arial" w:hAnsi="Arial"/>
          <w:sz w:val="24"/>
          <w:szCs w:val="24"/>
          <w:rtl/>
        </w:rPr>
        <w:t xml:space="preserve">إدارة منظومة التصويت الإلكتروني.</w:t>
      </w:r>
    </w:p>
    <w:p>
      <w:pPr>
        <w:pStyle w:val="ListParagraph"/>
        <w:numPr>
          <w:ilvl w:val="0"/>
          <w:numId w:val="2"/>
        </w:numPr>
        <w:bidi/>
        <w:spacing w:after="100" w:line="300"/>
        <w:jc w:val="right"/>
      </w:pPr>
      <w:r>
        <w:rPr>
          <w:rFonts w:ascii="Arial" w:cs="Arial" w:eastAsia="Arial" w:hAnsi="Arial"/>
          <w:sz w:val="24"/>
          <w:szCs w:val="24"/>
          <w:rtl/>
        </w:rPr>
        <w:t xml:space="preserve">تنفيذ قرارات الجمعيات (التوزيعات، الزيادات الرأسمالية).</w:t>
      </w:r>
    </w:p>
    <w:p>
      <w:pPr>
        <w:pStyle w:val="ListParagraph"/>
        <w:numPr>
          <w:ilvl w:val="0"/>
          <w:numId w:val="2"/>
        </w:numPr>
        <w:bidi/>
        <w:spacing w:after="100" w:line="300"/>
        <w:jc w:val="right"/>
      </w:pPr>
      <w:r>
        <w:rPr>
          <w:rFonts w:ascii="Arial" w:cs="Arial" w:eastAsia="Arial" w:hAnsi="Arial"/>
          <w:sz w:val="24"/>
          <w:szCs w:val="24"/>
          <w:rtl/>
        </w:rPr>
        <w:t xml:space="preserve">التحقق من نسب الأنصبة والأصوات.</w:t>
      </w:r>
    </w:p>
    <w:p>
      <w:pPr>
        <w:pStyle w:val="Heading2"/>
        <w:bidi/>
        <w:spacing w:after="160" w:before="280"/>
        <w:jc w:val="right"/>
      </w:pPr>
      <w:r>
        <w:rPr>
          <w:rFonts w:ascii="Arial" w:cs="Arial" w:eastAsia="Arial" w:hAnsi="Arial"/>
          <w:b/>
          <w:bCs/>
          <w:color w:val="2E75B6"/>
          <w:sz w:val="30"/>
          <w:szCs w:val="30"/>
          <w:rtl/>
        </w:rPr>
        <w:t xml:space="preserve">5. الجهات القضائية</w:t>
      </w:r>
    </w:p>
    <w:p>
      <w:pPr>
        <w:bidi/>
        <w:spacing w:after="140" w:line="320"/>
        <w:jc w:val="both"/>
      </w:pPr>
      <w:r>
        <w:rPr>
          <w:rFonts w:ascii="Arial" w:cs="Arial" w:eastAsia="Arial" w:hAnsi="Arial"/>
          <w:sz w:val="24"/>
          <w:szCs w:val="24"/>
          <w:rtl/>
        </w:rPr>
        <w:t xml:space="preserve">للجهات القضائية دور رقابي في الحالات التي تنشأ فيها نزاعات أو طعون:</w:t>
      </w:r>
    </w:p>
    <w:p>
      <w:pPr>
        <w:pStyle w:val="ListParagraph"/>
        <w:numPr>
          <w:ilvl w:val="0"/>
          <w:numId w:val="2"/>
        </w:numPr>
        <w:bidi/>
        <w:spacing w:after="100" w:line="300"/>
        <w:jc w:val="right"/>
      </w:pPr>
      <w:r>
        <w:rPr>
          <w:rFonts w:ascii="Arial" w:cs="Arial" w:eastAsia="Arial" w:hAnsi="Arial"/>
          <w:sz w:val="24"/>
          <w:szCs w:val="24"/>
          <w:rtl/>
        </w:rPr>
        <w:t xml:space="preserve">المحاكم التجارية: للفصل في النزاعات المتعلقة بصحة الجمعيات.</w:t>
      </w:r>
    </w:p>
    <w:p>
      <w:pPr>
        <w:pStyle w:val="ListParagraph"/>
        <w:numPr>
          <w:ilvl w:val="0"/>
          <w:numId w:val="2"/>
        </w:numPr>
        <w:bidi/>
        <w:spacing w:after="100" w:line="300"/>
        <w:jc w:val="right"/>
      </w:pPr>
      <w:r>
        <w:rPr>
          <w:rFonts w:ascii="Arial" w:cs="Arial" w:eastAsia="Arial" w:hAnsi="Arial"/>
          <w:sz w:val="24"/>
          <w:szCs w:val="24"/>
          <w:rtl/>
        </w:rPr>
        <w:t xml:space="preserve">لجان حل النزاعات الأخرى المختصة بنظام الشركات.</w:t>
      </w:r>
    </w:p>
    <w:p>
      <w:pPr>
        <w:pStyle w:val="ListParagraph"/>
        <w:numPr>
          <w:ilvl w:val="0"/>
          <w:numId w:val="2"/>
        </w:numPr>
        <w:bidi/>
        <w:spacing w:after="100" w:line="300"/>
        <w:jc w:val="right"/>
      </w:pPr>
      <w:r>
        <w:rPr>
          <w:rFonts w:ascii="Arial" w:cs="Arial" w:eastAsia="Arial" w:hAnsi="Arial"/>
          <w:sz w:val="24"/>
          <w:szCs w:val="24"/>
          <w:rtl/>
        </w:rPr>
        <w:t xml:space="preserve">ديوان المظالم: في حالات الطعن في قرارات الجهات الإدارية.</w:t>
      </w:r>
    </w:p>
    <w:p>
      <w:pPr>
        <w:pStyle w:val="ListParagraph"/>
        <w:numPr>
          <w:ilvl w:val="0"/>
          <w:numId w:val="2"/>
        </w:numPr>
        <w:bidi/>
        <w:spacing w:after="100" w:line="300"/>
        <w:jc w:val="right"/>
      </w:pPr>
      <w:r>
        <w:rPr>
          <w:rFonts w:ascii="Arial" w:cs="Arial" w:eastAsia="Arial" w:hAnsi="Arial"/>
          <w:sz w:val="24"/>
          <w:szCs w:val="24"/>
          <w:rtl/>
        </w:rPr>
        <w:t xml:space="preserve">القضاء العام: في النزاعات بين المساهمين.</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الأحكام النظامية للدعوة إلى الجمعية</w:t>
      </w:r>
    </w:p>
    <w:p>
      <w:pPr>
        <w:bidi/>
        <w:spacing w:after="140" w:line="320"/>
        <w:jc w:val="both"/>
      </w:pPr>
      <w:r>
        <w:rPr>
          <w:rFonts w:ascii="Arial" w:cs="Arial" w:eastAsia="Arial" w:hAnsi="Arial"/>
          <w:sz w:val="24"/>
          <w:szCs w:val="24"/>
          <w:rtl/>
        </w:rPr>
        <w:t xml:space="preserve">الدعوة إلى الجمعية ليست مجرد إجراء شكلي، بل ركن أساسي من أركان صحة انعقادها. وأي خلل في الدعوة قد يُؤدي إلى بطلان الجمعية وقراراتها. وفيما يلي أبرز الأحكام النظامية:</w:t>
      </w:r>
    </w:p>
    <w:p>
      <w:pPr>
        <w:pStyle w:val="Heading2"/>
        <w:bidi/>
        <w:spacing w:after="160" w:before="280"/>
        <w:jc w:val="right"/>
      </w:pPr>
      <w:r>
        <w:rPr>
          <w:rFonts w:ascii="Arial" w:cs="Arial" w:eastAsia="Arial" w:hAnsi="Arial"/>
          <w:b/>
          <w:bCs/>
          <w:color w:val="2E75B6"/>
          <w:sz w:val="30"/>
          <w:szCs w:val="30"/>
          <w:rtl/>
        </w:rPr>
        <w:t xml:space="preserve">1. الجهة المخوّلة بالدعوة</w:t>
      </w:r>
    </w:p>
    <w:p>
      <w:pPr>
        <w:bidi/>
        <w:spacing w:after="140" w:line="320"/>
        <w:jc w:val="both"/>
      </w:pPr>
      <w:r>
        <w:rPr>
          <w:rFonts w:ascii="Arial" w:cs="Arial" w:eastAsia="Arial" w:hAnsi="Arial"/>
          <w:sz w:val="24"/>
          <w:szCs w:val="24"/>
          <w:rtl/>
        </w:rPr>
        <w:t xml:space="preserve">الأصل أن مجلس الإدارة هو المختص بالدعوة إلى الجمعيات. ومع ذلك، يجوز لجهات أخرى الدعوة في حالات معينة:</w:t>
      </w:r>
    </w:p>
    <w:p>
      <w:pPr>
        <w:pStyle w:val="ListParagraph"/>
        <w:numPr>
          <w:ilvl w:val="0"/>
          <w:numId w:val="2"/>
        </w:numPr>
        <w:bidi/>
        <w:spacing w:after="100" w:line="300"/>
        <w:jc w:val="right"/>
      </w:pPr>
      <w:r>
        <w:rPr>
          <w:rFonts w:ascii="Arial" w:cs="Arial" w:eastAsia="Arial" w:hAnsi="Arial"/>
          <w:sz w:val="24"/>
          <w:szCs w:val="24"/>
          <w:rtl/>
        </w:rPr>
        <w:t xml:space="preserve">مراجع الحسابات: إذا لم يُوجّه المجلس الدعوة خلال 30 يوماً من تاريخ طلبه.</w:t>
      </w:r>
    </w:p>
    <w:p>
      <w:pPr>
        <w:pStyle w:val="ListParagraph"/>
        <w:numPr>
          <w:ilvl w:val="0"/>
          <w:numId w:val="2"/>
        </w:numPr>
        <w:bidi/>
        <w:spacing w:after="100" w:line="300"/>
        <w:jc w:val="right"/>
      </w:pPr>
      <w:r>
        <w:rPr>
          <w:rFonts w:ascii="Arial" w:cs="Arial" w:eastAsia="Arial" w:hAnsi="Arial"/>
          <w:sz w:val="24"/>
          <w:szCs w:val="24"/>
          <w:rtl/>
        </w:rPr>
        <w:t xml:space="preserve">مساهمون يمثلون 10% من الأسهم ذات حقوق التصويت: في حالات معينة.</w:t>
      </w:r>
    </w:p>
    <w:p>
      <w:pPr>
        <w:pStyle w:val="ListParagraph"/>
        <w:numPr>
          <w:ilvl w:val="0"/>
          <w:numId w:val="2"/>
        </w:numPr>
        <w:bidi/>
        <w:spacing w:after="100" w:line="300"/>
        <w:jc w:val="right"/>
      </w:pPr>
      <w:r>
        <w:rPr>
          <w:rFonts w:ascii="Arial" w:cs="Arial" w:eastAsia="Arial" w:hAnsi="Arial"/>
          <w:sz w:val="24"/>
          <w:szCs w:val="24"/>
          <w:rtl/>
        </w:rPr>
        <w:t xml:space="preserve">هيئة السوق المالية: في حالات الإخلال بالنظام.</w:t>
      </w:r>
    </w:p>
    <w:p>
      <w:pPr>
        <w:pStyle w:val="ListParagraph"/>
        <w:numPr>
          <w:ilvl w:val="0"/>
          <w:numId w:val="2"/>
        </w:numPr>
        <w:bidi/>
        <w:spacing w:after="100" w:line="300"/>
        <w:jc w:val="right"/>
      </w:pPr>
      <w:r>
        <w:rPr>
          <w:rFonts w:ascii="Arial" w:cs="Arial" w:eastAsia="Arial" w:hAnsi="Arial"/>
          <w:sz w:val="24"/>
          <w:szCs w:val="24"/>
          <w:rtl/>
        </w:rPr>
        <w:t xml:space="preserve">المحكمة المختصة: بحكم قضائي في حالات استثنائية.</w:t>
      </w:r>
    </w:p>
    <w:p>
      <w:pPr>
        <w:pStyle w:val="Heading2"/>
        <w:bidi/>
        <w:spacing w:after="160" w:before="280"/>
        <w:jc w:val="right"/>
      </w:pPr>
      <w:r>
        <w:rPr>
          <w:rFonts w:ascii="Arial" w:cs="Arial" w:eastAsia="Arial" w:hAnsi="Arial"/>
          <w:b/>
          <w:bCs/>
          <w:color w:val="2E75B6"/>
          <w:sz w:val="30"/>
          <w:szCs w:val="30"/>
          <w:rtl/>
        </w:rPr>
        <w:t xml:space="preserve">2. مهلة الدعوة</w:t>
      </w:r>
    </w:p>
    <w:p>
      <w:pPr>
        <w:bidi/>
        <w:spacing w:after="140" w:line="320"/>
        <w:jc w:val="both"/>
      </w:pPr>
      <w:r>
        <w:rPr>
          <w:rFonts w:ascii="Arial" w:cs="Arial" w:eastAsia="Arial" w:hAnsi="Arial"/>
          <w:sz w:val="24"/>
          <w:szCs w:val="24"/>
          <w:rtl/>
        </w:rPr>
        <w:t xml:space="preserve">يجب توجيه الدعوة للمساهمين قبل موعد انعقاد الجمعية بفترة كافية. وقد حدد النظام واللوائح هذه الفترة:</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3126"/>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نوع الجمعية</w:t>
            </w:r>
          </w:p>
        </w:tc>
        <w:tc>
          <w:tcPr>
            <w:tcW w:type="dxa" w:w="2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المهلة الدنيا للدعوة</w:t>
            </w:r>
          </w:p>
        </w:tc>
        <w:tc>
          <w:tcPr>
            <w:tcW w:type="dxa" w:w="31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ملاحظات</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الجمعية العامة العادية</w:t>
            </w:r>
          </w:p>
        </w:tc>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21 يوماً قبل الانعقاد</w:t>
            </w:r>
          </w:p>
        </w:tc>
        <w:tc>
          <w:tcPr>
            <w:tcW w:type="dxa" w:w="31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للشركات المدرجة</w:t>
            </w:r>
          </w:p>
        </w:tc>
      </w:tr>
      <w:tr>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الجمعية العامة غير العادية</w:t>
            </w:r>
          </w:p>
        </w:tc>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21 يوماً قبل الانعقاد</w:t>
            </w:r>
          </w:p>
        </w:tc>
        <w:tc>
          <w:tcPr>
            <w:tcW w:type="dxa" w:w="31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للشركات المدرجة</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الجمعية العامة (غير المدرجة)</w:t>
            </w:r>
          </w:p>
        </w:tc>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10 أيام على الأقل</w:t>
            </w:r>
          </w:p>
        </w:tc>
        <w:tc>
          <w:tcPr>
            <w:tcW w:type="dxa" w:w="31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حسب النظام الأساس</w:t>
            </w:r>
          </w:p>
        </w:tc>
      </w:tr>
      <w:tr>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الاجتماع الثاني</w:t>
            </w:r>
          </w:p>
        </w:tc>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ساعة من نهاية الاجتماع الأول</w:t>
            </w:r>
          </w:p>
        </w:tc>
        <w:tc>
          <w:tcPr>
            <w:tcW w:type="dxa" w:w="31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إذا نص على ذلك في الدعوة الأولى</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الاجتماع الثالث</w:t>
            </w:r>
          </w:p>
        </w:tc>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21 يوماً</w:t>
            </w:r>
          </w:p>
        </w:tc>
        <w:tc>
          <w:tcPr>
            <w:tcW w:type="dxa" w:w="31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بدعوة جديدة</w:t>
            </w:r>
          </w:p>
        </w:tc>
      </w:tr>
    </w:tbl>
    <w:p>
      <w:pPr>
        <w:pStyle w:val="Heading2"/>
        <w:bidi/>
        <w:spacing w:after="160" w:before="280"/>
        <w:jc w:val="right"/>
      </w:pPr>
      <w:r>
        <w:rPr>
          <w:rFonts w:ascii="Arial" w:cs="Arial" w:eastAsia="Arial" w:hAnsi="Arial"/>
          <w:b/>
          <w:bCs/>
          <w:color w:val="2E75B6"/>
          <w:sz w:val="30"/>
          <w:szCs w:val="30"/>
          <w:rtl/>
        </w:rPr>
        <w:t xml:space="preserve">3. وسائل الإعلان عن الدعوة</w:t>
      </w:r>
    </w:p>
    <w:p>
      <w:pPr>
        <w:bidi/>
        <w:spacing w:after="140" w:line="320"/>
        <w:jc w:val="both"/>
      </w:pPr>
      <w:r>
        <w:rPr>
          <w:rFonts w:ascii="Arial" w:cs="Arial" w:eastAsia="Arial" w:hAnsi="Arial"/>
          <w:sz w:val="24"/>
          <w:szCs w:val="24"/>
          <w:rtl/>
        </w:rPr>
        <w:t xml:space="preserve">يجب نشر الدعوة عبر قنوات متعددة لضمان وصولها لجميع المساهمين:</w:t>
      </w:r>
    </w:p>
    <w:p>
      <w:pPr>
        <w:pStyle w:val="Heading3"/>
        <w:bidi/>
        <w:spacing w:after="120" w:before="200"/>
        <w:jc w:val="right"/>
      </w:pPr>
      <w:r>
        <w:rPr>
          <w:rFonts w:ascii="Arial" w:cs="Arial" w:eastAsia="Arial" w:hAnsi="Arial"/>
          <w:b/>
          <w:bCs/>
          <w:color w:val="1F4E79"/>
          <w:sz w:val="26"/>
          <w:szCs w:val="26"/>
          <w:rtl/>
        </w:rPr>
        <w:t xml:space="preserve">للشركات المدرجة</w:t>
      </w:r>
    </w:p>
    <w:p>
      <w:pPr>
        <w:pStyle w:val="ListParagraph"/>
        <w:numPr>
          <w:ilvl w:val="0"/>
          <w:numId w:val="2"/>
        </w:numPr>
        <w:bidi/>
        <w:spacing w:after="100" w:line="300"/>
        <w:jc w:val="right"/>
      </w:pPr>
      <w:r>
        <w:rPr>
          <w:rFonts w:ascii="Arial" w:cs="Arial" w:eastAsia="Arial" w:hAnsi="Arial"/>
          <w:sz w:val="24"/>
          <w:szCs w:val="24"/>
          <w:rtl/>
        </w:rPr>
        <w:t xml:space="preserve">النشر عبر منصة "تداول" الإلكترونية.</w:t>
      </w:r>
    </w:p>
    <w:p>
      <w:pPr>
        <w:pStyle w:val="ListParagraph"/>
        <w:numPr>
          <w:ilvl w:val="0"/>
          <w:numId w:val="2"/>
        </w:numPr>
        <w:bidi/>
        <w:spacing w:after="100" w:line="300"/>
        <w:jc w:val="right"/>
      </w:pPr>
      <w:r>
        <w:rPr>
          <w:rFonts w:ascii="Arial" w:cs="Arial" w:eastAsia="Arial" w:hAnsi="Arial"/>
          <w:sz w:val="24"/>
          <w:szCs w:val="24"/>
          <w:rtl/>
        </w:rPr>
        <w:t xml:space="preserve">النشر على الموقع الإلكتروني الرسمي للشركة.</w:t>
      </w:r>
    </w:p>
    <w:p>
      <w:pPr>
        <w:pStyle w:val="ListParagraph"/>
        <w:numPr>
          <w:ilvl w:val="0"/>
          <w:numId w:val="2"/>
        </w:numPr>
        <w:bidi/>
        <w:spacing w:after="100" w:line="300"/>
        <w:jc w:val="right"/>
      </w:pPr>
      <w:r>
        <w:rPr>
          <w:rFonts w:ascii="Arial" w:cs="Arial" w:eastAsia="Arial" w:hAnsi="Arial"/>
          <w:sz w:val="24"/>
          <w:szCs w:val="24"/>
          <w:rtl/>
        </w:rPr>
        <w:t xml:space="preserve">الإشعار عبر منصة "تداولاتي".</w:t>
      </w:r>
    </w:p>
    <w:p>
      <w:pPr>
        <w:pStyle w:val="ListParagraph"/>
        <w:numPr>
          <w:ilvl w:val="0"/>
          <w:numId w:val="2"/>
        </w:numPr>
        <w:bidi/>
        <w:spacing w:after="100" w:line="300"/>
        <w:jc w:val="right"/>
      </w:pPr>
      <w:r>
        <w:rPr>
          <w:rFonts w:ascii="Arial" w:cs="Arial" w:eastAsia="Arial" w:hAnsi="Arial"/>
          <w:sz w:val="24"/>
          <w:szCs w:val="24"/>
          <w:rtl/>
        </w:rPr>
        <w:t xml:space="preserve">الإرسال المباشر للمساهمين المسجلين (اختياري لكن مستحسن).</w:t>
      </w:r>
    </w:p>
    <w:p>
      <w:pPr>
        <w:pStyle w:val="Heading3"/>
        <w:bidi/>
        <w:spacing w:after="120" w:before="200"/>
        <w:jc w:val="right"/>
      </w:pPr>
      <w:r>
        <w:rPr>
          <w:rFonts w:ascii="Arial" w:cs="Arial" w:eastAsia="Arial" w:hAnsi="Arial"/>
          <w:b/>
          <w:bCs/>
          <w:color w:val="1F4E79"/>
          <w:sz w:val="26"/>
          <w:szCs w:val="26"/>
          <w:rtl/>
        </w:rPr>
        <w:t xml:space="preserve">للشركات غير المدرجة</w:t>
      </w:r>
    </w:p>
    <w:p>
      <w:pPr>
        <w:pStyle w:val="ListParagraph"/>
        <w:numPr>
          <w:ilvl w:val="0"/>
          <w:numId w:val="2"/>
        </w:numPr>
        <w:bidi/>
        <w:spacing w:after="100" w:line="300"/>
        <w:jc w:val="right"/>
      </w:pPr>
      <w:r>
        <w:rPr>
          <w:rFonts w:ascii="Arial" w:cs="Arial" w:eastAsia="Arial" w:hAnsi="Arial"/>
          <w:sz w:val="24"/>
          <w:szCs w:val="24"/>
          <w:rtl/>
        </w:rPr>
        <w:t xml:space="preserve">النشر في صحيفة يومية واسعة الانتشار في المنطقة.</w:t>
      </w:r>
    </w:p>
    <w:p>
      <w:pPr>
        <w:pStyle w:val="ListParagraph"/>
        <w:numPr>
          <w:ilvl w:val="0"/>
          <w:numId w:val="2"/>
        </w:numPr>
        <w:bidi/>
        <w:spacing w:after="100" w:line="300"/>
        <w:jc w:val="right"/>
      </w:pPr>
      <w:r>
        <w:rPr>
          <w:rFonts w:ascii="Arial" w:cs="Arial" w:eastAsia="Arial" w:hAnsi="Arial"/>
          <w:sz w:val="24"/>
          <w:szCs w:val="24"/>
          <w:rtl/>
        </w:rPr>
        <w:t xml:space="preserve">النشر على الموقع الإلكتروني للشركة.</w:t>
      </w:r>
    </w:p>
    <w:p>
      <w:pPr>
        <w:pStyle w:val="ListParagraph"/>
        <w:numPr>
          <w:ilvl w:val="0"/>
          <w:numId w:val="2"/>
        </w:numPr>
        <w:bidi/>
        <w:spacing w:after="100" w:line="300"/>
        <w:jc w:val="right"/>
      </w:pPr>
      <w:r>
        <w:rPr>
          <w:rFonts w:ascii="Arial" w:cs="Arial" w:eastAsia="Arial" w:hAnsi="Arial"/>
          <w:sz w:val="24"/>
          <w:szCs w:val="24"/>
          <w:rtl/>
        </w:rPr>
        <w:t xml:space="preserve">إرسال الدعوة للمساهمين على عناوينهم المسجلة.</w:t>
      </w:r>
    </w:p>
    <w:p>
      <w:pPr>
        <w:pStyle w:val="ListParagraph"/>
        <w:numPr>
          <w:ilvl w:val="0"/>
          <w:numId w:val="2"/>
        </w:numPr>
        <w:bidi/>
        <w:spacing w:after="100" w:line="300"/>
        <w:jc w:val="right"/>
      </w:pPr>
      <w:r>
        <w:rPr>
          <w:rFonts w:ascii="Arial" w:cs="Arial" w:eastAsia="Arial" w:hAnsi="Arial"/>
          <w:sz w:val="24"/>
          <w:szCs w:val="24"/>
          <w:rtl/>
        </w:rPr>
        <w:t xml:space="preserve">في بعض الحالات، الإيداع الإلكتروني لدى الجهات المختصة.</w:t>
      </w:r>
    </w:p>
    <w:p>
      <w:pPr>
        <w:pStyle w:val="Heading2"/>
        <w:bidi/>
        <w:spacing w:after="160" w:before="280"/>
        <w:jc w:val="right"/>
      </w:pPr>
      <w:r>
        <w:rPr>
          <w:rFonts w:ascii="Arial" w:cs="Arial" w:eastAsia="Arial" w:hAnsi="Arial"/>
          <w:b/>
          <w:bCs/>
          <w:color w:val="2E75B6"/>
          <w:sz w:val="30"/>
          <w:szCs w:val="30"/>
          <w:rtl/>
        </w:rPr>
        <w:t xml:space="preserve">4. محتوى الدعوة</w:t>
      </w:r>
    </w:p>
    <w:p>
      <w:pPr>
        <w:bidi/>
        <w:spacing w:after="140" w:line="320"/>
        <w:jc w:val="both"/>
      </w:pPr>
      <w:r>
        <w:rPr>
          <w:rFonts w:ascii="Arial" w:cs="Arial" w:eastAsia="Arial" w:hAnsi="Arial"/>
          <w:sz w:val="24"/>
          <w:szCs w:val="24"/>
          <w:rtl/>
        </w:rPr>
        <w:t xml:space="preserve">يجب أن تتضمن الدعوة المعلومات التالية كحد أدنى:</w:t>
      </w:r>
    </w:p>
    <w:p>
      <w:pPr>
        <w:pStyle w:val="ListParagraph"/>
        <w:numPr>
          <w:ilvl w:val="0"/>
          <w:numId w:val="3"/>
        </w:numPr>
        <w:bidi/>
        <w:spacing w:after="100" w:line="300"/>
        <w:jc w:val="right"/>
      </w:pPr>
      <w:r>
        <w:rPr>
          <w:rFonts w:ascii="Arial" w:cs="Arial" w:eastAsia="Arial" w:hAnsi="Arial"/>
          <w:sz w:val="24"/>
          <w:szCs w:val="24"/>
          <w:rtl/>
        </w:rPr>
        <w:t xml:space="preserve">اسم الشركة وسجلها التجاري.</w:t>
      </w:r>
    </w:p>
    <w:p>
      <w:pPr>
        <w:pStyle w:val="ListParagraph"/>
        <w:numPr>
          <w:ilvl w:val="0"/>
          <w:numId w:val="3"/>
        </w:numPr>
        <w:bidi/>
        <w:spacing w:after="100" w:line="300"/>
        <w:jc w:val="right"/>
      </w:pPr>
      <w:r>
        <w:rPr>
          <w:rFonts w:ascii="Arial" w:cs="Arial" w:eastAsia="Arial" w:hAnsi="Arial"/>
          <w:sz w:val="24"/>
          <w:szCs w:val="24"/>
          <w:rtl/>
        </w:rPr>
        <w:t xml:space="preserve">نوع الجمعية (عادية / غير عادية / خاصة).</w:t>
      </w:r>
    </w:p>
    <w:p>
      <w:pPr>
        <w:pStyle w:val="ListParagraph"/>
        <w:numPr>
          <w:ilvl w:val="0"/>
          <w:numId w:val="3"/>
        </w:numPr>
        <w:bidi/>
        <w:spacing w:after="100" w:line="300"/>
        <w:jc w:val="right"/>
      </w:pPr>
      <w:r>
        <w:rPr>
          <w:rFonts w:ascii="Arial" w:cs="Arial" w:eastAsia="Arial" w:hAnsi="Arial"/>
          <w:sz w:val="24"/>
          <w:szCs w:val="24"/>
          <w:rtl/>
        </w:rPr>
        <w:t xml:space="preserve">تاريخ ومكان الانعقاد (الجسدي والافتراضي).</w:t>
      </w:r>
    </w:p>
    <w:p>
      <w:pPr>
        <w:pStyle w:val="ListParagraph"/>
        <w:numPr>
          <w:ilvl w:val="0"/>
          <w:numId w:val="3"/>
        </w:numPr>
        <w:bidi/>
        <w:spacing w:after="100" w:line="300"/>
        <w:jc w:val="right"/>
      </w:pPr>
      <w:r>
        <w:rPr>
          <w:rFonts w:ascii="Arial" w:cs="Arial" w:eastAsia="Arial" w:hAnsi="Arial"/>
          <w:sz w:val="24"/>
          <w:szCs w:val="24"/>
          <w:rtl/>
        </w:rPr>
        <w:t xml:space="preserve">جدول الأعمال التفصيلي.</w:t>
      </w:r>
    </w:p>
    <w:p>
      <w:pPr>
        <w:pStyle w:val="ListParagraph"/>
        <w:numPr>
          <w:ilvl w:val="0"/>
          <w:numId w:val="3"/>
        </w:numPr>
        <w:bidi/>
        <w:spacing w:after="100" w:line="300"/>
        <w:jc w:val="right"/>
      </w:pPr>
      <w:r>
        <w:rPr>
          <w:rFonts w:ascii="Arial" w:cs="Arial" w:eastAsia="Arial" w:hAnsi="Arial"/>
          <w:sz w:val="24"/>
          <w:szCs w:val="24"/>
          <w:rtl/>
        </w:rPr>
        <w:t xml:space="preserve">النصاب المطلوب.</w:t>
      </w:r>
    </w:p>
    <w:p>
      <w:pPr>
        <w:pStyle w:val="ListParagraph"/>
        <w:numPr>
          <w:ilvl w:val="0"/>
          <w:numId w:val="3"/>
        </w:numPr>
        <w:bidi/>
        <w:spacing w:after="100" w:line="300"/>
        <w:jc w:val="right"/>
      </w:pPr>
      <w:r>
        <w:rPr>
          <w:rFonts w:ascii="Arial" w:cs="Arial" w:eastAsia="Arial" w:hAnsi="Arial"/>
          <w:sz w:val="24"/>
          <w:szCs w:val="24"/>
          <w:rtl/>
        </w:rPr>
        <w:t xml:space="preserve">شروط الحضور والمشاركة.</w:t>
      </w:r>
    </w:p>
    <w:p>
      <w:pPr>
        <w:pStyle w:val="ListParagraph"/>
        <w:numPr>
          <w:ilvl w:val="0"/>
          <w:numId w:val="3"/>
        </w:numPr>
        <w:bidi/>
        <w:spacing w:after="100" w:line="300"/>
        <w:jc w:val="right"/>
      </w:pPr>
      <w:r>
        <w:rPr>
          <w:rFonts w:ascii="Arial" w:cs="Arial" w:eastAsia="Arial" w:hAnsi="Arial"/>
          <w:sz w:val="24"/>
          <w:szCs w:val="24"/>
          <w:rtl/>
        </w:rPr>
        <w:t xml:space="preserve">معلومات عن التوكيل والتصويت المسبق.</w:t>
      </w:r>
    </w:p>
    <w:p>
      <w:pPr>
        <w:pStyle w:val="ListParagraph"/>
        <w:numPr>
          <w:ilvl w:val="0"/>
          <w:numId w:val="3"/>
        </w:numPr>
        <w:bidi/>
        <w:spacing w:after="100" w:line="300"/>
        <w:jc w:val="right"/>
      </w:pPr>
      <w:r>
        <w:rPr>
          <w:rFonts w:ascii="Arial" w:cs="Arial" w:eastAsia="Arial" w:hAnsi="Arial"/>
          <w:sz w:val="24"/>
          <w:szCs w:val="24"/>
          <w:rtl/>
        </w:rPr>
        <w:t xml:space="preserve">الموقع الإلكتروني لتحميل الوثائق ذات العلاقة.</w:t>
      </w:r>
    </w:p>
    <w:p>
      <w:pPr>
        <w:pStyle w:val="ListParagraph"/>
        <w:numPr>
          <w:ilvl w:val="0"/>
          <w:numId w:val="3"/>
        </w:numPr>
        <w:bidi/>
        <w:spacing w:after="100" w:line="300"/>
        <w:jc w:val="right"/>
      </w:pPr>
      <w:r>
        <w:rPr>
          <w:rFonts w:ascii="Arial" w:cs="Arial" w:eastAsia="Arial" w:hAnsi="Arial"/>
          <w:sz w:val="24"/>
          <w:szCs w:val="24"/>
          <w:rtl/>
        </w:rPr>
        <w:t xml:space="preserve">بيانات الاتصال للاستفسارات.</w:t>
      </w:r>
    </w:p>
    <w:p>
      <w:pPr>
        <w:pStyle w:val="Heading2"/>
        <w:bidi/>
        <w:spacing w:after="160" w:before="280"/>
        <w:jc w:val="right"/>
      </w:pPr>
      <w:r>
        <w:rPr>
          <w:rFonts w:ascii="Arial" w:cs="Arial" w:eastAsia="Arial" w:hAnsi="Arial"/>
          <w:b/>
          <w:bCs/>
          <w:color w:val="2E75B6"/>
          <w:sz w:val="30"/>
          <w:szCs w:val="30"/>
          <w:rtl/>
        </w:rPr>
        <w:t xml:space="preserve">5. تاريخ الأحقية</w:t>
      </w:r>
    </w:p>
    <w:p>
      <w:pPr>
        <w:bidi/>
        <w:spacing w:after="140" w:line="320"/>
        <w:jc w:val="both"/>
      </w:pPr>
      <w:r>
        <w:rPr>
          <w:rFonts w:ascii="Arial" w:cs="Arial" w:eastAsia="Arial" w:hAnsi="Arial"/>
          <w:sz w:val="24"/>
          <w:szCs w:val="24"/>
          <w:rtl/>
        </w:rPr>
        <w:t xml:space="preserve">تُحدد قائمة المساهمين المستحقين للحضور بناءً على "تاريخ الأحقية" المحدد قبل الجمعية. والمستحق هو من كان مقيداً في سجل المساهمين في نهاية يوم الأحقية، بصرف النظر عن أي تغييرات لاحقة قبل الجمعية.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تنبيه مهم</w:t>
            </w:r>
          </w:p>
          <w:p>
            <w:pPr>
              <w:bidi/>
              <w:spacing w:line="300"/>
              <w:jc w:val="both"/>
            </w:pPr>
            <w:r>
              <w:rPr>
                <w:rFonts w:ascii="Arial" w:cs="Arial" w:eastAsia="Arial" w:hAnsi="Arial"/>
                <w:sz w:val="24"/>
                <w:szCs w:val="24"/>
                <w:rtl/>
              </w:rPr>
              <w:t xml:space="preserve">أي إخلال جوهري بإجراءات الدعوة - كعدم احترام المهلة النظامية، أو عدم نشرها في القنوات المعتمدة، أو نقص محتواها الأساسي - يُمكن أن يُفضي إلى الطعن في صحة الجمعية وبطلان قراراتها. والشركات الرائدة لا تكتفي بالحد الأدنى من المتطلبات، بل تتجاوزه لضمان وصول الدعوة بشكل واضح ومريح لجميع المساهمين.</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أحكام النصاب والتصويت</w:t>
      </w:r>
    </w:p>
    <w:p>
      <w:pPr>
        <w:pStyle w:val="Heading2"/>
        <w:bidi/>
        <w:spacing w:after="160" w:before="280"/>
        <w:jc w:val="right"/>
      </w:pPr>
      <w:r>
        <w:rPr>
          <w:rFonts w:ascii="Arial" w:cs="Arial" w:eastAsia="Arial" w:hAnsi="Arial"/>
          <w:b/>
          <w:bCs/>
          <w:color w:val="2E75B6"/>
          <w:sz w:val="30"/>
          <w:szCs w:val="30"/>
          <w:rtl/>
        </w:rPr>
        <w:t xml:space="preserve">1. النصاب القانوني</w:t>
      </w:r>
    </w:p>
    <w:p>
      <w:pPr>
        <w:bidi/>
        <w:spacing w:after="140" w:line="320"/>
        <w:jc w:val="both"/>
      </w:pPr>
      <w:r>
        <w:rPr>
          <w:rFonts w:ascii="Arial" w:cs="Arial" w:eastAsia="Arial" w:hAnsi="Arial"/>
          <w:sz w:val="24"/>
          <w:szCs w:val="24"/>
          <w:rtl/>
        </w:rPr>
        <w:t xml:space="preserve">النصاب هو الحد الأدنى من الأسهم الممثلة في الاجتماع الذي يجعل انعقاد الجمعية صحيحاً واتخاذ قراراتها مشروعاً. ويختلف النصاب باختلاف نوع الجمعية ومرحلة الاجتماع.</w:t>
      </w:r>
    </w:p>
    <w:p>
      <w:pPr>
        <w:pStyle w:val="Heading3"/>
        <w:bidi/>
        <w:spacing w:after="120" w:before="200"/>
        <w:jc w:val="right"/>
      </w:pPr>
      <w:r>
        <w:rPr>
          <w:rFonts w:ascii="Arial" w:cs="Arial" w:eastAsia="Arial" w:hAnsi="Arial"/>
          <w:b/>
          <w:bCs/>
          <w:color w:val="1F4E79"/>
          <w:sz w:val="26"/>
          <w:szCs w:val="26"/>
          <w:rtl/>
        </w:rPr>
        <w:t xml:space="preserve">نصاب الجمعية العامة العادية (المادة 92)</w:t>
      </w:r>
    </w:p>
    <w:p>
      <w:pPr>
        <w:pStyle w:val="ListParagraph"/>
        <w:numPr>
          <w:ilvl w:val="0"/>
          <w:numId w:val="2"/>
        </w:numPr>
        <w:bidi/>
        <w:spacing w:after="100" w:line="300"/>
        <w:jc w:val="right"/>
      </w:pPr>
      <w:r>
        <w:rPr>
          <w:rFonts w:ascii="Arial" w:cs="Arial" w:eastAsia="Arial" w:hAnsi="Arial"/>
          <w:sz w:val="24"/>
          <w:szCs w:val="24"/>
          <w:rtl/>
        </w:rPr>
        <w:t xml:space="preserve">الاجتماع الأول: ربع الأسهم ذات حقوق التصويت (25%).</w:t>
      </w:r>
    </w:p>
    <w:p>
      <w:pPr>
        <w:pStyle w:val="ListParagraph"/>
        <w:numPr>
          <w:ilvl w:val="0"/>
          <w:numId w:val="2"/>
        </w:numPr>
        <w:bidi/>
        <w:spacing w:after="100" w:line="300"/>
        <w:jc w:val="right"/>
      </w:pPr>
      <w:r>
        <w:rPr>
          <w:rFonts w:ascii="Arial" w:cs="Arial" w:eastAsia="Arial" w:hAnsi="Arial"/>
          <w:sz w:val="24"/>
          <w:szCs w:val="24"/>
          <w:rtl/>
        </w:rPr>
        <w:t xml:space="preserve">الاجتماع الثاني: أي عدد من الأسهم (بعد ساعة من نهاية الأول).</w:t>
      </w:r>
    </w:p>
    <w:p>
      <w:pPr>
        <w:pStyle w:val="ListParagraph"/>
        <w:numPr>
          <w:ilvl w:val="0"/>
          <w:numId w:val="2"/>
        </w:numPr>
        <w:bidi/>
        <w:spacing w:after="100" w:line="300"/>
        <w:jc w:val="right"/>
      </w:pPr>
      <w:r>
        <w:rPr>
          <w:rFonts w:ascii="Arial" w:cs="Arial" w:eastAsia="Arial" w:hAnsi="Arial"/>
          <w:sz w:val="24"/>
          <w:szCs w:val="24"/>
          <w:rtl/>
        </w:rPr>
        <w:t xml:space="preserve">يجوز للنظام الأساس رفع النصاب على ألا يتجاوز النصف (50%).</w:t>
      </w:r>
    </w:p>
    <w:p>
      <w:pPr>
        <w:pStyle w:val="Heading3"/>
        <w:bidi/>
        <w:spacing w:after="120" w:before="200"/>
        <w:jc w:val="right"/>
      </w:pPr>
      <w:r>
        <w:rPr>
          <w:rFonts w:ascii="Arial" w:cs="Arial" w:eastAsia="Arial" w:hAnsi="Arial"/>
          <w:b/>
          <w:bCs/>
          <w:color w:val="1F4E79"/>
          <w:sz w:val="26"/>
          <w:szCs w:val="26"/>
          <w:rtl/>
        </w:rPr>
        <w:t xml:space="preserve">نصاب الجمعية العامة غير العادية (المادة 93)</w:t>
      </w:r>
    </w:p>
    <w:p>
      <w:pPr>
        <w:pStyle w:val="ListParagraph"/>
        <w:numPr>
          <w:ilvl w:val="0"/>
          <w:numId w:val="2"/>
        </w:numPr>
        <w:bidi/>
        <w:spacing w:after="100" w:line="300"/>
        <w:jc w:val="right"/>
      </w:pPr>
      <w:r>
        <w:rPr>
          <w:rFonts w:ascii="Arial" w:cs="Arial" w:eastAsia="Arial" w:hAnsi="Arial"/>
          <w:sz w:val="24"/>
          <w:szCs w:val="24"/>
          <w:rtl/>
        </w:rPr>
        <w:t xml:space="preserve">الاجتماع الأول: نصف الأسهم ذات حقوق التصويت (50%).</w:t>
      </w:r>
    </w:p>
    <w:p>
      <w:pPr>
        <w:pStyle w:val="ListParagraph"/>
        <w:numPr>
          <w:ilvl w:val="0"/>
          <w:numId w:val="2"/>
        </w:numPr>
        <w:bidi/>
        <w:spacing w:after="100" w:line="300"/>
        <w:jc w:val="right"/>
      </w:pPr>
      <w:r>
        <w:rPr>
          <w:rFonts w:ascii="Arial" w:cs="Arial" w:eastAsia="Arial" w:hAnsi="Arial"/>
          <w:sz w:val="24"/>
          <w:szCs w:val="24"/>
          <w:rtl/>
        </w:rPr>
        <w:t xml:space="preserve">الاجتماع الثاني: ربع الأسهم (بعد ساعة).</w:t>
      </w:r>
    </w:p>
    <w:p>
      <w:pPr>
        <w:pStyle w:val="ListParagraph"/>
        <w:numPr>
          <w:ilvl w:val="0"/>
          <w:numId w:val="2"/>
        </w:numPr>
        <w:bidi/>
        <w:spacing w:after="100" w:line="300"/>
        <w:jc w:val="right"/>
      </w:pPr>
      <w:r>
        <w:rPr>
          <w:rFonts w:ascii="Arial" w:cs="Arial" w:eastAsia="Arial" w:hAnsi="Arial"/>
          <w:sz w:val="24"/>
          <w:szCs w:val="24"/>
          <w:rtl/>
        </w:rPr>
        <w:t xml:space="preserve">الاجتماع الثالث: أي عدد، بدعوة جديدة وفق الإجراءات.</w:t>
      </w:r>
    </w:p>
    <w:p>
      <w:pPr>
        <w:pStyle w:val="Heading3"/>
        <w:bidi/>
        <w:spacing w:after="120" w:before="200"/>
        <w:jc w:val="right"/>
      </w:pPr>
      <w:r>
        <w:rPr>
          <w:rFonts w:ascii="Arial" w:cs="Arial" w:eastAsia="Arial" w:hAnsi="Arial"/>
          <w:b/>
          <w:bCs/>
          <w:color w:val="1F4E79"/>
          <w:sz w:val="26"/>
          <w:szCs w:val="26"/>
          <w:rtl/>
        </w:rPr>
        <w:t xml:space="preserve">نصاب الجمعية الخاصة</w:t>
      </w:r>
    </w:p>
    <w:p>
      <w:pPr>
        <w:pStyle w:val="ListParagraph"/>
        <w:numPr>
          <w:ilvl w:val="0"/>
          <w:numId w:val="2"/>
        </w:numPr>
        <w:bidi/>
        <w:spacing w:after="100" w:line="300"/>
        <w:jc w:val="right"/>
      </w:pPr>
      <w:r>
        <w:rPr>
          <w:rFonts w:ascii="Arial" w:cs="Arial" w:eastAsia="Arial" w:hAnsi="Arial"/>
          <w:sz w:val="24"/>
          <w:szCs w:val="24"/>
          <w:rtl/>
        </w:rPr>
        <w:t xml:space="preserve">يُحدد وفقاً لنوع الأسهم وأحكام النظام الأساس.</w:t>
      </w:r>
    </w:p>
    <w:p>
      <w:pPr>
        <w:pStyle w:val="ListParagraph"/>
        <w:numPr>
          <w:ilvl w:val="0"/>
          <w:numId w:val="2"/>
        </w:numPr>
        <w:bidi/>
        <w:spacing w:after="100" w:line="300"/>
        <w:jc w:val="right"/>
      </w:pPr>
      <w:r>
        <w:rPr>
          <w:rFonts w:ascii="Arial" w:cs="Arial" w:eastAsia="Arial" w:hAnsi="Arial"/>
          <w:sz w:val="24"/>
          <w:szCs w:val="24"/>
          <w:rtl/>
        </w:rPr>
        <w:t xml:space="preserve">في الغالب نصف الأسهم من الفئة المعنية.</w:t>
      </w:r>
    </w:p>
    <w:p>
      <w:pPr>
        <w:pStyle w:val="Heading2"/>
        <w:bidi/>
        <w:spacing w:after="160" w:before="280"/>
        <w:jc w:val="right"/>
      </w:pPr>
      <w:r>
        <w:rPr>
          <w:rFonts w:ascii="Arial" w:cs="Arial" w:eastAsia="Arial" w:hAnsi="Arial"/>
          <w:b/>
          <w:bCs/>
          <w:color w:val="2E75B6"/>
          <w:sz w:val="30"/>
          <w:szCs w:val="30"/>
          <w:rtl/>
        </w:rPr>
        <w:t xml:space="preserve">2. حساب النصاب</w:t>
      </w:r>
    </w:p>
    <w:p>
      <w:pPr>
        <w:bidi/>
        <w:spacing w:after="140" w:line="320"/>
        <w:jc w:val="both"/>
      </w:pPr>
      <w:r>
        <w:rPr>
          <w:rFonts w:ascii="Arial" w:cs="Arial" w:eastAsia="Arial" w:hAnsi="Arial"/>
          <w:sz w:val="24"/>
          <w:szCs w:val="24"/>
          <w:rtl/>
        </w:rPr>
        <w:t xml:space="preserve">عند حساب النصاب، يجب مراعاة الأحكام التالية:</w:t>
      </w:r>
    </w:p>
    <w:p>
      <w:pPr>
        <w:pStyle w:val="ListParagraph"/>
        <w:numPr>
          <w:ilvl w:val="0"/>
          <w:numId w:val="2"/>
        </w:numPr>
        <w:bidi/>
        <w:spacing w:after="100" w:line="300"/>
        <w:jc w:val="right"/>
      </w:pPr>
      <w:r>
        <w:rPr>
          <w:rFonts w:ascii="Arial" w:cs="Arial" w:eastAsia="Arial" w:hAnsi="Arial"/>
          <w:sz w:val="24"/>
          <w:szCs w:val="24"/>
          <w:rtl/>
        </w:rPr>
        <w:t xml:space="preserve">تُحسب أسهم الحضور بالأصالة والوكالة.</w:t>
      </w:r>
    </w:p>
    <w:p>
      <w:pPr>
        <w:pStyle w:val="ListParagraph"/>
        <w:numPr>
          <w:ilvl w:val="0"/>
          <w:numId w:val="2"/>
        </w:numPr>
        <w:bidi/>
        <w:spacing w:after="100" w:line="300"/>
        <w:jc w:val="right"/>
      </w:pPr>
      <w:r>
        <w:rPr>
          <w:rFonts w:ascii="Arial" w:cs="Arial" w:eastAsia="Arial" w:hAnsi="Arial"/>
          <w:sz w:val="24"/>
          <w:szCs w:val="24"/>
          <w:rtl/>
        </w:rPr>
        <w:t xml:space="preserve">تُحسب أصوات التصويت الإلكتروني المسبق.</w:t>
      </w:r>
    </w:p>
    <w:p>
      <w:pPr>
        <w:pStyle w:val="ListParagraph"/>
        <w:numPr>
          <w:ilvl w:val="0"/>
          <w:numId w:val="2"/>
        </w:numPr>
        <w:bidi/>
        <w:spacing w:after="100" w:line="300"/>
        <w:jc w:val="right"/>
      </w:pPr>
      <w:r>
        <w:rPr>
          <w:rFonts w:ascii="Arial" w:cs="Arial" w:eastAsia="Arial" w:hAnsi="Arial"/>
          <w:sz w:val="24"/>
          <w:szCs w:val="24"/>
          <w:rtl/>
        </w:rPr>
        <w:t xml:space="preserve">لا تُحسب أسهم الخزينة المملوكة للشركة.</w:t>
      </w:r>
    </w:p>
    <w:p>
      <w:pPr>
        <w:pStyle w:val="ListParagraph"/>
        <w:numPr>
          <w:ilvl w:val="0"/>
          <w:numId w:val="2"/>
        </w:numPr>
        <w:bidi/>
        <w:spacing w:after="100" w:line="300"/>
        <w:jc w:val="right"/>
      </w:pPr>
      <w:r>
        <w:rPr>
          <w:rFonts w:ascii="Arial" w:cs="Arial" w:eastAsia="Arial" w:hAnsi="Arial"/>
          <w:sz w:val="24"/>
          <w:szCs w:val="24"/>
          <w:rtl/>
        </w:rPr>
        <w:t xml:space="preserve">لا تُحسب أسهم من ليس له حق التصويت.</w:t>
      </w:r>
    </w:p>
    <w:p>
      <w:pPr>
        <w:pStyle w:val="ListParagraph"/>
        <w:numPr>
          <w:ilvl w:val="0"/>
          <w:numId w:val="2"/>
        </w:numPr>
        <w:bidi/>
        <w:spacing w:after="100" w:line="300"/>
        <w:jc w:val="right"/>
      </w:pPr>
      <w:r>
        <w:rPr>
          <w:rFonts w:ascii="Arial" w:cs="Arial" w:eastAsia="Arial" w:hAnsi="Arial"/>
          <w:sz w:val="24"/>
          <w:szCs w:val="24"/>
          <w:rtl/>
        </w:rPr>
        <w:t xml:space="preserve">في بعض القرارات، لا تُحسب أسهم أصحاب المصلحة.</w:t>
      </w:r>
    </w:p>
    <w:p>
      <w:pPr>
        <w:pStyle w:val="Heading2"/>
        <w:bidi/>
        <w:spacing w:after="160" w:before="280"/>
        <w:jc w:val="right"/>
      </w:pPr>
      <w:r>
        <w:rPr>
          <w:rFonts w:ascii="Arial" w:cs="Arial" w:eastAsia="Arial" w:hAnsi="Arial"/>
          <w:b/>
          <w:bCs/>
          <w:color w:val="2E75B6"/>
          <w:sz w:val="30"/>
          <w:szCs w:val="30"/>
          <w:rtl/>
        </w:rPr>
        <w:t xml:space="preserve">3. آليات التصويت</w:t>
      </w:r>
    </w:p>
    <w:p>
      <w:pPr>
        <w:bidi/>
        <w:spacing w:after="140" w:line="320"/>
        <w:jc w:val="both"/>
      </w:pPr>
      <w:r>
        <w:rPr>
          <w:rFonts w:ascii="Arial" w:cs="Arial" w:eastAsia="Arial" w:hAnsi="Arial"/>
          <w:sz w:val="24"/>
          <w:szCs w:val="24"/>
          <w:rtl/>
        </w:rPr>
        <w:t xml:space="preserve">يُتيح النظام السعودي عدة آليات للتصويت، تتنوع لتُيسّر مشاركة جميع المساهمين:</w:t>
      </w:r>
    </w:p>
    <w:p>
      <w:pPr>
        <w:pStyle w:val="Heading3"/>
        <w:bidi/>
        <w:spacing w:after="120" w:before="200"/>
        <w:jc w:val="right"/>
      </w:pPr>
      <w:r>
        <w:rPr>
          <w:rFonts w:ascii="Arial" w:cs="Arial" w:eastAsia="Arial" w:hAnsi="Arial"/>
          <w:b/>
          <w:bCs/>
          <w:color w:val="1F4E79"/>
          <w:sz w:val="26"/>
          <w:szCs w:val="26"/>
          <w:rtl/>
        </w:rPr>
        <w:t xml:space="preserve">التصويت الجسدي (التقليدي)</w:t>
      </w:r>
    </w:p>
    <w:p>
      <w:pPr>
        <w:bidi/>
        <w:spacing w:after="140" w:line="320"/>
        <w:jc w:val="both"/>
      </w:pPr>
      <w:r>
        <w:rPr>
          <w:rFonts w:ascii="Arial" w:cs="Arial" w:eastAsia="Arial" w:hAnsi="Arial"/>
          <w:sz w:val="24"/>
          <w:szCs w:val="24"/>
          <w:rtl/>
        </w:rPr>
        <w:t xml:space="preserve">يحضر المساهم شخصياً ويُصوّت برفع اليد أو بالبطاقات.</w:t>
      </w:r>
    </w:p>
    <w:p>
      <w:pPr>
        <w:pStyle w:val="Heading3"/>
        <w:bidi/>
        <w:spacing w:after="120" w:before="200"/>
        <w:jc w:val="right"/>
      </w:pPr>
      <w:r>
        <w:rPr>
          <w:rFonts w:ascii="Arial" w:cs="Arial" w:eastAsia="Arial" w:hAnsi="Arial"/>
          <w:b/>
          <w:bCs/>
          <w:color w:val="1F4E79"/>
          <w:sz w:val="26"/>
          <w:szCs w:val="26"/>
          <w:rtl/>
        </w:rPr>
        <w:t xml:space="preserve">التصويت بالوكالة</w:t>
      </w:r>
    </w:p>
    <w:p>
      <w:pPr>
        <w:bidi/>
        <w:spacing w:after="140" w:line="320"/>
        <w:jc w:val="both"/>
      </w:pPr>
      <w:r>
        <w:rPr>
          <w:rFonts w:ascii="Arial" w:cs="Arial" w:eastAsia="Arial" w:hAnsi="Arial"/>
          <w:sz w:val="24"/>
          <w:szCs w:val="24"/>
          <w:rtl/>
        </w:rPr>
        <w:t xml:space="preserve">يُفوّض المساهم شخصاً آخر للتصويت نيابة عنه وفق ضوابط التوكيل.</w:t>
      </w:r>
    </w:p>
    <w:p>
      <w:pPr>
        <w:pStyle w:val="Heading3"/>
        <w:bidi/>
        <w:spacing w:after="120" w:before="200"/>
        <w:jc w:val="right"/>
      </w:pPr>
      <w:r>
        <w:rPr>
          <w:rFonts w:ascii="Arial" w:cs="Arial" w:eastAsia="Arial" w:hAnsi="Arial"/>
          <w:b/>
          <w:bCs/>
          <w:color w:val="1F4E79"/>
          <w:sz w:val="26"/>
          <w:szCs w:val="26"/>
          <w:rtl/>
        </w:rPr>
        <w:t xml:space="preserve">التصويت الإلكتروني المسبق</w:t>
      </w:r>
    </w:p>
    <w:p>
      <w:pPr>
        <w:bidi/>
        <w:spacing w:after="140" w:line="320"/>
        <w:jc w:val="both"/>
      </w:pPr>
      <w:r>
        <w:rPr>
          <w:rFonts w:ascii="Arial" w:cs="Arial" w:eastAsia="Arial" w:hAnsi="Arial"/>
          <w:sz w:val="24"/>
          <w:szCs w:val="24"/>
          <w:rtl/>
        </w:rPr>
        <w:t xml:space="preserve">يُتيح للمساهم التصويت قبل انعقاد الجمعية عبر منصات إلكترونية معتمدة. وفقاً للائحة التنفيذية، يُفتح باب التصويت بعد نشر الدعوة على ألا تقل فترة التصويت عن 3 أيام قبل انعقاد الجمعية.</w:t>
      </w:r>
    </w:p>
    <w:p>
      <w:pPr>
        <w:pStyle w:val="Heading3"/>
        <w:bidi/>
        <w:spacing w:after="120" w:before="200"/>
        <w:jc w:val="right"/>
      </w:pPr>
      <w:r>
        <w:rPr>
          <w:rFonts w:ascii="Arial" w:cs="Arial" w:eastAsia="Arial" w:hAnsi="Arial"/>
          <w:b/>
          <w:bCs/>
          <w:color w:val="1F4E79"/>
          <w:sz w:val="26"/>
          <w:szCs w:val="26"/>
          <w:rtl/>
        </w:rPr>
        <w:t xml:space="preserve">التصويت الإلكتروني الآني</w:t>
      </w:r>
    </w:p>
    <w:p>
      <w:pPr>
        <w:bidi/>
        <w:spacing w:after="140" w:line="320"/>
        <w:jc w:val="both"/>
      </w:pPr>
      <w:r>
        <w:rPr>
          <w:rFonts w:ascii="Arial" w:cs="Arial" w:eastAsia="Arial" w:hAnsi="Arial"/>
          <w:sz w:val="24"/>
          <w:szCs w:val="24"/>
          <w:rtl/>
        </w:rPr>
        <w:t xml:space="preserve">يُتيح للمساهم الحاضر افتراضياً (عن بُعد) التصويت لحظياً مع الجمعية.</w:t>
      </w:r>
    </w:p>
    <w:p>
      <w:pPr>
        <w:pStyle w:val="Heading3"/>
        <w:bidi/>
        <w:spacing w:after="120" w:before="200"/>
        <w:jc w:val="right"/>
      </w:pPr>
      <w:r>
        <w:rPr>
          <w:rFonts w:ascii="Arial" w:cs="Arial" w:eastAsia="Arial" w:hAnsi="Arial"/>
          <w:b/>
          <w:bCs/>
          <w:color w:val="1F4E79"/>
          <w:sz w:val="26"/>
          <w:szCs w:val="26"/>
          <w:rtl/>
        </w:rPr>
        <w:t xml:space="preserve">التصويت التراكمي</w:t>
      </w:r>
    </w:p>
    <w:p>
      <w:pPr>
        <w:bidi/>
        <w:spacing w:after="140" w:line="320"/>
        <w:jc w:val="both"/>
      </w:pPr>
      <w:r>
        <w:rPr>
          <w:rFonts w:ascii="Arial" w:cs="Arial" w:eastAsia="Arial" w:hAnsi="Arial"/>
          <w:sz w:val="24"/>
          <w:szCs w:val="24"/>
          <w:rtl/>
        </w:rPr>
        <w:t xml:space="preserve">آلية خاصة بانتخاب أعضاء مجلس الإدارة، تُمكّن المساهم من تجميع أصواته على مرشح واحد أو توزيعها على عدة مرشحين.</w:t>
      </w:r>
    </w:p>
    <w:p>
      <w:pPr>
        <w:pStyle w:val="Heading2"/>
        <w:bidi/>
        <w:spacing w:after="160" w:before="280"/>
        <w:jc w:val="right"/>
      </w:pPr>
      <w:r>
        <w:rPr>
          <w:rFonts w:ascii="Arial" w:cs="Arial" w:eastAsia="Arial" w:hAnsi="Arial"/>
          <w:b/>
          <w:bCs/>
          <w:color w:val="2E75B6"/>
          <w:sz w:val="30"/>
          <w:szCs w:val="30"/>
          <w:rtl/>
        </w:rPr>
        <w:t xml:space="preserve">4. أغلبية إصدار القرارات</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3126"/>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نوع القرار</w:t>
            </w:r>
          </w:p>
        </w:tc>
        <w:tc>
          <w:tcPr>
            <w:tcW w:type="dxa" w:w="2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الأغلبية المطلوبة</w:t>
            </w:r>
          </w:p>
        </w:tc>
        <w:tc>
          <w:tcPr>
            <w:tcW w:type="dxa" w:w="31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أمثلة</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قرارات الجمعية العادية</w:t>
            </w:r>
          </w:p>
        </w:tc>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الأغلبية المطلقة (&gt;50%)</w:t>
            </w:r>
          </w:p>
        </w:tc>
        <w:tc>
          <w:tcPr>
            <w:tcW w:type="dxa" w:w="31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اعتماد القوائم، انتخاب المجلس</w:t>
            </w:r>
          </w:p>
        </w:tc>
      </w:tr>
      <w:tr>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قرارات الجمعية غير العادية (عامة)</w:t>
            </w:r>
          </w:p>
        </w:tc>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ثلثا الأصوات (66.67%)</w:t>
            </w:r>
          </w:p>
        </w:tc>
        <w:tc>
          <w:tcPr>
            <w:tcW w:type="dxa" w:w="31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تعديل النظام الأساس عموماً</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قرارات جوهرية</w:t>
            </w:r>
          </w:p>
        </w:tc>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ثلاثة أرباع الأصوات (75%)</w:t>
            </w:r>
          </w:p>
        </w:tc>
        <w:tc>
          <w:tcPr>
            <w:tcW w:type="dxa" w:w="31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زيادة/تخفيض رأس المال، الحل، تغيير الغرض</w:t>
            </w:r>
          </w:p>
        </w:tc>
      </w:tr>
      <w:tr>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قرارات الجمعية الخاصة</w:t>
            </w:r>
          </w:p>
        </w:tc>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حسب النظام الأساس</w:t>
            </w:r>
          </w:p>
        </w:tc>
        <w:tc>
          <w:tcPr>
            <w:tcW w:type="dxa" w:w="31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تعديل حقوق فئة معينة</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انتخاب مجلس الإدارة</w:t>
            </w:r>
          </w:p>
        </w:tc>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تصويت تراكمي</w:t>
            </w:r>
          </w:p>
        </w:tc>
        <w:tc>
          <w:tcPr>
            <w:tcW w:type="dxa" w:w="31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وفق آلية خاصة</w:t>
            </w:r>
          </w:p>
        </w:tc>
      </w:tr>
    </w:tbl>
    <w:p>
      <w:pPr>
        <w:pStyle w:val="Heading2"/>
        <w:bidi/>
        <w:spacing w:after="160" w:before="280"/>
        <w:jc w:val="right"/>
      </w:pPr>
      <w:r>
        <w:rPr>
          <w:rFonts w:ascii="Arial" w:cs="Arial" w:eastAsia="Arial" w:hAnsi="Arial"/>
          <w:b/>
          <w:bCs/>
          <w:color w:val="2E75B6"/>
          <w:sz w:val="30"/>
          <w:szCs w:val="30"/>
          <w:rtl/>
        </w:rPr>
        <w:t xml:space="preserve">5. حالات تعارض المصالح</w:t>
      </w:r>
    </w:p>
    <w:p>
      <w:pPr>
        <w:bidi/>
        <w:spacing w:after="140" w:line="320"/>
        <w:jc w:val="both"/>
      </w:pPr>
      <w:r>
        <w:rPr>
          <w:rFonts w:ascii="Arial" w:cs="Arial" w:eastAsia="Arial" w:hAnsi="Arial"/>
          <w:sz w:val="24"/>
          <w:szCs w:val="24"/>
          <w:rtl/>
        </w:rPr>
        <w:t xml:space="preserve">في حالات تعارض المصالح، يُمنع المساهم صاحب المصلحة من التصويت على القرار المعني:</w:t>
      </w:r>
    </w:p>
    <w:p>
      <w:pPr>
        <w:pStyle w:val="ListParagraph"/>
        <w:numPr>
          <w:ilvl w:val="0"/>
          <w:numId w:val="2"/>
        </w:numPr>
        <w:bidi/>
        <w:spacing w:after="100" w:line="300"/>
        <w:jc w:val="right"/>
      </w:pPr>
      <w:r>
        <w:rPr>
          <w:rFonts w:ascii="Arial" w:cs="Arial" w:eastAsia="Arial" w:hAnsi="Arial"/>
          <w:sz w:val="24"/>
          <w:szCs w:val="24"/>
          <w:rtl/>
        </w:rPr>
        <w:t xml:space="preserve">الموافقة على معاملات الأطراف ذات العلاقة.</w:t>
      </w:r>
    </w:p>
    <w:p>
      <w:pPr>
        <w:pStyle w:val="ListParagraph"/>
        <w:numPr>
          <w:ilvl w:val="0"/>
          <w:numId w:val="2"/>
        </w:numPr>
        <w:bidi/>
        <w:spacing w:after="100" w:line="300"/>
        <w:jc w:val="right"/>
      </w:pPr>
      <w:r>
        <w:rPr>
          <w:rFonts w:ascii="Arial" w:cs="Arial" w:eastAsia="Arial" w:hAnsi="Arial"/>
          <w:sz w:val="24"/>
          <w:szCs w:val="24"/>
          <w:rtl/>
        </w:rPr>
        <w:t xml:space="preserve">إبراء ذمة أعضاء مجلس الإدارة (لا يصوّت العضو على إبراء نفسه).</w:t>
      </w:r>
    </w:p>
    <w:p>
      <w:pPr>
        <w:pStyle w:val="ListParagraph"/>
        <w:numPr>
          <w:ilvl w:val="0"/>
          <w:numId w:val="2"/>
        </w:numPr>
        <w:bidi/>
        <w:spacing w:after="100" w:line="300"/>
        <w:jc w:val="right"/>
      </w:pPr>
      <w:r>
        <w:rPr>
          <w:rFonts w:ascii="Arial" w:cs="Arial" w:eastAsia="Arial" w:hAnsi="Arial"/>
          <w:sz w:val="24"/>
          <w:szCs w:val="24"/>
          <w:rtl/>
        </w:rPr>
        <w:t xml:space="preserve">تحديد مكافآت الأعضاء (لا يصوّت العضو على مكافأته).</w:t>
      </w:r>
    </w:p>
    <w:p>
      <w:pPr>
        <w:pStyle w:val="ListParagraph"/>
        <w:numPr>
          <w:ilvl w:val="0"/>
          <w:numId w:val="2"/>
        </w:numPr>
        <w:bidi/>
        <w:spacing w:after="100" w:line="300"/>
        <w:jc w:val="right"/>
      </w:pPr>
      <w:r>
        <w:rPr>
          <w:rFonts w:ascii="Arial" w:cs="Arial" w:eastAsia="Arial" w:hAnsi="Arial"/>
          <w:sz w:val="24"/>
          <w:szCs w:val="24"/>
          <w:rtl/>
        </w:rPr>
        <w:t xml:space="preserve">القرارات التي تخص فئة خاصة من الأسهم.</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أحكام الجمعيات الخاصة</w:t>
      </w:r>
    </w:p>
    <w:p>
      <w:pPr>
        <w:bidi/>
        <w:spacing w:after="140" w:line="320"/>
        <w:jc w:val="both"/>
      </w:pPr>
      <w:r>
        <w:rPr>
          <w:rFonts w:ascii="Arial" w:cs="Arial" w:eastAsia="Arial" w:hAnsi="Arial"/>
          <w:sz w:val="24"/>
          <w:szCs w:val="24"/>
          <w:rtl/>
        </w:rPr>
        <w:t xml:space="preserve">الجمعيات الخاصة هي جمعيات لفئات معينة من المساهمين، نظّمها نظام الشركات الجديد بأحكام تفصيلية لحماية حقوق هذه الفئات.</w:t>
      </w:r>
    </w:p>
    <w:p>
      <w:pPr>
        <w:pStyle w:val="Heading2"/>
        <w:bidi/>
        <w:spacing w:after="160" w:before="280"/>
        <w:jc w:val="right"/>
      </w:pPr>
      <w:r>
        <w:rPr>
          <w:rFonts w:ascii="Arial" w:cs="Arial" w:eastAsia="Arial" w:hAnsi="Arial"/>
          <w:b/>
          <w:bCs/>
          <w:color w:val="2E75B6"/>
          <w:sz w:val="30"/>
          <w:szCs w:val="30"/>
          <w:rtl/>
        </w:rPr>
        <w:t xml:space="preserve">متى تُعقد الجمعية الخاصة؟</w:t>
      </w:r>
    </w:p>
    <w:p>
      <w:pPr>
        <w:bidi/>
        <w:spacing w:after="140" w:line="320"/>
        <w:jc w:val="both"/>
      </w:pPr>
      <w:r>
        <w:rPr>
          <w:rFonts w:ascii="Arial" w:cs="Arial" w:eastAsia="Arial" w:hAnsi="Arial"/>
          <w:sz w:val="24"/>
          <w:szCs w:val="24"/>
          <w:rtl/>
        </w:rPr>
        <w:t xml:space="preserve">تُعقد الجمعية الخاصة في الحالات التالية:</w:t>
      </w:r>
    </w:p>
    <w:p>
      <w:pPr>
        <w:pStyle w:val="ListParagraph"/>
        <w:numPr>
          <w:ilvl w:val="0"/>
          <w:numId w:val="3"/>
        </w:numPr>
        <w:bidi/>
        <w:spacing w:after="100" w:line="300"/>
        <w:jc w:val="right"/>
      </w:pPr>
      <w:r>
        <w:rPr>
          <w:rFonts w:ascii="Arial" w:cs="Arial" w:eastAsia="Arial" w:hAnsi="Arial"/>
          <w:sz w:val="24"/>
          <w:szCs w:val="24"/>
          <w:rtl/>
        </w:rPr>
        <w:t xml:space="preserve">عند إصدار أنواع أو فئات جديدة من الأسهم قد تُضرّ بفئة قائمة (يستوجب موافقتها).</w:t>
      </w:r>
    </w:p>
    <w:p>
      <w:pPr>
        <w:pStyle w:val="ListParagraph"/>
        <w:numPr>
          <w:ilvl w:val="0"/>
          <w:numId w:val="3"/>
        </w:numPr>
        <w:bidi/>
        <w:spacing w:after="100" w:line="300"/>
        <w:jc w:val="right"/>
      </w:pPr>
      <w:r>
        <w:rPr>
          <w:rFonts w:ascii="Arial" w:cs="Arial" w:eastAsia="Arial" w:hAnsi="Arial"/>
          <w:sz w:val="24"/>
          <w:szCs w:val="24"/>
          <w:rtl/>
        </w:rPr>
        <w:t xml:space="preserve">عند تحويل نوع أو فئة من الأسهم إلى نوع أو فئة أخرى.</w:t>
      </w:r>
    </w:p>
    <w:p>
      <w:pPr>
        <w:pStyle w:val="ListParagraph"/>
        <w:numPr>
          <w:ilvl w:val="0"/>
          <w:numId w:val="3"/>
        </w:numPr>
        <w:bidi/>
        <w:spacing w:after="100" w:line="300"/>
        <w:jc w:val="right"/>
      </w:pPr>
      <w:r>
        <w:rPr>
          <w:rFonts w:ascii="Arial" w:cs="Arial" w:eastAsia="Arial" w:hAnsi="Arial"/>
          <w:sz w:val="24"/>
          <w:szCs w:val="24"/>
          <w:rtl/>
        </w:rPr>
        <w:t xml:space="preserve">عند اتخاذ قرارات تمس بحقوق فئة معينة من الأسهم الممتازة.</w:t>
      </w:r>
    </w:p>
    <w:p>
      <w:pPr>
        <w:pStyle w:val="ListParagraph"/>
        <w:numPr>
          <w:ilvl w:val="0"/>
          <w:numId w:val="3"/>
        </w:numPr>
        <w:bidi/>
        <w:spacing w:after="100" w:line="300"/>
        <w:jc w:val="right"/>
      </w:pPr>
      <w:r>
        <w:rPr>
          <w:rFonts w:ascii="Arial" w:cs="Arial" w:eastAsia="Arial" w:hAnsi="Arial"/>
          <w:sz w:val="24"/>
          <w:szCs w:val="24"/>
          <w:rtl/>
        </w:rPr>
        <w:t xml:space="preserve">عند تصفية الشركة (إذا كانت ستمس حقوق فئة معينة).</w:t>
      </w:r>
    </w:p>
    <w:p>
      <w:pPr>
        <w:pStyle w:val="ListParagraph"/>
        <w:numPr>
          <w:ilvl w:val="0"/>
          <w:numId w:val="3"/>
        </w:numPr>
        <w:bidi/>
        <w:spacing w:after="100" w:line="300"/>
        <w:jc w:val="right"/>
      </w:pPr>
      <w:r>
        <w:rPr>
          <w:rFonts w:ascii="Arial" w:cs="Arial" w:eastAsia="Arial" w:hAnsi="Arial"/>
          <w:sz w:val="24"/>
          <w:szCs w:val="24"/>
          <w:rtl/>
        </w:rPr>
        <w:t xml:space="preserve">في الحالات التي ينص عليها النظام الأساس.</w:t>
      </w:r>
    </w:p>
    <w:p>
      <w:pPr>
        <w:pStyle w:val="Heading2"/>
        <w:bidi/>
        <w:spacing w:after="160" w:before="280"/>
        <w:jc w:val="right"/>
      </w:pPr>
      <w:r>
        <w:rPr>
          <w:rFonts w:ascii="Arial" w:cs="Arial" w:eastAsia="Arial" w:hAnsi="Arial"/>
          <w:b/>
          <w:bCs/>
          <w:color w:val="2E75B6"/>
          <w:sz w:val="30"/>
          <w:szCs w:val="30"/>
          <w:rtl/>
        </w:rPr>
        <w:t xml:space="preserve">ضوابط إصدار الأسهم الممتازة (وفق اللائحة التنفيذية)</w:t>
      </w:r>
    </w:p>
    <w:p>
      <w:pPr>
        <w:pStyle w:val="ListParagraph"/>
        <w:numPr>
          <w:ilvl w:val="0"/>
          <w:numId w:val="2"/>
        </w:numPr>
        <w:bidi/>
        <w:spacing w:after="100" w:line="300"/>
        <w:jc w:val="right"/>
      </w:pPr>
      <w:r>
        <w:rPr>
          <w:rFonts w:ascii="Arial" w:cs="Arial" w:eastAsia="Arial" w:hAnsi="Arial"/>
          <w:sz w:val="24"/>
          <w:szCs w:val="24"/>
          <w:rtl/>
        </w:rPr>
        <w:t xml:space="preserve">أن ينص النظام الأساس على جواز ذلك.</w:t>
      </w:r>
    </w:p>
    <w:p>
      <w:pPr>
        <w:pStyle w:val="ListParagraph"/>
        <w:numPr>
          <w:ilvl w:val="0"/>
          <w:numId w:val="2"/>
        </w:numPr>
        <w:bidi/>
        <w:spacing w:after="100" w:line="300"/>
        <w:jc w:val="right"/>
      </w:pPr>
      <w:r>
        <w:rPr>
          <w:rFonts w:ascii="Arial" w:cs="Arial" w:eastAsia="Arial" w:hAnsi="Arial"/>
          <w:sz w:val="24"/>
          <w:szCs w:val="24"/>
          <w:rtl/>
        </w:rPr>
        <w:t xml:space="preserve">أن يكون قد تم الوفاء برأس المال المصدر كاملاً.</w:t>
      </w:r>
    </w:p>
    <w:p>
      <w:pPr>
        <w:pStyle w:val="ListParagraph"/>
        <w:numPr>
          <w:ilvl w:val="0"/>
          <w:numId w:val="2"/>
        </w:numPr>
        <w:bidi/>
        <w:spacing w:after="100" w:line="300"/>
        <w:jc w:val="right"/>
      </w:pPr>
      <w:r>
        <w:rPr>
          <w:rFonts w:ascii="Arial" w:cs="Arial" w:eastAsia="Arial" w:hAnsi="Arial"/>
          <w:sz w:val="24"/>
          <w:szCs w:val="24"/>
          <w:rtl/>
        </w:rPr>
        <w:t xml:space="preserve">الحصول على موافقة جمعية خاصة من أصحاب الأسهم المتضررين.</w:t>
      </w:r>
    </w:p>
    <w:p>
      <w:pPr>
        <w:pStyle w:val="ListParagraph"/>
        <w:numPr>
          <w:ilvl w:val="0"/>
          <w:numId w:val="2"/>
        </w:numPr>
        <w:bidi/>
        <w:spacing w:after="100" w:line="300"/>
        <w:jc w:val="right"/>
      </w:pPr>
      <w:r>
        <w:rPr>
          <w:rFonts w:ascii="Arial" w:cs="Arial" w:eastAsia="Arial" w:hAnsi="Arial"/>
          <w:sz w:val="24"/>
          <w:szCs w:val="24"/>
          <w:rtl/>
        </w:rPr>
        <w:t xml:space="preserve">الحصول على موافقة الجمعية العامة غير العادية.</w:t>
      </w:r>
    </w:p>
    <w:p>
      <w:pPr>
        <w:pStyle w:val="ListParagraph"/>
        <w:numPr>
          <w:ilvl w:val="0"/>
          <w:numId w:val="2"/>
        </w:numPr>
        <w:bidi/>
        <w:spacing w:after="100" w:line="300"/>
        <w:jc w:val="right"/>
      </w:pPr>
      <w:r>
        <w:rPr>
          <w:rFonts w:ascii="Arial" w:cs="Arial" w:eastAsia="Arial" w:hAnsi="Arial"/>
          <w:sz w:val="24"/>
          <w:szCs w:val="24"/>
          <w:rtl/>
        </w:rPr>
        <w:t xml:space="preserve">ألا تتجاوز نسبة الأسهم الممتازة 10% من رأس المال (للشركات المدرجة).</w:t>
      </w:r>
    </w:p>
    <w:p>
      <w:pPr>
        <w:pStyle w:val="ListParagraph"/>
        <w:numPr>
          <w:ilvl w:val="0"/>
          <w:numId w:val="2"/>
        </w:numPr>
        <w:bidi/>
        <w:spacing w:after="100" w:line="300"/>
        <w:jc w:val="right"/>
      </w:pPr>
      <w:r>
        <w:rPr>
          <w:rFonts w:ascii="Arial" w:cs="Arial" w:eastAsia="Arial" w:hAnsi="Arial"/>
          <w:sz w:val="24"/>
          <w:szCs w:val="24"/>
          <w:rtl/>
        </w:rPr>
        <w:t xml:space="preserve">ألا تتجاوز نسبة الأسهم الممتازة والقابلة للاسترداد مجتمعةً 50% من رأس المال.</w:t>
      </w:r>
    </w:p>
    <w:p>
      <w:pPr>
        <w:pStyle w:val="Heading2"/>
        <w:bidi/>
        <w:spacing w:after="160" w:before="280"/>
        <w:jc w:val="right"/>
      </w:pPr>
      <w:r>
        <w:rPr>
          <w:rFonts w:ascii="Arial" w:cs="Arial" w:eastAsia="Arial" w:hAnsi="Arial"/>
          <w:b/>
          <w:bCs/>
          <w:color w:val="2E75B6"/>
          <w:sz w:val="30"/>
          <w:szCs w:val="30"/>
          <w:rtl/>
        </w:rPr>
        <w:t xml:space="preserve">حماية حملة الأسهم الممتازة</w:t>
      </w:r>
    </w:p>
    <w:p>
      <w:pPr>
        <w:bidi/>
        <w:spacing w:after="140" w:line="320"/>
        <w:jc w:val="both"/>
      </w:pPr>
      <w:r>
        <w:rPr>
          <w:rFonts w:ascii="Arial" w:cs="Arial" w:eastAsia="Arial" w:hAnsi="Arial"/>
          <w:sz w:val="24"/>
          <w:szCs w:val="24"/>
          <w:rtl/>
        </w:rPr>
        <w:t xml:space="preserve">نص النظام واللائحة التنفيذية على حماية متقدمة لحملة الأسهم الممتازة:</w:t>
      </w:r>
    </w:p>
    <w:p>
      <w:pPr>
        <w:pStyle w:val="ListParagraph"/>
        <w:numPr>
          <w:ilvl w:val="0"/>
          <w:numId w:val="2"/>
        </w:numPr>
        <w:bidi/>
        <w:spacing w:after="100" w:line="300"/>
        <w:jc w:val="right"/>
      </w:pPr>
      <w:r>
        <w:rPr>
          <w:rFonts w:ascii="Arial" w:cs="Arial" w:eastAsia="Arial" w:hAnsi="Arial"/>
          <w:sz w:val="24"/>
          <w:szCs w:val="24"/>
          <w:rtl/>
        </w:rPr>
        <w:t xml:space="preserve">لا تُنفذ القرارات الماسة بحقوقهم إلا بموافقة جمعيتهم الخاصة.</w:t>
      </w:r>
    </w:p>
    <w:p>
      <w:pPr>
        <w:pStyle w:val="ListParagraph"/>
        <w:numPr>
          <w:ilvl w:val="0"/>
          <w:numId w:val="2"/>
        </w:numPr>
        <w:bidi/>
        <w:spacing w:after="100" w:line="300"/>
        <w:jc w:val="right"/>
      </w:pPr>
      <w:r>
        <w:rPr>
          <w:rFonts w:ascii="Arial" w:cs="Arial" w:eastAsia="Arial" w:hAnsi="Arial"/>
          <w:sz w:val="24"/>
          <w:szCs w:val="24"/>
          <w:rtl/>
        </w:rPr>
        <w:t xml:space="preserve">في حال فشل الشركة في دفع الأرباح المحددة لهم 3 سنوات متتالية، يحق لهم حضور الجمعية العامة والتصويت.</w:t>
      </w:r>
    </w:p>
    <w:p>
      <w:pPr>
        <w:pStyle w:val="ListParagraph"/>
        <w:numPr>
          <w:ilvl w:val="0"/>
          <w:numId w:val="2"/>
        </w:numPr>
        <w:bidi/>
        <w:spacing w:after="100" w:line="300"/>
        <w:jc w:val="right"/>
      </w:pPr>
      <w:r>
        <w:rPr>
          <w:rFonts w:ascii="Arial" w:cs="Arial" w:eastAsia="Arial" w:hAnsi="Arial"/>
          <w:sz w:val="24"/>
          <w:szCs w:val="24"/>
          <w:rtl/>
        </w:rPr>
        <w:t xml:space="preserve">الإفصاح المسبق عن أي قرار قد يُؤثر على حقوقهم.</w:t>
      </w:r>
    </w:p>
    <w:p>
      <w:pPr>
        <w:pStyle w:val="ListParagraph"/>
        <w:numPr>
          <w:ilvl w:val="0"/>
          <w:numId w:val="2"/>
        </w:numPr>
        <w:bidi/>
        <w:spacing w:after="100" w:line="300"/>
        <w:jc w:val="right"/>
      </w:pPr>
      <w:r>
        <w:rPr>
          <w:rFonts w:ascii="Arial" w:cs="Arial" w:eastAsia="Arial" w:hAnsi="Arial"/>
          <w:sz w:val="24"/>
          <w:szCs w:val="24"/>
          <w:rtl/>
        </w:rPr>
        <w:t xml:space="preserve">توفير ضمانات إضافية في حالات التصفية أو الإفلاس.</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أحكام محاضر الجمعيات</w:t>
      </w:r>
    </w:p>
    <w:p>
      <w:pPr>
        <w:bidi/>
        <w:spacing w:after="140" w:line="320"/>
        <w:jc w:val="both"/>
      </w:pPr>
      <w:r>
        <w:rPr>
          <w:rFonts w:ascii="Arial" w:cs="Arial" w:eastAsia="Arial" w:hAnsi="Arial"/>
          <w:sz w:val="24"/>
          <w:szCs w:val="24"/>
          <w:rtl/>
        </w:rPr>
        <w:t xml:space="preserve">محضر الجمعية وثيقة قانونية بالغة الأهمية، تُوثّق رسمياً ما دار في الجمعية، وتُعتبر الأساس القانوني لتنفيذ قراراتها. وقد نظّم النظام أحكام المحاضر بدقة:</w:t>
      </w:r>
    </w:p>
    <w:p>
      <w:pPr>
        <w:pStyle w:val="Heading2"/>
        <w:bidi/>
        <w:spacing w:after="160" w:before="280"/>
        <w:jc w:val="right"/>
      </w:pPr>
      <w:r>
        <w:rPr>
          <w:rFonts w:ascii="Arial" w:cs="Arial" w:eastAsia="Arial" w:hAnsi="Arial"/>
          <w:b/>
          <w:bCs/>
          <w:color w:val="2E75B6"/>
          <w:sz w:val="30"/>
          <w:szCs w:val="30"/>
          <w:rtl/>
        </w:rPr>
        <w:t xml:space="preserve">1. محتوى المحضر الإلزامي</w:t>
      </w:r>
    </w:p>
    <w:p>
      <w:pPr>
        <w:pStyle w:val="ListParagraph"/>
        <w:numPr>
          <w:ilvl w:val="0"/>
          <w:numId w:val="3"/>
        </w:numPr>
        <w:bidi/>
        <w:spacing w:after="100" w:line="300"/>
        <w:jc w:val="right"/>
      </w:pPr>
      <w:r>
        <w:rPr>
          <w:rFonts w:ascii="Arial" w:cs="Arial" w:eastAsia="Arial" w:hAnsi="Arial"/>
          <w:sz w:val="24"/>
          <w:szCs w:val="24"/>
          <w:rtl/>
        </w:rPr>
        <w:t xml:space="preserve">اسم الشركة والسجل التجاري.</w:t>
      </w:r>
    </w:p>
    <w:p>
      <w:pPr>
        <w:pStyle w:val="ListParagraph"/>
        <w:numPr>
          <w:ilvl w:val="0"/>
          <w:numId w:val="3"/>
        </w:numPr>
        <w:bidi/>
        <w:spacing w:after="100" w:line="300"/>
        <w:jc w:val="right"/>
      </w:pPr>
      <w:r>
        <w:rPr>
          <w:rFonts w:ascii="Arial" w:cs="Arial" w:eastAsia="Arial" w:hAnsi="Arial"/>
          <w:sz w:val="24"/>
          <w:szCs w:val="24"/>
          <w:rtl/>
        </w:rPr>
        <w:t xml:space="preserve">نوع الجمعية والتاريخ والمكان.</w:t>
      </w:r>
    </w:p>
    <w:p>
      <w:pPr>
        <w:pStyle w:val="ListParagraph"/>
        <w:numPr>
          <w:ilvl w:val="0"/>
          <w:numId w:val="3"/>
        </w:numPr>
        <w:bidi/>
        <w:spacing w:after="100" w:line="300"/>
        <w:jc w:val="right"/>
      </w:pPr>
      <w:r>
        <w:rPr>
          <w:rFonts w:ascii="Arial" w:cs="Arial" w:eastAsia="Arial" w:hAnsi="Arial"/>
          <w:sz w:val="24"/>
          <w:szCs w:val="24"/>
          <w:rtl/>
        </w:rPr>
        <w:t xml:space="preserve">أسماء أعضاء مجلس الإدارة الحاضرين والمعتذرين.</w:t>
      </w:r>
    </w:p>
    <w:p>
      <w:pPr>
        <w:pStyle w:val="ListParagraph"/>
        <w:numPr>
          <w:ilvl w:val="0"/>
          <w:numId w:val="3"/>
        </w:numPr>
        <w:bidi/>
        <w:spacing w:after="100" w:line="300"/>
        <w:jc w:val="right"/>
      </w:pPr>
      <w:r>
        <w:rPr>
          <w:rFonts w:ascii="Arial" w:cs="Arial" w:eastAsia="Arial" w:hAnsi="Arial"/>
          <w:sz w:val="24"/>
          <w:szCs w:val="24"/>
          <w:rtl/>
        </w:rPr>
        <w:t xml:space="preserve">اسم مراجع الحسابات.</w:t>
      </w:r>
    </w:p>
    <w:p>
      <w:pPr>
        <w:pStyle w:val="ListParagraph"/>
        <w:numPr>
          <w:ilvl w:val="0"/>
          <w:numId w:val="3"/>
        </w:numPr>
        <w:bidi/>
        <w:spacing w:after="100" w:line="300"/>
        <w:jc w:val="right"/>
      </w:pPr>
      <w:r>
        <w:rPr>
          <w:rFonts w:ascii="Arial" w:cs="Arial" w:eastAsia="Arial" w:hAnsi="Arial"/>
          <w:sz w:val="24"/>
          <w:szCs w:val="24"/>
          <w:rtl/>
        </w:rPr>
        <w:t xml:space="preserve">عدد المساهمين الحاضرين أو الممثلين ونسبة الأسهم الممثلة.</w:t>
      </w:r>
    </w:p>
    <w:p>
      <w:pPr>
        <w:pStyle w:val="ListParagraph"/>
        <w:numPr>
          <w:ilvl w:val="0"/>
          <w:numId w:val="3"/>
        </w:numPr>
        <w:bidi/>
        <w:spacing w:after="100" w:line="300"/>
        <w:jc w:val="right"/>
      </w:pPr>
      <w:r>
        <w:rPr>
          <w:rFonts w:ascii="Arial" w:cs="Arial" w:eastAsia="Arial" w:hAnsi="Arial"/>
          <w:sz w:val="24"/>
          <w:szCs w:val="24"/>
          <w:rtl/>
        </w:rPr>
        <w:t xml:space="preserve">تأكيد اكتمال النصاب القانوني.</w:t>
      </w:r>
    </w:p>
    <w:p>
      <w:pPr>
        <w:pStyle w:val="ListParagraph"/>
        <w:numPr>
          <w:ilvl w:val="0"/>
          <w:numId w:val="3"/>
        </w:numPr>
        <w:bidi/>
        <w:spacing w:after="100" w:line="300"/>
        <w:jc w:val="right"/>
      </w:pPr>
      <w:r>
        <w:rPr>
          <w:rFonts w:ascii="Arial" w:cs="Arial" w:eastAsia="Arial" w:hAnsi="Arial"/>
          <w:sz w:val="24"/>
          <w:szCs w:val="24"/>
          <w:rtl/>
        </w:rPr>
        <w:t xml:space="preserve">جدول الأعمال.</w:t>
      </w:r>
    </w:p>
    <w:p>
      <w:pPr>
        <w:pStyle w:val="ListParagraph"/>
        <w:numPr>
          <w:ilvl w:val="0"/>
          <w:numId w:val="3"/>
        </w:numPr>
        <w:bidi/>
        <w:spacing w:after="100" w:line="300"/>
        <w:jc w:val="right"/>
      </w:pPr>
      <w:r>
        <w:rPr>
          <w:rFonts w:ascii="Arial" w:cs="Arial" w:eastAsia="Arial" w:hAnsi="Arial"/>
          <w:sz w:val="24"/>
          <w:szCs w:val="24"/>
          <w:rtl/>
        </w:rPr>
        <w:t xml:space="preserve">ملخص المداولات لكل بند.</w:t>
      </w:r>
    </w:p>
    <w:p>
      <w:pPr>
        <w:pStyle w:val="ListParagraph"/>
        <w:numPr>
          <w:ilvl w:val="0"/>
          <w:numId w:val="3"/>
        </w:numPr>
        <w:bidi/>
        <w:spacing w:after="100" w:line="300"/>
        <w:jc w:val="right"/>
      </w:pPr>
      <w:r>
        <w:rPr>
          <w:rFonts w:ascii="Arial" w:cs="Arial" w:eastAsia="Arial" w:hAnsi="Arial"/>
          <w:sz w:val="24"/>
          <w:szCs w:val="24"/>
          <w:rtl/>
        </w:rPr>
        <w:t xml:space="preserve">القرارات المتخذة مع تفاصيل التصويت (مع، ضد، ممتنع).</w:t>
      </w:r>
    </w:p>
    <w:p>
      <w:pPr>
        <w:pStyle w:val="ListParagraph"/>
        <w:numPr>
          <w:ilvl w:val="0"/>
          <w:numId w:val="3"/>
        </w:numPr>
        <w:bidi/>
        <w:spacing w:after="100" w:line="300"/>
        <w:jc w:val="right"/>
      </w:pPr>
      <w:r>
        <w:rPr>
          <w:rFonts w:ascii="Arial" w:cs="Arial" w:eastAsia="Arial" w:hAnsi="Arial"/>
          <w:sz w:val="24"/>
          <w:szCs w:val="24"/>
          <w:rtl/>
        </w:rPr>
        <w:t xml:space="preserve">توقيعات الجهات المخوّلة (رئيس الجلسة، الأمين، مراجع الحسابات).</w:t>
      </w:r>
    </w:p>
    <w:p>
      <w:pPr>
        <w:pStyle w:val="Heading2"/>
        <w:bidi/>
        <w:spacing w:after="160" w:before="280"/>
        <w:jc w:val="right"/>
      </w:pPr>
      <w:r>
        <w:rPr>
          <w:rFonts w:ascii="Arial" w:cs="Arial" w:eastAsia="Arial" w:hAnsi="Arial"/>
          <w:b/>
          <w:bCs/>
          <w:color w:val="2E75B6"/>
          <w:sz w:val="30"/>
          <w:szCs w:val="30"/>
          <w:rtl/>
        </w:rPr>
        <w:t xml:space="preserve">2. توقيع المحضر</w:t>
      </w:r>
    </w:p>
    <w:p>
      <w:pPr>
        <w:pStyle w:val="ListParagraph"/>
        <w:numPr>
          <w:ilvl w:val="0"/>
          <w:numId w:val="2"/>
        </w:numPr>
        <w:bidi/>
        <w:spacing w:after="100" w:line="300"/>
        <w:jc w:val="right"/>
      </w:pPr>
      <w:r>
        <w:rPr>
          <w:rFonts w:ascii="Arial" w:cs="Arial" w:eastAsia="Arial" w:hAnsi="Arial"/>
          <w:sz w:val="24"/>
          <w:szCs w:val="24"/>
          <w:rtl/>
        </w:rPr>
        <w:t xml:space="preserve">رئيس مجلس الإدارة أو من ينوب عنه (رئيس الجلسة).</w:t>
      </w:r>
    </w:p>
    <w:p>
      <w:pPr>
        <w:pStyle w:val="ListParagraph"/>
        <w:numPr>
          <w:ilvl w:val="0"/>
          <w:numId w:val="2"/>
        </w:numPr>
        <w:bidi/>
        <w:spacing w:after="100" w:line="300"/>
        <w:jc w:val="right"/>
      </w:pPr>
      <w:r>
        <w:rPr>
          <w:rFonts w:ascii="Arial" w:cs="Arial" w:eastAsia="Arial" w:hAnsi="Arial"/>
          <w:sz w:val="24"/>
          <w:szCs w:val="24"/>
          <w:rtl/>
        </w:rPr>
        <w:t xml:space="preserve">أمين سر مجلس الإدارة.</w:t>
      </w:r>
    </w:p>
    <w:p>
      <w:pPr>
        <w:pStyle w:val="ListParagraph"/>
        <w:numPr>
          <w:ilvl w:val="0"/>
          <w:numId w:val="2"/>
        </w:numPr>
        <w:bidi/>
        <w:spacing w:after="100" w:line="300"/>
        <w:jc w:val="right"/>
      </w:pPr>
      <w:r>
        <w:rPr>
          <w:rFonts w:ascii="Arial" w:cs="Arial" w:eastAsia="Arial" w:hAnsi="Arial"/>
          <w:sz w:val="24"/>
          <w:szCs w:val="24"/>
          <w:rtl/>
        </w:rPr>
        <w:t xml:space="preserve">مراجع الحسابات.</w:t>
      </w:r>
    </w:p>
    <w:p>
      <w:pPr>
        <w:pStyle w:val="ListParagraph"/>
        <w:numPr>
          <w:ilvl w:val="0"/>
          <w:numId w:val="2"/>
        </w:numPr>
        <w:bidi/>
        <w:spacing w:after="100" w:line="300"/>
        <w:jc w:val="right"/>
      </w:pPr>
      <w:r>
        <w:rPr>
          <w:rFonts w:ascii="Arial" w:cs="Arial" w:eastAsia="Arial" w:hAnsi="Arial"/>
          <w:sz w:val="24"/>
          <w:szCs w:val="24"/>
          <w:rtl/>
        </w:rPr>
        <w:t xml:space="preserve">مدققون لعملية التصويت (إن وُجدوا).</w:t>
      </w:r>
    </w:p>
    <w:p>
      <w:pPr>
        <w:pStyle w:val="Heading2"/>
        <w:bidi/>
        <w:spacing w:after="160" w:before="280"/>
        <w:jc w:val="right"/>
      </w:pPr>
      <w:r>
        <w:rPr>
          <w:rFonts w:ascii="Arial" w:cs="Arial" w:eastAsia="Arial" w:hAnsi="Arial"/>
          <w:b/>
          <w:bCs/>
          <w:color w:val="2E75B6"/>
          <w:sz w:val="30"/>
          <w:szCs w:val="30"/>
          <w:rtl/>
        </w:rPr>
        <w:t xml:space="preserve">3. حفظ المحاضر</w:t>
      </w:r>
    </w:p>
    <w:p>
      <w:pPr>
        <w:pStyle w:val="ListParagraph"/>
        <w:numPr>
          <w:ilvl w:val="0"/>
          <w:numId w:val="2"/>
        </w:numPr>
        <w:bidi/>
        <w:spacing w:after="100" w:line="300"/>
        <w:jc w:val="right"/>
      </w:pPr>
      <w:r>
        <w:rPr>
          <w:rFonts w:ascii="Arial" w:cs="Arial" w:eastAsia="Arial" w:hAnsi="Arial"/>
          <w:sz w:val="24"/>
          <w:szCs w:val="24"/>
          <w:rtl/>
        </w:rPr>
        <w:t xml:space="preserve">تُحفظ في سجل خاص بمحاضر الجمعيات.</w:t>
      </w:r>
    </w:p>
    <w:p>
      <w:pPr>
        <w:pStyle w:val="ListParagraph"/>
        <w:numPr>
          <w:ilvl w:val="0"/>
          <w:numId w:val="2"/>
        </w:numPr>
        <w:bidi/>
        <w:spacing w:after="100" w:line="300"/>
        <w:jc w:val="right"/>
      </w:pPr>
      <w:r>
        <w:rPr>
          <w:rFonts w:ascii="Arial" w:cs="Arial" w:eastAsia="Arial" w:hAnsi="Arial"/>
          <w:sz w:val="24"/>
          <w:szCs w:val="24"/>
          <w:rtl/>
        </w:rPr>
        <w:t xml:space="preserve">تُحفظ بشكل آمن لمدة لا تقل عن 10 سنوات.</w:t>
      </w:r>
    </w:p>
    <w:p>
      <w:pPr>
        <w:pStyle w:val="ListParagraph"/>
        <w:numPr>
          <w:ilvl w:val="0"/>
          <w:numId w:val="2"/>
        </w:numPr>
        <w:bidi/>
        <w:spacing w:after="100" w:line="300"/>
        <w:jc w:val="right"/>
      </w:pPr>
      <w:r>
        <w:rPr>
          <w:rFonts w:ascii="Arial" w:cs="Arial" w:eastAsia="Arial" w:hAnsi="Arial"/>
          <w:sz w:val="24"/>
          <w:szCs w:val="24"/>
          <w:rtl/>
        </w:rPr>
        <w:t xml:space="preserve">تُحفظ نسخ احتياطية إلكترونية.</w:t>
      </w:r>
    </w:p>
    <w:p>
      <w:pPr>
        <w:pStyle w:val="ListParagraph"/>
        <w:numPr>
          <w:ilvl w:val="0"/>
          <w:numId w:val="2"/>
        </w:numPr>
        <w:bidi/>
        <w:spacing w:after="100" w:line="300"/>
        <w:jc w:val="right"/>
      </w:pPr>
      <w:r>
        <w:rPr>
          <w:rFonts w:ascii="Arial" w:cs="Arial" w:eastAsia="Arial" w:hAnsi="Arial"/>
          <w:sz w:val="24"/>
          <w:szCs w:val="24"/>
          <w:rtl/>
        </w:rPr>
        <w:t xml:space="preserve">يحق لأي مساهم الاطلاع على المحاضر وفق الضوابط.</w:t>
      </w:r>
    </w:p>
    <w:p>
      <w:pPr>
        <w:pStyle w:val="Heading2"/>
        <w:bidi/>
        <w:spacing w:after="160" w:before="280"/>
        <w:jc w:val="right"/>
      </w:pPr>
      <w:r>
        <w:rPr>
          <w:rFonts w:ascii="Arial" w:cs="Arial" w:eastAsia="Arial" w:hAnsi="Arial"/>
          <w:b/>
          <w:bCs/>
          <w:color w:val="2E75B6"/>
          <w:sz w:val="30"/>
          <w:szCs w:val="30"/>
          <w:rtl/>
        </w:rPr>
        <w:t xml:space="preserve">4. الإفصاح عن المحضر</w:t>
      </w:r>
    </w:p>
    <w:p>
      <w:pPr>
        <w:bidi/>
        <w:spacing w:after="140" w:line="320"/>
        <w:jc w:val="both"/>
      </w:pPr>
      <w:r>
        <w:rPr>
          <w:rFonts w:ascii="Arial" w:cs="Arial" w:eastAsia="Arial" w:hAnsi="Arial"/>
          <w:sz w:val="24"/>
          <w:szCs w:val="24"/>
          <w:rtl/>
        </w:rPr>
        <w:t xml:space="preserve">للشركات المدرجة، يجب الإفصاح عن نتائج الجمعية عبر منصة "تداول" فوراً بعد انتهائها، مع تفاصيل التصويت على كل بند.</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الطعن في الجمعيات وقراراتها</w:t>
      </w:r>
    </w:p>
    <w:p>
      <w:pPr>
        <w:bidi/>
        <w:spacing w:after="140" w:line="320"/>
        <w:jc w:val="both"/>
      </w:pPr>
      <w:r>
        <w:rPr>
          <w:rFonts w:ascii="Arial" w:cs="Arial" w:eastAsia="Arial" w:hAnsi="Arial"/>
          <w:sz w:val="24"/>
          <w:szCs w:val="24"/>
          <w:rtl/>
        </w:rPr>
        <w:t xml:space="preserve">منح النظام للمساهمين حق الطعن في صحة الجمعية أو قراراتها في حالات محددة، حمايةً لحقوقهم ولسلامة الإجراءات.</w:t>
      </w:r>
    </w:p>
    <w:p>
      <w:pPr>
        <w:pStyle w:val="Heading2"/>
        <w:bidi/>
        <w:spacing w:after="160" w:before="280"/>
        <w:jc w:val="right"/>
      </w:pPr>
      <w:r>
        <w:rPr>
          <w:rFonts w:ascii="Arial" w:cs="Arial" w:eastAsia="Arial" w:hAnsi="Arial"/>
          <w:b/>
          <w:bCs/>
          <w:color w:val="2E75B6"/>
          <w:sz w:val="30"/>
          <w:szCs w:val="30"/>
          <w:rtl/>
        </w:rPr>
        <w:t xml:space="preserve">1. حالات بطلان قرارات الجمعية</w:t>
      </w:r>
    </w:p>
    <w:p>
      <w:pPr>
        <w:pStyle w:val="ListParagraph"/>
        <w:numPr>
          <w:ilvl w:val="0"/>
          <w:numId w:val="2"/>
        </w:numPr>
        <w:bidi/>
        <w:spacing w:after="100" w:line="300"/>
        <w:jc w:val="right"/>
      </w:pPr>
      <w:r>
        <w:rPr>
          <w:rFonts w:ascii="Arial" w:cs="Arial" w:eastAsia="Arial" w:hAnsi="Arial"/>
          <w:sz w:val="24"/>
          <w:szCs w:val="24"/>
          <w:rtl/>
        </w:rPr>
        <w:t xml:space="preserve">مخالفة أحكام النظام أو النظام الأساس.</w:t>
      </w:r>
    </w:p>
    <w:p>
      <w:pPr>
        <w:pStyle w:val="ListParagraph"/>
        <w:numPr>
          <w:ilvl w:val="0"/>
          <w:numId w:val="2"/>
        </w:numPr>
        <w:bidi/>
        <w:spacing w:after="100" w:line="300"/>
        <w:jc w:val="right"/>
      </w:pPr>
      <w:r>
        <w:rPr>
          <w:rFonts w:ascii="Arial" w:cs="Arial" w:eastAsia="Arial" w:hAnsi="Arial"/>
          <w:sz w:val="24"/>
          <w:szCs w:val="24"/>
          <w:rtl/>
        </w:rPr>
        <w:t xml:space="preserve">الإخلال الجوهري بإجراءات الدعوة.</w:t>
      </w:r>
    </w:p>
    <w:p>
      <w:pPr>
        <w:pStyle w:val="ListParagraph"/>
        <w:numPr>
          <w:ilvl w:val="0"/>
          <w:numId w:val="2"/>
        </w:numPr>
        <w:bidi/>
        <w:spacing w:after="100" w:line="300"/>
        <w:jc w:val="right"/>
      </w:pPr>
      <w:r>
        <w:rPr>
          <w:rFonts w:ascii="Arial" w:cs="Arial" w:eastAsia="Arial" w:hAnsi="Arial"/>
          <w:sz w:val="24"/>
          <w:szCs w:val="24"/>
          <w:rtl/>
        </w:rPr>
        <w:t xml:space="preserve">عدم اكتمال النصاب القانوني.</w:t>
      </w:r>
    </w:p>
    <w:p>
      <w:pPr>
        <w:pStyle w:val="ListParagraph"/>
        <w:numPr>
          <w:ilvl w:val="0"/>
          <w:numId w:val="2"/>
        </w:numPr>
        <w:bidi/>
        <w:spacing w:after="100" w:line="300"/>
        <w:jc w:val="right"/>
      </w:pPr>
      <w:r>
        <w:rPr>
          <w:rFonts w:ascii="Arial" w:cs="Arial" w:eastAsia="Arial" w:hAnsi="Arial"/>
          <w:sz w:val="24"/>
          <w:szCs w:val="24"/>
          <w:rtl/>
        </w:rPr>
        <w:t xml:space="preserve">التصويت من غير ذوي حق التصويت.</w:t>
      </w:r>
    </w:p>
    <w:p>
      <w:pPr>
        <w:pStyle w:val="ListParagraph"/>
        <w:numPr>
          <w:ilvl w:val="0"/>
          <w:numId w:val="2"/>
        </w:numPr>
        <w:bidi/>
        <w:spacing w:after="100" w:line="300"/>
        <w:jc w:val="right"/>
      </w:pPr>
      <w:r>
        <w:rPr>
          <w:rFonts w:ascii="Arial" w:cs="Arial" w:eastAsia="Arial" w:hAnsi="Arial"/>
          <w:sz w:val="24"/>
          <w:szCs w:val="24"/>
          <w:rtl/>
        </w:rPr>
        <w:t xml:space="preserve">الإكراه أو التدليس أو الغش في الإجراءات.</w:t>
      </w:r>
    </w:p>
    <w:p>
      <w:pPr>
        <w:pStyle w:val="ListParagraph"/>
        <w:numPr>
          <w:ilvl w:val="0"/>
          <w:numId w:val="2"/>
        </w:numPr>
        <w:bidi/>
        <w:spacing w:after="100" w:line="300"/>
        <w:jc w:val="right"/>
      </w:pPr>
      <w:r>
        <w:rPr>
          <w:rFonts w:ascii="Arial" w:cs="Arial" w:eastAsia="Arial" w:hAnsi="Arial"/>
          <w:sz w:val="24"/>
          <w:szCs w:val="24"/>
          <w:rtl/>
        </w:rPr>
        <w:t xml:space="preserve">القرارات التي تنطوي على إساءة استعمال حق الأغلبية.</w:t>
      </w:r>
    </w:p>
    <w:p>
      <w:pPr>
        <w:pStyle w:val="Heading2"/>
        <w:bidi/>
        <w:spacing w:after="160" w:before="280"/>
        <w:jc w:val="right"/>
      </w:pPr>
      <w:r>
        <w:rPr>
          <w:rFonts w:ascii="Arial" w:cs="Arial" w:eastAsia="Arial" w:hAnsi="Arial"/>
          <w:b/>
          <w:bCs/>
          <w:color w:val="2E75B6"/>
          <w:sz w:val="30"/>
          <w:szCs w:val="30"/>
          <w:rtl/>
        </w:rPr>
        <w:t xml:space="preserve">2. الجهة المختصة بالطعن</w:t>
      </w:r>
    </w:p>
    <w:p>
      <w:pPr>
        <w:bidi/>
        <w:spacing w:after="140" w:line="320"/>
        <w:jc w:val="both"/>
      </w:pPr>
      <w:r>
        <w:rPr>
          <w:rFonts w:ascii="Arial" w:cs="Arial" w:eastAsia="Arial" w:hAnsi="Arial"/>
          <w:sz w:val="24"/>
          <w:szCs w:val="24"/>
          <w:rtl/>
        </w:rPr>
        <w:t xml:space="preserve">تختص المحاكم التجارية بالنظر في دعاوى البطلان والطعون.</w:t>
      </w:r>
    </w:p>
    <w:p>
      <w:pPr>
        <w:pStyle w:val="Heading2"/>
        <w:bidi/>
        <w:spacing w:after="160" w:before="280"/>
        <w:jc w:val="right"/>
      </w:pPr>
      <w:r>
        <w:rPr>
          <w:rFonts w:ascii="Arial" w:cs="Arial" w:eastAsia="Arial" w:hAnsi="Arial"/>
          <w:b/>
          <w:bCs/>
          <w:color w:val="2E75B6"/>
          <w:sz w:val="30"/>
          <w:szCs w:val="30"/>
          <w:rtl/>
        </w:rPr>
        <w:t xml:space="preserve">3. مدة الطعن</w:t>
      </w:r>
    </w:p>
    <w:p>
      <w:pPr>
        <w:pStyle w:val="ListParagraph"/>
        <w:numPr>
          <w:ilvl w:val="0"/>
          <w:numId w:val="2"/>
        </w:numPr>
        <w:bidi/>
        <w:spacing w:after="100" w:line="300"/>
        <w:jc w:val="right"/>
      </w:pPr>
      <w:r>
        <w:rPr>
          <w:rFonts w:ascii="Arial" w:cs="Arial" w:eastAsia="Arial" w:hAnsi="Arial"/>
          <w:sz w:val="24"/>
          <w:szCs w:val="24"/>
          <w:rtl/>
        </w:rPr>
        <w:t xml:space="preserve">يجب رفع الدعوى خلال سنة من تاريخ صدور القرار (في الغالب).</w:t>
      </w:r>
    </w:p>
    <w:p>
      <w:pPr>
        <w:pStyle w:val="ListParagraph"/>
        <w:numPr>
          <w:ilvl w:val="0"/>
          <w:numId w:val="2"/>
        </w:numPr>
        <w:bidi/>
        <w:spacing w:after="100" w:line="300"/>
        <w:jc w:val="right"/>
      </w:pPr>
      <w:r>
        <w:rPr>
          <w:rFonts w:ascii="Arial" w:cs="Arial" w:eastAsia="Arial" w:hAnsi="Arial"/>
          <w:sz w:val="24"/>
          <w:szCs w:val="24"/>
          <w:rtl/>
        </w:rPr>
        <w:t xml:space="preserve">لا تُسمع الدعوى بعد انقضاء هذه المدة (تقادم).</w:t>
      </w:r>
    </w:p>
    <w:p>
      <w:pPr>
        <w:pStyle w:val="ListParagraph"/>
        <w:numPr>
          <w:ilvl w:val="0"/>
          <w:numId w:val="2"/>
        </w:numPr>
        <w:bidi/>
        <w:spacing w:after="100" w:line="300"/>
        <w:jc w:val="right"/>
      </w:pPr>
      <w:r>
        <w:rPr>
          <w:rFonts w:ascii="Arial" w:cs="Arial" w:eastAsia="Arial" w:hAnsi="Arial"/>
          <w:sz w:val="24"/>
          <w:szCs w:val="24"/>
          <w:rtl/>
        </w:rPr>
        <w:t xml:space="preserve">بعض الحالات الاستثنائية تُسمع فيها الدعوى بعد المدة (كالغش).</w:t>
      </w:r>
    </w:p>
    <w:p>
      <w:pPr>
        <w:pStyle w:val="Heading2"/>
        <w:bidi/>
        <w:spacing w:after="160" w:before="280"/>
        <w:jc w:val="right"/>
      </w:pPr>
      <w:r>
        <w:rPr>
          <w:rFonts w:ascii="Arial" w:cs="Arial" w:eastAsia="Arial" w:hAnsi="Arial"/>
          <w:b/>
          <w:bCs/>
          <w:color w:val="2E75B6"/>
          <w:sz w:val="30"/>
          <w:szCs w:val="30"/>
          <w:rtl/>
        </w:rPr>
        <w:t xml:space="preserve">4. من له حق الطعن</w:t>
      </w:r>
    </w:p>
    <w:p>
      <w:pPr>
        <w:pStyle w:val="ListParagraph"/>
        <w:numPr>
          <w:ilvl w:val="0"/>
          <w:numId w:val="2"/>
        </w:numPr>
        <w:bidi/>
        <w:spacing w:after="100" w:line="300"/>
        <w:jc w:val="right"/>
      </w:pPr>
      <w:r>
        <w:rPr>
          <w:rFonts w:ascii="Arial" w:cs="Arial" w:eastAsia="Arial" w:hAnsi="Arial"/>
          <w:sz w:val="24"/>
          <w:szCs w:val="24"/>
          <w:rtl/>
        </w:rPr>
        <w:t xml:space="preserve">أي مساهم له مصلحة في الطعن.</w:t>
      </w:r>
    </w:p>
    <w:p>
      <w:pPr>
        <w:pStyle w:val="ListParagraph"/>
        <w:numPr>
          <w:ilvl w:val="0"/>
          <w:numId w:val="2"/>
        </w:numPr>
        <w:bidi/>
        <w:spacing w:after="100" w:line="300"/>
        <w:jc w:val="right"/>
      </w:pPr>
      <w:r>
        <w:rPr>
          <w:rFonts w:ascii="Arial" w:cs="Arial" w:eastAsia="Arial" w:hAnsi="Arial"/>
          <w:sz w:val="24"/>
          <w:szCs w:val="24"/>
          <w:rtl/>
        </w:rPr>
        <w:t xml:space="preserve">المساهمون الذين يمثلون 5% من الأسهم - في حالات الطعن في قرارات مخالفة للنظام.</w:t>
      </w:r>
    </w:p>
    <w:p>
      <w:pPr>
        <w:pStyle w:val="ListParagraph"/>
        <w:numPr>
          <w:ilvl w:val="0"/>
          <w:numId w:val="2"/>
        </w:numPr>
        <w:bidi/>
        <w:spacing w:after="100" w:line="300"/>
        <w:jc w:val="right"/>
      </w:pPr>
      <w:r>
        <w:rPr>
          <w:rFonts w:ascii="Arial" w:cs="Arial" w:eastAsia="Arial" w:hAnsi="Arial"/>
          <w:sz w:val="24"/>
          <w:szCs w:val="24"/>
          <w:rtl/>
        </w:rPr>
        <w:t xml:space="preserve">مراجع الحسابات في حالات معينة.</w:t>
      </w:r>
    </w:p>
    <w:p>
      <w:pPr>
        <w:pStyle w:val="ListParagraph"/>
        <w:numPr>
          <w:ilvl w:val="0"/>
          <w:numId w:val="2"/>
        </w:numPr>
        <w:bidi/>
        <w:spacing w:after="100" w:line="300"/>
        <w:jc w:val="right"/>
      </w:pPr>
      <w:r>
        <w:rPr>
          <w:rFonts w:ascii="Arial" w:cs="Arial" w:eastAsia="Arial" w:hAnsi="Arial"/>
          <w:sz w:val="24"/>
          <w:szCs w:val="24"/>
          <w:rtl/>
        </w:rPr>
        <w:t xml:space="preserve">الجهات التنظيمية المختصة.</w:t>
      </w:r>
    </w:p>
    <w:p>
      <w:pPr>
        <w:pStyle w:val="Heading2"/>
        <w:bidi/>
        <w:spacing w:after="160" w:before="280"/>
        <w:jc w:val="right"/>
      </w:pPr>
      <w:r>
        <w:rPr>
          <w:rFonts w:ascii="Arial" w:cs="Arial" w:eastAsia="Arial" w:hAnsi="Arial"/>
          <w:b/>
          <w:bCs/>
          <w:color w:val="2E75B6"/>
          <w:sz w:val="30"/>
          <w:szCs w:val="30"/>
          <w:rtl/>
        </w:rPr>
        <w:t xml:space="preserve">5. آثار البطلان</w:t>
      </w:r>
    </w:p>
    <w:p>
      <w:pPr>
        <w:pStyle w:val="ListParagraph"/>
        <w:numPr>
          <w:ilvl w:val="0"/>
          <w:numId w:val="2"/>
        </w:numPr>
        <w:bidi/>
        <w:spacing w:after="100" w:line="300"/>
        <w:jc w:val="right"/>
      </w:pPr>
      <w:r>
        <w:rPr>
          <w:rFonts w:ascii="Arial" w:cs="Arial" w:eastAsia="Arial" w:hAnsi="Arial"/>
          <w:sz w:val="24"/>
          <w:szCs w:val="24"/>
          <w:rtl/>
        </w:rPr>
        <w:t xml:space="preserve">يُعتبر القرار كأن لم يكن من تاريخ صدوره.</w:t>
      </w:r>
    </w:p>
    <w:p>
      <w:pPr>
        <w:pStyle w:val="ListParagraph"/>
        <w:numPr>
          <w:ilvl w:val="0"/>
          <w:numId w:val="2"/>
        </w:numPr>
        <w:bidi/>
        <w:spacing w:after="100" w:line="300"/>
        <w:jc w:val="right"/>
      </w:pPr>
      <w:r>
        <w:rPr>
          <w:rFonts w:ascii="Arial" w:cs="Arial" w:eastAsia="Arial" w:hAnsi="Arial"/>
          <w:sz w:val="24"/>
          <w:szCs w:val="24"/>
          <w:rtl/>
        </w:rPr>
        <w:t xml:space="preserve">يجب على الشركة تنفيذ الحكم وتصحيح آثاره.</w:t>
      </w:r>
    </w:p>
    <w:p>
      <w:pPr>
        <w:pStyle w:val="ListParagraph"/>
        <w:numPr>
          <w:ilvl w:val="0"/>
          <w:numId w:val="2"/>
        </w:numPr>
        <w:bidi/>
        <w:spacing w:after="100" w:line="300"/>
        <w:jc w:val="right"/>
      </w:pPr>
      <w:r>
        <w:rPr>
          <w:rFonts w:ascii="Arial" w:cs="Arial" w:eastAsia="Arial" w:hAnsi="Arial"/>
          <w:sz w:val="24"/>
          <w:szCs w:val="24"/>
          <w:rtl/>
        </w:rPr>
        <w:t xml:space="preserve">قد تترتب مسؤوليات على المتسببين في البطلان.</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أبرز التطورات في النظام الجديد</w:t>
      </w:r>
    </w:p>
    <w:p>
      <w:pPr>
        <w:bidi/>
        <w:spacing w:after="140" w:line="320"/>
        <w:jc w:val="both"/>
      </w:pPr>
      <w:r>
        <w:rPr>
          <w:rFonts w:ascii="Arial" w:cs="Arial" w:eastAsia="Arial" w:hAnsi="Arial"/>
          <w:sz w:val="24"/>
          <w:szCs w:val="24"/>
          <w:rtl/>
        </w:rPr>
        <w:t xml:space="preserve">جاء نظام الشركات الجديد بتطورات جوهرية تخص الجمعيات العمومية، تعكس انفتاح المملكة على المعايير الدولية وأفضل الممارسات:</w:t>
      </w:r>
    </w:p>
    <w:p>
      <w:pPr>
        <w:pStyle w:val="Heading2"/>
        <w:bidi/>
        <w:spacing w:after="160" w:before="280"/>
        <w:jc w:val="right"/>
      </w:pPr>
      <w:r>
        <w:rPr>
          <w:rFonts w:ascii="Arial" w:cs="Arial" w:eastAsia="Arial" w:hAnsi="Arial"/>
          <w:b/>
          <w:bCs/>
          <w:color w:val="2E75B6"/>
          <w:sz w:val="30"/>
          <w:szCs w:val="30"/>
          <w:rtl/>
        </w:rPr>
        <w:t xml:space="preserve">1. المرونة في الانعقاد</w:t>
      </w:r>
    </w:p>
    <w:p>
      <w:pPr>
        <w:pStyle w:val="ListParagraph"/>
        <w:numPr>
          <w:ilvl w:val="0"/>
          <w:numId w:val="2"/>
        </w:numPr>
        <w:bidi/>
        <w:spacing w:after="100" w:line="300"/>
        <w:jc w:val="right"/>
      </w:pPr>
      <w:r>
        <w:rPr>
          <w:rFonts w:ascii="Arial" w:cs="Arial" w:eastAsia="Arial" w:hAnsi="Arial"/>
          <w:sz w:val="24"/>
          <w:szCs w:val="24"/>
          <w:rtl/>
        </w:rPr>
        <w:t xml:space="preserve">إمكانية انعقاد الجمعية الافتراضية بالكامل.</w:t>
      </w:r>
    </w:p>
    <w:p>
      <w:pPr>
        <w:pStyle w:val="ListParagraph"/>
        <w:numPr>
          <w:ilvl w:val="0"/>
          <w:numId w:val="2"/>
        </w:numPr>
        <w:bidi/>
        <w:spacing w:after="100" w:line="300"/>
        <w:jc w:val="right"/>
      </w:pPr>
      <w:r>
        <w:rPr>
          <w:rFonts w:ascii="Arial" w:cs="Arial" w:eastAsia="Arial" w:hAnsi="Arial"/>
          <w:sz w:val="24"/>
          <w:szCs w:val="24"/>
          <w:rtl/>
        </w:rPr>
        <w:t xml:space="preserve">الجمعيات الهجينة (جسدي + افتراضي).</w:t>
      </w:r>
    </w:p>
    <w:p>
      <w:pPr>
        <w:pStyle w:val="ListParagraph"/>
        <w:numPr>
          <w:ilvl w:val="0"/>
          <w:numId w:val="2"/>
        </w:numPr>
        <w:bidi/>
        <w:spacing w:after="100" w:line="300"/>
        <w:jc w:val="right"/>
      </w:pPr>
      <w:r>
        <w:rPr>
          <w:rFonts w:ascii="Arial" w:cs="Arial" w:eastAsia="Arial" w:hAnsi="Arial"/>
          <w:sz w:val="24"/>
          <w:szCs w:val="24"/>
          <w:rtl/>
        </w:rPr>
        <w:t xml:space="preserve">تيسير إجراءات الدعوة والإعلان.</w:t>
      </w:r>
    </w:p>
    <w:p>
      <w:pPr>
        <w:pStyle w:val="ListParagraph"/>
        <w:numPr>
          <w:ilvl w:val="0"/>
          <w:numId w:val="2"/>
        </w:numPr>
        <w:bidi/>
        <w:spacing w:after="100" w:line="300"/>
        <w:jc w:val="right"/>
      </w:pPr>
      <w:r>
        <w:rPr>
          <w:rFonts w:ascii="Arial" w:cs="Arial" w:eastAsia="Arial" w:hAnsi="Arial"/>
          <w:sz w:val="24"/>
          <w:szCs w:val="24"/>
          <w:rtl/>
        </w:rPr>
        <w:t xml:space="preserve">تبسيط متطلبات التوكيل.</w:t>
      </w:r>
    </w:p>
    <w:p>
      <w:pPr>
        <w:pStyle w:val="Heading2"/>
        <w:bidi/>
        <w:spacing w:after="160" w:before="280"/>
        <w:jc w:val="right"/>
      </w:pPr>
      <w:r>
        <w:rPr>
          <w:rFonts w:ascii="Arial" w:cs="Arial" w:eastAsia="Arial" w:hAnsi="Arial"/>
          <w:b/>
          <w:bCs/>
          <w:color w:val="2E75B6"/>
          <w:sz w:val="30"/>
          <w:szCs w:val="30"/>
          <w:rtl/>
        </w:rPr>
        <w:t xml:space="preserve">2. التصويت الإلكتروني</w:t>
      </w:r>
    </w:p>
    <w:p>
      <w:pPr>
        <w:pStyle w:val="ListParagraph"/>
        <w:numPr>
          <w:ilvl w:val="0"/>
          <w:numId w:val="2"/>
        </w:numPr>
        <w:bidi/>
        <w:spacing w:after="100" w:line="300"/>
        <w:jc w:val="right"/>
      </w:pPr>
      <w:r>
        <w:rPr>
          <w:rFonts w:ascii="Arial" w:cs="Arial" w:eastAsia="Arial" w:hAnsi="Arial"/>
          <w:sz w:val="24"/>
          <w:szCs w:val="24"/>
          <w:rtl/>
        </w:rPr>
        <w:t xml:space="preserve">الاعتراف الكامل بالتصويت الإلكتروني المسبق.</w:t>
      </w:r>
    </w:p>
    <w:p>
      <w:pPr>
        <w:pStyle w:val="ListParagraph"/>
        <w:numPr>
          <w:ilvl w:val="0"/>
          <w:numId w:val="2"/>
        </w:numPr>
        <w:bidi/>
        <w:spacing w:after="100" w:line="300"/>
        <w:jc w:val="right"/>
      </w:pPr>
      <w:r>
        <w:rPr>
          <w:rFonts w:ascii="Arial" w:cs="Arial" w:eastAsia="Arial" w:hAnsi="Arial"/>
          <w:sz w:val="24"/>
          <w:szCs w:val="24"/>
          <w:rtl/>
        </w:rPr>
        <w:t xml:space="preserve">التصويت الآني عن بُعد.</w:t>
      </w:r>
    </w:p>
    <w:p>
      <w:pPr>
        <w:pStyle w:val="ListParagraph"/>
        <w:numPr>
          <w:ilvl w:val="0"/>
          <w:numId w:val="2"/>
        </w:numPr>
        <w:bidi/>
        <w:spacing w:after="100" w:line="300"/>
        <w:jc w:val="right"/>
      </w:pPr>
      <w:r>
        <w:rPr>
          <w:rFonts w:ascii="Arial" w:cs="Arial" w:eastAsia="Arial" w:hAnsi="Arial"/>
          <w:sz w:val="24"/>
          <w:szCs w:val="24"/>
          <w:rtl/>
        </w:rPr>
        <w:t xml:space="preserve">منظومات التصويت المؤمّنة عبر مركز إيداع.</w:t>
      </w:r>
    </w:p>
    <w:p>
      <w:pPr>
        <w:pStyle w:val="Heading2"/>
        <w:bidi/>
        <w:spacing w:after="160" w:before="280"/>
        <w:jc w:val="right"/>
      </w:pPr>
      <w:r>
        <w:rPr>
          <w:rFonts w:ascii="Arial" w:cs="Arial" w:eastAsia="Arial" w:hAnsi="Arial"/>
          <w:b/>
          <w:bCs/>
          <w:color w:val="2E75B6"/>
          <w:sz w:val="30"/>
          <w:szCs w:val="30"/>
          <w:rtl/>
        </w:rPr>
        <w:t xml:space="preserve">3. تعزيز حقوق الأقلية</w:t>
      </w:r>
    </w:p>
    <w:p>
      <w:pPr>
        <w:pStyle w:val="ListParagraph"/>
        <w:numPr>
          <w:ilvl w:val="0"/>
          <w:numId w:val="2"/>
        </w:numPr>
        <w:bidi/>
        <w:spacing w:after="100" w:line="300"/>
        <w:jc w:val="right"/>
      </w:pPr>
      <w:r>
        <w:rPr>
          <w:rFonts w:ascii="Arial" w:cs="Arial" w:eastAsia="Arial" w:hAnsi="Arial"/>
          <w:sz w:val="24"/>
          <w:szCs w:val="24"/>
          <w:rtl/>
        </w:rPr>
        <w:t xml:space="preserve">خفض النسبة المطلوبة لطلب دعوة الجمعية من 11% إلى 10%.</w:t>
      </w:r>
    </w:p>
    <w:p>
      <w:pPr>
        <w:pStyle w:val="ListParagraph"/>
        <w:numPr>
          <w:ilvl w:val="0"/>
          <w:numId w:val="2"/>
        </w:numPr>
        <w:bidi/>
        <w:spacing w:after="100" w:line="300"/>
        <w:jc w:val="right"/>
      </w:pPr>
      <w:r>
        <w:rPr>
          <w:rFonts w:ascii="Arial" w:cs="Arial" w:eastAsia="Arial" w:hAnsi="Arial"/>
          <w:sz w:val="24"/>
          <w:szCs w:val="24"/>
          <w:rtl/>
        </w:rPr>
        <w:t xml:space="preserve">تيسير إدراج بنود في جدول الأعمال.</w:t>
      </w:r>
    </w:p>
    <w:p>
      <w:pPr>
        <w:pStyle w:val="ListParagraph"/>
        <w:numPr>
          <w:ilvl w:val="0"/>
          <w:numId w:val="2"/>
        </w:numPr>
        <w:bidi/>
        <w:spacing w:after="100" w:line="300"/>
        <w:jc w:val="right"/>
      </w:pPr>
      <w:r>
        <w:rPr>
          <w:rFonts w:ascii="Arial" w:cs="Arial" w:eastAsia="Arial" w:hAnsi="Arial"/>
          <w:sz w:val="24"/>
          <w:szCs w:val="24"/>
          <w:rtl/>
        </w:rPr>
        <w:t xml:space="preserve">التصويت التراكمي الإلزامي في الشركات المدرجة.</w:t>
      </w:r>
    </w:p>
    <w:p>
      <w:pPr>
        <w:pStyle w:val="Heading2"/>
        <w:bidi/>
        <w:spacing w:after="160" w:before="280"/>
        <w:jc w:val="right"/>
      </w:pPr>
      <w:r>
        <w:rPr>
          <w:rFonts w:ascii="Arial" w:cs="Arial" w:eastAsia="Arial" w:hAnsi="Arial"/>
          <w:b/>
          <w:bCs/>
          <w:color w:val="2E75B6"/>
          <w:sz w:val="30"/>
          <w:szCs w:val="30"/>
          <w:rtl/>
        </w:rPr>
        <w:t xml:space="preserve">4. الإفصاح والشفافية</w:t>
      </w:r>
    </w:p>
    <w:p>
      <w:pPr>
        <w:pStyle w:val="ListParagraph"/>
        <w:numPr>
          <w:ilvl w:val="0"/>
          <w:numId w:val="2"/>
        </w:numPr>
        <w:bidi/>
        <w:spacing w:after="100" w:line="300"/>
        <w:jc w:val="right"/>
      </w:pPr>
      <w:r>
        <w:rPr>
          <w:rFonts w:ascii="Arial" w:cs="Arial" w:eastAsia="Arial" w:hAnsi="Arial"/>
          <w:sz w:val="24"/>
          <w:szCs w:val="24"/>
          <w:rtl/>
        </w:rPr>
        <w:t xml:space="preserve">متطلبات أوسع للإفصاح المسبق.</w:t>
      </w:r>
    </w:p>
    <w:p>
      <w:pPr>
        <w:pStyle w:val="ListParagraph"/>
        <w:numPr>
          <w:ilvl w:val="0"/>
          <w:numId w:val="2"/>
        </w:numPr>
        <w:bidi/>
        <w:spacing w:after="100" w:line="300"/>
        <w:jc w:val="right"/>
      </w:pPr>
      <w:r>
        <w:rPr>
          <w:rFonts w:ascii="Arial" w:cs="Arial" w:eastAsia="Arial" w:hAnsi="Arial"/>
          <w:sz w:val="24"/>
          <w:szCs w:val="24"/>
          <w:rtl/>
        </w:rPr>
        <w:t xml:space="preserve">نشر التفاصيل الكاملة على منصة "تداول".</w:t>
      </w:r>
    </w:p>
    <w:p>
      <w:pPr>
        <w:pStyle w:val="ListParagraph"/>
        <w:numPr>
          <w:ilvl w:val="0"/>
          <w:numId w:val="2"/>
        </w:numPr>
        <w:bidi/>
        <w:spacing w:after="100" w:line="300"/>
        <w:jc w:val="right"/>
      </w:pPr>
      <w:r>
        <w:rPr>
          <w:rFonts w:ascii="Arial" w:cs="Arial" w:eastAsia="Arial" w:hAnsi="Arial"/>
          <w:sz w:val="24"/>
          <w:szCs w:val="24"/>
          <w:rtl/>
        </w:rPr>
        <w:t xml:space="preserve">الإفصاح عن نتائج التصويت تفصيلياً.</w:t>
      </w:r>
    </w:p>
    <w:p>
      <w:pPr>
        <w:pStyle w:val="Heading2"/>
        <w:bidi/>
        <w:spacing w:after="160" w:before="280"/>
        <w:jc w:val="right"/>
      </w:pPr>
      <w:r>
        <w:rPr>
          <w:rFonts w:ascii="Arial" w:cs="Arial" w:eastAsia="Arial" w:hAnsi="Arial"/>
          <w:b/>
          <w:bCs/>
          <w:color w:val="2E75B6"/>
          <w:sz w:val="30"/>
          <w:szCs w:val="30"/>
          <w:rtl/>
        </w:rPr>
        <w:t xml:space="preserve">5. الجمعيات الخاصة</w:t>
      </w:r>
    </w:p>
    <w:p>
      <w:pPr>
        <w:pStyle w:val="ListParagraph"/>
        <w:numPr>
          <w:ilvl w:val="0"/>
          <w:numId w:val="2"/>
        </w:numPr>
        <w:bidi/>
        <w:spacing w:after="100" w:line="300"/>
        <w:jc w:val="right"/>
      </w:pPr>
      <w:r>
        <w:rPr>
          <w:rFonts w:ascii="Arial" w:cs="Arial" w:eastAsia="Arial" w:hAnsi="Arial"/>
          <w:sz w:val="24"/>
          <w:szCs w:val="24"/>
          <w:rtl/>
        </w:rPr>
        <w:t xml:space="preserve">تنظيم تفصيلي للجمعيات الخاصة.</w:t>
      </w:r>
    </w:p>
    <w:p>
      <w:pPr>
        <w:pStyle w:val="ListParagraph"/>
        <w:numPr>
          <w:ilvl w:val="0"/>
          <w:numId w:val="2"/>
        </w:numPr>
        <w:bidi/>
        <w:spacing w:after="100" w:line="300"/>
        <w:jc w:val="right"/>
      </w:pPr>
      <w:r>
        <w:rPr>
          <w:rFonts w:ascii="Arial" w:cs="Arial" w:eastAsia="Arial" w:hAnsi="Arial"/>
          <w:sz w:val="24"/>
          <w:szCs w:val="24"/>
          <w:rtl/>
        </w:rPr>
        <w:t xml:space="preserve">حماية متقدمة لحملة الأسهم الممتازة.</w:t>
      </w:r>
    </w:p>
    <w:p>
      <w:pPr>
        <w:pStyle w:val="ListParagraph"/>
        <w:numPr>
          <w:ilvl w:val="0"/>
          <w:numId w:val="2"/>
        </w:numPr>
        <w:bidi/>
        <w:spacing w:after="100" w:line="300"/>
        <w:jc w:val="right"/>
      </w:pPr>
      <w:r>
        <w:rPr>
          <w:rFonts w:ascii="Arial" w:cs="Arial" w:eastAsia="Arial" w:hAnsi="Arial"/>
          <w:sz w:val="24"/>
          <w:szCs w:val="24"/>
          <w:rtl/>
        </w:rPr>
        <w:t xml:space="preserve">ضوابط واضحة لإصدار الأسهم الممتازة.</w:t>
      </w:r>
    </w:p>
    <w:p>
      <w:pPr>
        <w:pStyle w:val="Heading2"/>
        <w:bidi/>
        <w:spacing w:after="160" w:before="280"/>
        <w:jc w:val="right"/>
      </w:pPr>
      <w:r>
        <w:rPr>
          <w:rFonts w:ascii="Arial" w:cs="Arial" w:eastAsia="Arial" w:hAnsi="Arial"/>
          <w:b/>
          <w:bCs/>
          <w:color w:val="2E75B6"/>
          <w:sz w:val="30"/>
          <w:szCs w:val="30"/>
          <w:rtl/>
        </w:rPr>
        <w:t xml:space="preserve">6. شركة المساهمة المبسطة</w:t>
      </w:r>
    </w:p>
    <w:p>
      <w:pPr>
        <w:pStyle w:val="ListParagraph"/>
        <w:numPr>
          <w:ilvl w:val="0"/>
          <w:numId w:val="2"/>
        </w:numPr>
        <w:bidi/>
        <w:spacing w:after="100" w:line="300"/>
        <w:jc w:val="right"/>
      </w:pPr>
      <w:r>
        <w:rPr>
          <w:rFonts w:ascii="Arial" w:cs="Arial" w:eastAsia="Arial" w:hAnsi="Arial"/>
          <w:sz w:val="24"/>
          <w:szCs w:val="24"/>
          <w:rtl/>
        </w:rPr>
        <w:t xml:space="preserve">إعفاء من بعض متطلبات الجمعيات.</w:t>
      </w:r>
    </w:p>
    <w:p>
      <w:pPr>
        <w:pStyle w:val="ListParagraph"/>
        <w:numPr>
          <w:ilvl w:val="0"/>
          <w:numId w:val="2"/>
        </w:numPr>
        <w:bidi/>
        <w:spacing w:after="100" w:line="300"/>
        <w:jc w:val="right"/>
      </w:pPr>
      <w:r>
        <w:rPr>
          <w:rFonts w:ascii="Arial" w:cs="Arial" w:eastAsia="Arial" w:hAnsi="Arial"/>
          <w:sz w:val="24"/>
          <w:szCs w:val="24"/>
          <w:rtl/>
        </w:rPr>
        <w:t xml:space="preserve">يحل المساهمون محل الجمعية العامة العادية وغير العادية.</w:t>
      </w:r>
    </w:p>
    <w:p>
      <w:pPr>
        <w:pStyle w:val="ListParagraph"/>
        <w:numPr>
          <w:ilvl w:val="0"/>
          <w:numId w:val="2"/>
        </w:numPr>
        <w:bidi/>
        <w:spacing w:after="100" w:line="300"/>
        <w:jc w:val="right"/>
      </w:pPr>
      <w:r>
        <w:rPr>
          <w:rFonts w:ascii="Arial" w:cs="Arial" w:eastAsia="Arial" w:hAnsi="Arial"/>
          <w:sz w:val="24"/>
          <w:szCs w:val="24"/>
          <w:rtl/>
        </w:rPr>
        <w:t xml:space="preserve">مرونة أكبر في اتخاذ القرارات.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المقارنة مع المعايير الدولية</w:t>
      </w:r>
    </w:p>
    <w:p>
      <w:pPr>
        <w:bidi/>
        <w:spacing w:after="140" w:line="320"/>
        <w:jc w:val="both"/>
      </w:pPr>
      <w:r>
        <w:rPr>
          <w:rFonts w:ascii="Arial" w:cs="Arial" w:eastAsia="Arial" w:hAnsi="Arial"/>
          <w:sz w:val="24"/>
          <w:szCs w:val="24"/>
          <w:rtl/>
        </w:rPr>
        <w:t xml:space="preserve">يُلاحظ أن الإطار القانوني السعودي للجمعيات قد اقترب بشكل كبير من المعايير الدولية، مما يُعزز جاذبية السوق السعودي للاستثمار الأجنبي:</w:t>
      </w:r>
    </w:p>
    <w:p>
      <w:pPr>
        <w:pStyle w:val="Heading2"/>
        <w:bidi/>
        <w:spacing w:after="160" w:before="280"/>
        <w:jc w:val="right"/>
      </w:pPr>
      <w:r>
        <w:rPr>
          <w:rFonts w:ascii="Arial" w:cs="Arial" w:eastAsia="Arial" w:hAnsi="Arial"/>
          <w:b/>
          <w:bCs/>
          <w:color w:val="2E75B6"/>
          <w:sz w:val="30"/>
          <w:szCs w:val="30"/>
          <w:rtl/>
        </w:rPr>
        <w:t xml:space="preserve">التوافق مع مبادئ OECD</w:t>
      </w:r>
    </w:p>
    <w:p>
      <w:pPr>
        <w:pStyle w:val="ListParagraph"/>
        <w:numPr>
          <w:ilvl w:val="0"/>
          <w:numId w:val="2"/>
        </w:numPr>
        <w:bidi/>
        <w:spacing w:after="100" w:line="300"/>
        <w:jc w:val="right"/>
      </w:pPr>
      <w:r>
        <w:rPr>
          <w:rFonts w:ascii="Arial" w:cs="Arial" w:eastAsia="Arial" w:hAnsi="Arial"/>
          <w:sz w:val="24"/>
          <w:szCs w:val="24"/>
          <w:rtl/>
        </w:rPr>
        <w:t xml:space="preserve">ضمان حقوق المساهمين الأساسية.</w:t>
      </w:r>
    </w:p>
    <w:p>
      <w:pPr>
        <w:pStyle w:val="ListParagraph"/>
        <w:numPr>
          <w:ilvl w:val="0"/>
          <w:numId w:val="2"/>
        </w:numPr>
        <w:bidi/>
        <w:spacing w:after="100" w:line="300"/>
        <w:jc w:val="right"/>
      </w:pPr>
      <w:r>
        <w:rPr>
          <w:rFonts w:ascii="Arial" w:cs="Arial" w:eastAsia="Arial" w:hAnsi="Arial"/>
          <w:sz w:val="24"/>
          <w:szCs w:val="24"/>
          <w:rtl/>
        </w:rPr>
        <w:t xml:space="preserve">المعاملة المتساوية بين المساهمين.</w:t>
      </w:r>
    </w:p>
    <w:p>
      <w:pPr>
        <w:pStyle w:val="ListParagraph"/>
        <w:numPr>
          <w:ilvl w:val="0"/>
          <w:numId w:val="2"/>
        </w:numPr>
        <w:bidi/>
        <w:spacing w:after="100" w:line="300"/>
        <w:jc w:val="right"/>
      </w:pPr>
      <w:r>
        <w:rPr>
          <w:rFonts w:ascii="Arial" w:cs="Arial" w:eastAsia="Arial" w:hAnsi="Arial"/>
          <w:sz w:val="24"/>
          <w:szCs w:val="24"/>
          <w:rtl/>
        </w:rPr>
        <w:t xml:space="preserve">الإفصاح والشفافية.</w:t>
      </w:r>
    </w:p>
    <w:p>
      <w:pPr>
        <w:pStyle w:val="ListParagraph"/>
        <w:numPr>
          <w:ilvl w:val="0"/>
          <w:numId w:val="2"/>
        </w:numPr>
        <w:bidi/>
        <w:spacing w:after="100" w:line="300"/>
        <w:jc w:val="right"/>
      </w:pPr>
      <w:r>
        <w:rPr>
          <w:rFonts w:ascii="Arial" w:cs="Arial" w:eastAsia="Arial" w:hAnsi="Arial"/>
          <w:sz w:val="24"/>
          <w:szCs w:val="24"/>
          <w:rtl/>
        </w:rPr>
        <w:t xml:space="preserve">مسؤوليات مجلس الإدارة.</w:t>
      </w:r>
    </w:p>
    <w:p>
      <w:pPr>
        <w:pStyle w:val="Heading2"/>
        <w:bidi/>
        <w:spacing w:after="160" w:before="280"/>
        <w:jc w:val="right"/>
      </w:pPr>
      <w:r>
        <w:rPr>
          <w:rFonts w:ascii="Arial" w:cs="Arial" w:eastAsia="Arial" w:hAnsi="Arial"/>
          <w:b/>
          <w:bCs/>
          <w:color w:val="2E75B6"/>
          <w:sz w:val="30"/>
          <w:szCs w:val="30"/>
          <w:rtl/>
        </w:rPr>
        <w:t xml:space="preserve">التوافق مع المعايير الأوروبية</w:t>
      </w:r>
    </w:p>
    <w:p>
      <w:pPr>
        <w:pStyle w:val="ListParagraph"/>
        <w:numPr>
          <w:ilvl w:val="0"/>
          <w:numId w:val="2"/>
        </w:numPr>
        <w:bidi/>
        <w:spacing w:after="100" w:line="300"/>
        <w:jc w:val="right"/>
      </w:pPr>
      <w:r>
        <w:rPr>
          <w:rFonts w:ascii="Arial" w:cs="Arial" w:eastAsia="Arial" w:hAnsi="Arial"/>
          <w:sz w:val="24"/>
          <w:szCs w:val="24"/>
          <w:rtl/>
        </w:rPr>
        <w:t xml:space="preserve">التصويت الإلكتروني.</w:t>
      </w:r>
    </w:p>
    <w:p>
      <w:pPr>
        <w:pStyle w:val="ListParagraph"/>
        <w:numPr>
          <w:ilvl w:val="0"/>
          <w:numId w:val="2"/>
        </w:numPr>
        <w:bidi/>
        <w:spacing w:after="100" w:line="300"/>
        <w:jc w:val="right"/>
      </w:pPr>
      <w:r>
        <w:rPr>
          <w:rFonts w:ascii="Arial" w:cs="Arial" w:eastAsia="Arial" w:hAnsi="Arial"/>
          <w:sz w:val="24"/>
          <w:szCs w:val="24"/>
          <w:rtl/>
        </w:rPr>
        <w:t xml:space="preserve">الجمعيات الافتراضية.</w:t>
      </w:r>
    </w:p>
    <w:p>
      <w:pPr>
        <w:pStyle w:val="ListParagraph"/>
        <w:numPr>
          <w:ilvl w:val="0"/>
          <w:numId w:val="2"/>
        </w:numPr>
        <w:bidi/>
        <w:spacing w:after="100" w:line="300"/>
        <w:jc w:val="right"/>
      </w:pPr>
      <w:r>
        <w:rPr>
          <w:rFonts w:ascii="Arial" w:cs="Arial" w:eastAsia="Arial" w:hAnsi="Arial"/>
          <w:sz w:val="24"/>
          <w:szCs w:val="24"/>
          <w:rtl/>
        </w:rPr>
        <w:t xml:space="preserve">حماية حقوق الأقلية.</w:t>
      </w:r>
    </w:p>
    <w:p>
      <w:pPr>
        <w:pStyle w:val="ListParagraph"/>
        <w:numPr>
          <w:ilvl w:val="0"/>
          <w:numId w:val="2"/>
        </w:numPr>
        <w:bidi/>
        <w:spacing w:after="100" w:line="300"/>
        <w:jc w:val="right"/>
      </w:pPr>
      <w:r>
        <w:rPr>
          <w:rFonts w:ascii="Arial" w:cs="Arial" w:eastAsia="Arial" w:hAnsi="Arial"/>
          <w:sz w:val="24"/>
          <w:szCs w:val="24"/>
          <w:rtl/>
        </w:rPr>
        <w:t xml:space="preserve">الإفصاح الشامل.</w:t>
      </w:r>
    </w:p>
    <w:p>
      <w:pPr>
        <w:pStyle w:val="Heading2"/>
        <w:bidi/>
        <w:spacing w:after="160" w:before="280"/>
        <w:jc w:val="right"/>
      </w:pPr>
      <w:r>
        <w:rPr>
          <w:rFonts w:ascii="Arial" w:cs="Arial" w:eastAsia="Arial" w:hAnsi="Arial"/>
          <w:b/>
          <w:bCs/>
          <w:color w:val="2E75B6"/>
          <w:sz w:val="30"/>
          <w:szCs w:val="30"/>
          <w:rtl/>
        </w:rPr>
        <w:t xml:space="preserve">التوافق مع الممارسات الأمريكية (SEC)</w:t>
      </w:r>
    </w:p>
    <w:p>
      <w:pPr>
        <w:pStyle w:val="ListParagraph"/>
        <w:numPr>
          <w:ilvl w:val="0"/>
          <w:numId w:val="2"/>
        </w:numPr>
        <w:bidi/>
        <w:spacing w:after="100" w:line="300"/>
        <w:jc w:val="right"/>
      </w:pPr>
      <w:r>
        <w:rPr>
          <w:rFonts w:ascii="Arial" w:cs="Arial" w:eastAsia="Arial" w:hAnsi="Arial"/>
          <w:sz w:val="24"/>
          <w:szCs w:val="24"/>
          <w:rtl/>
        </w:rPr>
        <w:t xml:space="preserve">متطلبات الإفصاح الشامل.</w:t>
      </w:r>
    </w:p>
    <w:p>
      <w:pPr>
        <w:pStyle w:val="ListParagraph"/>
        <w:numPr>
          <w:ilvl w:val="0"/>
          <w:numId w:val="2"/>
        </w:numPr>
        <w:bidi/>
        <w:spacing w:after="100" w:line="300"/>
        <w:jc w:val="right"/>
      </w:pPr>
      <w:r>
        <w:rPr>
          <w:rFonts w:ascii="Arial" w:cs="Arial" w:eastAsia="Arial" w:hAnsi="Arial"/>
          <w:sz w:val="24"/>
          <w:szCs w:val="24"/>
          <w:rtl/>
        </w:rPr>
        <w:t xml:space="preserve">الحوكمة المؤسسية.</w:t>
      </w:r>
    </w:p>
    <w:p>
      <w:pPr>
        <w:pStyle w:val="ListParagraph"/>
        <w:numPr>
          <w:ilvl w:val="0"/>
          <w:numId w:val="2"/>
        </w:numPr>
        <w:bidi/>
        <w:spacing w:after="100" w:line="300"/>
        <w:jc w:val="right"/>
      </w:pPr>
      <w:r>
        <w:rPr>
          <w:rFonts w:ascii="Arial" w:cs="Arial" w:eastAsia="Arial" w:hAnsi="Arial"/>
          <w:sz w:val="24"/>
          <w:szCs w:val="24"/>
          <w:rtl/>
        </w:rPr>
        <w:t xml:space="preserve">حماية المستثمرين.</w:t>
      </w:r>
    </w:p>
    <w:p>
      <w:pPr>
        <w:pStyle w:val="ListParagraph"/>
        <w:numPr>
          <w:ilvl w:val="0"/>
          <w:numId w:val="2"/>
        </w:numPr>
        <w:bidi/>
        <w:spacing w:after="100" w:line="300"/>
        <w:jc w:val="right"/>
      </w:pPr>
      <w:r>
        <w:rPr>
          <w:rFonts w:ascii="Arial" w:cs="Arial" w:eastAsia="Arial" w:hAnsi="Arial"/>
          <w:sz w:val="24"/>
          <w:szCs w:val="24"/>
          <w:rtl/>
        </w:rPr>
        <w:t xml:space="preserve">اللوائح الخاصة بالأطراف ذات العلاقة.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قائمة مراجعة الامتثال القانوني</w:t>
      </w:r>
    </w:p>
    <w:p>
      <w:pPr>
        <w:pStyle w:val="Heading3"/>
        <w:bidi/>
        <w:spacing w:after="120" w:before="200"/>
        <w:jc w:val="right"/>
      </w:pPr>
      <w:r>
        <w:rPr>
          <w:rFonts w:ascii="Arial" w:cs="Arial" w:eastAsia="Arial" w:hAnsi="Arial"/>
          <w:b/>
          <w:bCs/>
          <w:color w:val="1F4E79"/>
          <w:sz w:val="26"/>
          <w:szCs w:val="26"/>
          <w:rtl/>
        </w:rPr>
        <w:t xml:space="preserve">قبل الجمعية</w:t>
      </w:r>
    </w:p>
    <w:p>
      <w:pPr>
        <w:pStyle w:val="ListParagraph"/>
        <w:numPr>
          <w:ilvl w:val="0"/>
          <w:numId w:val="2"/>
        </w:numPr>
        <w:bidi/>
        <w:spacing w:after="100" w:line="300"/>
        <w:jc w:val="right"/>
      </w:pPr>
      <w:r>
        <w:rPr>
          <w:rFonts w:ascii="Arial" w:cs="Arial" w:eastAsia="Arial" w:hAnsi="Arial"/>
          <w:sz w:val="24"/>
          <w:szCs w:val="24"/>
          <w:rtl/>
        </w:rPr>
        <w:t xml:space="preserve">التحقق من توقيت انعقاد الجمعية وفق النظام.</w:t>
      </w:r>
    </w:p>
    <w:p>
      <w:pPr>
        <w:pStyle w:val="ListParagraph"/>
        <w:numPr>
          <w:ilvl w:val="0"/>
          <w:numId w:val="2"/>
        </w:numPr>
        <w:bidi/>
        <w:spacing w:after="100" w:line="300"/>
        <w:jc w:val="right"/>
      </w:pPr>
      <w:r>
        <w:rPr>
          <w:rFonts w:ascii="Arial" w:cs="Arial" w:eastAsia="Arial" w:hAnsi="Arial"/>
          <w:sz w:val="24"/>
          <w:szCs w:val="24"/>
          <w:rtl/>
        </w:rPr>
        <w:t xml:space="preserve">اعتماد جدول الأعمال من مجلس الإدارة.</w:t>
      </w:r>
    </w:p>
    <w:p>
      <w:pPr>
        <w:pStyle w:val="ListParagraph"/>
        <w:numPr>
          <w:ilvl w:val="0"/>
          <w:numId w:val="2"/>
        </w:numPr>
        <w:bidi/>
        <w:spacing w:after="100" w:line="300"/>
        <w:jc w:val="right"/>
      </w:pPr>
      <w:r>
        <w:rPr>
          <w:rFonts w:ascii="Arial" w:cs="Arial" w:eastAsia="Arial" w:hAnsi="Arial"/>
          <w:sz w:val="24"/>
          <w:szCs w:val="24"/>
          <w:rtl/>
        </w:rPr>
        <w:t xml:space="preserve">التأكد من نشر الدعوة في القنوات المعتمدة.</w:t>
      </w:r>
    </w:p>
    <w:p>
      <w:pPr>
        <w:pStyle w:val="ListParagraph"/>
        <w:numPr>
          <w:ilvl w:val="0"/>
          <w:numId w:val="2"/>
        </w:numPr>
        <w:bidi/>
        <w:spacing w:after="100" w:line="300"/>
        <w:jc w:val="right"/>
      </w:pPr>
      <w:r>
        <w:rPr>
          <w:rFonts w:ascii="Arial" w:cs="Arial" w:eastAsia="Arial" w:hAnsi="Arial"/>
          <w:sz w:val="24"/>
          <w:szCs w:val="24"/>
          <w:rtl/>
        </w:rPr>
        <w:t xml:space="preserve">الالتزام بمهلة الـ 21 يوماً (للشركات المدرجة).</w:t>
      </w:r>
    </w:p>
    <w:p>
      <w:pPr>
        <w:pStyle w:val="ListParagraph"/>
        <w:numPr>
          <w:ilvl w:val="0"/>
          <w:numId w:val="2"/>
        </w:numPr>
        <w:bidi/>
        <w:spacing w:after="100" w:line="300"/>
        <w:jc w:val="right"/>
      </w:pPr>
      <w:r>
        <w:rPr>
          <w:rFonts w:ascii="Arial" w:cs="Arial" w:eastAsia="Arial" w:hAnsi="Arial"/>
          <w:sz w:val="24"/>
          <w:szCs w:val="24"/>
          <w:rtl/>
        </w:rPr>
        <w:t xml:space="preserve">توفير الوثائق ذات العلاقة قبل الجمعية.</w:t>
      </w:r>
    </w:p>
    <w:p>
      <w:pPr>
        <w:pStyle w:val="ListParagraph"/>
        <w:numPr>
          <w:ilvl w:val="0"/>
          <w:numId w:val="2"/>
        </w:numPr>
        <w:bidi/>
        <w:spacing w:after="100" w:line="300"/>
        <w:jc w:val="right"/>
      </w:pPr>
      <w:r>
        <w:rPr>
          <w:rFonts w:ascii="Arial" w:cs="Arial" w:eastAsia="Arial" w:hAnsi="Arial"/>
          <w:sz w:val="24"/>
          <w:szCs w:val="24"/>
          <w:rtl/>
        </w:rPr>
        <w:t xml:space="preserve">فتح باب التصويت الإلكتروني المسبق.</w:t>
      </w:r>
    </w:p>
    <w:p>
      <w:pPr>
        <w:pStyle w:val="ListParagraph"/>
        <w:numPr>
          <w:ilvl w:val="0"/>
          <w:numId w:val="2"/>
        </w:numPr>
        <w:bidi/>
        <w:spacing w:after="100" w:line="300"/>
        <w:jc w:val="right"/>
      </w:pPr>
      <w:r>
        <w:rPr>
          <w:rFonts w:ascii="Arial" w:cs="Arial" w:eastAsia="Arial" w:hAnsi="Arial"/>
          <w:sz w:val="24"/>
          <w:szCs w:val="24"/>
          <w:rtl/>
        </w:rPr>
        <w:t xml:space="preserve">إعداد قائمة المستحقين في تاريخ الأحقية.</w:t>
      </w:r>
    </w:p>
    <w:p>
      <w:pPr>
        <w:pStyle w:val="Heading3"/>
        <w:bidi/>
        <w:spacing w:after="120" w:before="200"/>
        <w:jc w:val="right"/>
      </w:pPr>
      <w:r>
        <w:rPr>
          <w:rFonts w:ascii="Arial" w:cs="Arial" w:eastAsia="Arial" w:hAnsi="Arial"/>
          <w:b/>
          <w:bCs/>
          <w:color w:val="1F4E79"/>
          <w:sz w:val="26"/>
          <w:szCs w:val="26"/>
          <w:rtl/>
        </w:rPr>
        <w:t xml:space="preserve">أثناء الجمعية</w:t>
      </w:r>
    </w:p>
    <w:p>
      <w:pPr>
        <w:pStyle w:val="ListParagraph"/>
        <w:numPr>
          <w:ilvl w:val="0"/>
          <w:numId w:val="2"/>
        </w:numPr>
        <w:bidi/>
        <w:spacing w:after="100" w:line="300"/>
        <w:jc w:val="right"/>
      </w:pPr>
      <w:r>
        <w:rPr>
          <w:rFonts w:ascii="Arial" w:cs="Arial" w:eastAsia="Arial" w:hAnsi="Arial"/>
          <w:sz w:val="24"/>
          <w:szCs w:val="24"/>
          <w:rtl/>
        </w:rPr>
        <w:t xml:space="preserve">التحقق من اكتمال النصاب القانوني.</w:t>
      </w:r>
    </w:p>
    <w:p>
      <w:pPr>
        <w:pStyle w:val="ListParagraph"/>
        <w:numPr>
          <w:ilvl w:val="0"/>
          <w:numId w:val="2"/>
        </w:numPr>
        <w:bidi/>
        <w:spacing w:after="100" w:line="300"/>
        <w:jc w:val="right"/>
      </w:pPr>
      <w:r>
        <w:rPr>
          <w:rFonts w:ascii="Arial" w:cs="Arial" w:eastAsia="Arial" w:hAnsi="Arial"/>
          <w:sz w:val="24"/>
          <w:szCs w:val="24"/>
          <w:rtl/>
        </w:rPr>
        <w:t xml:space="preserve">توثيق الحضور بدقة.</w:t>
      </w:r>
    </w:p>
    <w:p>
      <w:pPr>
        <w:pStyle w:val="ListParagraph"/>
        <w:numPr>
          <w:ilvl w:val="0"/>
          <w:numId w:val="2"/>
        </w:numPr>
        <w:bidi/>
        <w:spacing w:after="100" w:line="300"/>
        <w:jc w:val="right"/>
      </w:pPr>
      <w:r>
        <w:rPr>
          <w:rFonts w:ascii="Arial" w:cs="Arial" w:eastAsia="Arial" w:hAnsi="Arial"/>
          <w:sz w:val="24"/>
          <w:szCs w:val="24"/>
          <w:rtl/>
        </w:rPr>
        <w:t xml:space="preserve">إدارة المداولات وفق جدول الأعمال.</w:t>
      </w:r>
    </w:p>
    <w:p>
      <w:pPr>
        <w:pStyle w:val="ListParagraph"/>
        <w:numPr>
          <w:ilvl w:val="0"/>
          <w:numId w:val="2"/>
        </w:numPr>
        <w:bidi/>
        <w:spacing w:after="100" w:line="300"/>
        <w:jc w:val="right"/>
      </w:pPr>
      <w:r>
        <w:rPr>
          <w:rFonts w:ascii="Arial" w:cs="Arial" w:eastAsia="Arial" w:hAnsi="Arial"/>
          <w:sz w:val="24"/>
          <w:szCs w:val="24"/>
          <w:rtl/>
        </w:rPr>
        <w:t xml:space="preserve">التطبيق الصحيح لآليات التصويت.</w:t>
      </w:r>
    </w:p>
    <w:p>
      <w:pPr>
        <w:pStyle w:val="ListParagraph"/>
        <w:numPr>
          <w:ilvl w:val="0"/>
          <w:numId w:val="2"/>
        </w:numPr>
        <w:bidi/>
        <w:spacing w:after="100" w:line="300"/>
        <w:jc w:val="right"/>
      </w:pPr>
      <w:r>
        <w:rPr>
          <w:rFonts w:ascii="Arial" w:cs="Arial" w:eastAsia="Arial" w:hAnsi="Arial"/>
          <w:sz w:val="24"/>
          <w:szCs w:val="24"/>
          <w:rtl/>
        </w:rPr>
        <w:t xml:space="preserve">استثناء أصحاب المصلحة من التصويت.</w:t>
      </w:r>
    </w:p>
    <w:p>
      <w:pPr>
        <w:pStyle w:val="ListParagraph"/>
        <w:numPr>
          <w:ilvl w:val="0"/>
          <w:numId w:val="2"/>
        </w:numPr>
        <w:bidi/>
        <w:spacing w:after="100" w:line="300"/>
        <w:jc w:val="right"/>
      </w:pPr>
      <w:r>
        <w:rPr>
          <w:rFonts w:ascii="Arial" w:cs="Arial" w:eastAsia="Arial" w:hAnsi="Arial"/>
          <w:sz w:val="24"/>
          <w:szCs w:val="24"/>
          <w:rtl/>
        </w:rPr>
        <w:t xml:space="preserve">توثيق الاعتراضات والتحفظات.</w:t>
      </w:r>
    </w:p>
    <w:p>
      <w:pPr>
        <w:pStyle w:val="Heading3"/>
        <w:bidi/>
        <w:spacing w:after="120" w:before="200"/>
        <w:jc w:val="right"/>
      </w:pPr>
      <w:r>
        <w:rPr>
          <w:rFonts w:ascii="Arial" w:cs="Arial" w:eastAsia="Arial" w:hAnsi="Arial"/>
          <w:b/>
          <w:bCs/>
          <w:color w:val="1F4E79"/>
          <w:sz w:val="26"/>
          <w:szCs w:val="26"/>
          <w:rtl/>
        </w:rPr>
        <w:t xml:space="preserve">بعد الجمعية</w:t>
      </w:r>
    </w:p>
    <w:p>
      <w:pPr>
        <w:pStyle w:val="ListParagraph"/>
        <w:numPr>
          <w:ilvl w:val="0"/>
          <w:numId w:val="2"/>
        </w:numPr>
        <w:bidi/>
        <w:spacing w:after="100" w:line="300"/>
        <w:jc w:val="right"/>
      </w:pPr>
      <w:r>
        <w:rPr>
          <w:rFonts w:ascii="Arial" w:cs="Arial" w:eastAsia="Arial" w:hAnsi="Arial"/>
          <w:sz w:val="24"/>
          <w:szCs w:val="24"/>
          <w:rtl/>
        </w:rPr>
        <w:t xml:space="preserve">إعداد المحضر بشكل كامل.</w:t>
      </w:r>
    </w:p>
    <w:p>
      <w:pPr>
        <w:pStyle w:val="ListParagraph"/>
        <w:numPr>
          <w:ilvl w:val="0"/>
          <w:numId w:val="2"/>
        </w:numPr>
        <w:bidi/>
        <w:spacing w:after="100" w:line="300"/>
        <w:jc w:val="right"/>
      </w:pPr>
      <w:r>
        <w:rPr>
          <w:rFonts w:ascii="Arial" w:cs="Arial" w:eastAsia="Arial" w:hAnsi="Arial"/>
          <w:sz w:val="24"/>
          <w:szCs w:val="24"/>
          <w:rtl/>
        </w:rPr>
        <w:t xml:space="preserve">الحصول على التوقيعات المطلوبة.</w:t>
      </w:r>
    </w:p>
    <w:p>
      <w:pPr>
        <w:pStyle w:val="ListParagraph"/>
        <w:numPr>
          <w:ilvl w:val="0"/>
          <w:numId w:val="2"/>
        </w:numPr>
        <w:bidi/>
        <w:spacing w:after="100" w:line="300"/>
        <w:jc w:val="right"/>
      </w:pPr>
      <w:r>
        <w:rPr>
          <w:rFonts w:ascii="Arial" w:cs="Arial" w:eastAsia="Arial" w:hAnsi="Arial"/>
          <w:sz w:val="24"/>
          <w:szCs w:val="24"/>
          <w:rtl/>
        </w:rPr>
        <w:t xml:space="preserve">الإفصاح عن نتائج الجمعية فوراً.</w:t>
      </w:r>
    </w:p>
    <w:p>
      <w:pPr>
        <w:pStyle w:val="ListParagraph"/>
        <w:numPr>
          <w:ilvl w:val="0"/>
          <w:numId w:val="2"/>
        </w:numPr>
        <w:bidi/>
        <w:spacing w:after="100" w:line="300"/>
        <w:jc w:val="right"/>
      </w:pPr>
      <w:r>
        <w:rPr>
          <w:rFonts w:ascii="Arial" w:cs="Arial" w:eastAsia="Arial" w:hAnsi="Arial"/>
          <w:sz w:val="24"/>
          <w:szCs w:val="24"/>
          <w:rtl/>
        </w:rPr>
        <w:t xml:space="preserve">نشر المحضر على القنوات المعتمدة.</w:t>
      </w:r>
    </w:p>
    <w:p>
      <w:pPr>
        <w:pStyle w:val="ListParagraph"/>
        <w:numPr>
          <w:ilvl w:val="0"/>
          <w:numId w:val="2"/>
        </w:numPr>
        <w:bidi/>
        <w:spacing w:after="100" w:line="300"/>
        <w:jc w:val="right"/>
      </w:pPr>
      <w:r>
        <w:rPr>
          <w:rFonts w:ascii="Arial" w:cs="Arial" w:eastAsia="Arial" w:hAnsi="Arial"/>
          <w:sz w:val="24"/>
          <w:szCs w:val="24"/>
          <w:rtl/>
        </w:rPr>
        <w:t xml:space="preserve">حفظ السجلات وفق المتطلبات.</w:t>
      </w:r>
    </w:p>
    <w:p>
      <w:pPr>
        <w:pStyle w:val="ListParagraph"/>
        <w:numPr>
          <w:ilvl w:val="0"/>
          <w:numId w:val="2"/>
        </w:numPr>
        <w:bidi/>
        <w:spacing w:after="100" w:line="300"/>
        <w:jc w:val="right"/>
      </w:pPr>
      <w:r>
        <w:rPr>
          <w:rFonts w:ascii="Arial" w:cs="Arial" w:eastAsia="Arial" w:hAnsi="Arial"/>
          <w:sz w:val="24"/>
          <w:szCs w:val="24"/>
          <w:rtl/>
        </w:rPr>
        <w:t xml:space="preserve">تنفيذ القرارات في المواعيد المحددة.</w:t>
      </w:r>
    </w:p>
    <w:p>
      <w:pPr>
        <w:pStyle w:val="ListParagraph"/>
        <w:numPr>
          <w:ilvl w:val="0"/>
          <w:numId w:val="2"/>
        </w:numPr>
        <w:bidi/>
        <w:spacing w:after="100" w:line="300"/>
        <w:jc w:val="right"/>
      </w:pPr>
      <w:r>
        <w:rPr>
          <w:rFonts w:ascii="Arial" w:cs="Arial" w:eastAsia="Arial" w:hAnsi="Arial"/>
          <w:sz w:val="24"/>
          <w:szCs w:val="24"/>
          <w:rtl/>
        </w:rPr>
        <w:t xml:space="preserve">تحديث السجلات الرسمية (الشركة، وزارة التجارة، إيداع).</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الإطار القانوني للجمعيات العمومية في المملكة العربية السعودية منظومة متكاملة ومتطورة، تجمع بين الأصول الراسخة للنظام السعودي والممارسات الدولية الحديثة. ومع نظام الشركات الجديد ولائحته التنفيذية، أصبحت هذه المنظومة أكثر مرونة وانفتاحاً على التقنيات الحديثة، مع الحفاظ على ضوابط صارمة لحماية حقوق المساهمين وسلامة الإجراءات.</w:t>
      </w:r>
    </w:p>
    <w:p>
      <w:pPr>
        <w:bidi/>
        <w:spacing w:after="140" w:line="320"/>
        <w:jc w:val="both"/>
      </w:pPr>
      <w:r>
        <w:rPr>
          <w:rFonts w:ascii="Arial" w:cs="Arial" w:eastAsia="Arial" w:hAnsi="Arial"/>
          <w:sz w:val="24"/>
          <w:szCs w:val="24"/>
          <w:rtl/>
        </w:rPr>
        <w:t xml:space="preserve">الإلمام بهذا الإطار القانوني ليس ترفاً معرفياً، بل ضرورة عملية لكل من يعمل في حوكمة الشركات. فأي إخلال بالأحكام النظامية قد يُؤدي إلى بطلان قرارات بالغة الأهمية، أو إلى نزاعات قضائية مكلفة، أو إلى مساءلة قانونية لأعضاء مجلس الإدارة. والشركات الرائدة تستثمر في تطوير كوادرها وأنظمتها لضمان الامتثال الكامل، بل وتجاوز الحد الأدنى من المتطلبات.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مصادر الإطار القانوني: نظام الشركات الجديد + لوائحه التنفيذية + لوائح هيئة السوق المالية + النظام الأساس للشركة. 2) الجهات التنظيمية: وزارة التجارة (للشركات غير المدرجة)، هيئة السوق المالية وتداول وإيداع (للمدرجة). 3) النصاب: العادية (ربع)، غير العادية (نصف)، مع آلية الاجتماعات الثاني والثالث. 4) الأغلبية: العادية (&gt;50%)، غير العادية (ثلثا)، الجوهرية (ثلاثة أرباع). 5) مهلة الدعوة 21 يوماً للشركات المدرجة. 6) التصويت الإلكتروني المسبق متاح لمدة لا تقل عن 3 أيام قبل الجمعية. 7) أي إخلال بالإجراءات قد يُفضي إلى بطلان القرارات.</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الصادر بالمرسوم الملكي رقم (م/132) - النافذ في 19 يناير 2023.</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(2023).</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الخاصة بشركات المساهمة المدرجة،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2"/>
        </w:numPr>
        <w:bidi/>
        <w:spacing w:after="100" w:line="300"/>
        <w:jc w:val="right"/>
      </w:pPr>
      <w:r>
        <w:rPr>
          <w:rFonts w:ascii="Arial" w:cs="Arial" w:eastAsia="Arial" w:hAnsi="Arial"/>
          <w:sz w:val="24"/>
          <w:szCs w:val="24"/>
          <w:rtl/>
        </w:rPr>
        <w:t xml:space="preserve">نظام السوق المالية ولوائحه التنفيذية.</w:t>
      </w:r>
    </w:p>
    <w:p>
      <w:pPr>
        <w:pStyle w:val="ListParagraph"/>
        <w:numPr>
          <w:ilvl w:val="0"/>
          <w:numId w:val="2"/>
        </w:numPr>
        <w:bidi/>
        <w:spacing w:after="100" w:line="300"/>
        <w:jc w:val="right"/>
      </w:pPr>
      <w:r>
        <w:rPr>
          <w:rFonts w:ascii="Arial" w:cs="Arial" w:eastAsia="Arial" w:hAnsi="Arial"/>
          <w:sz w:val="24"/>
          <w:szCs w:val="24"/>
          <w:rtl/>
        </w:rPr>
        <w:t xml:space="preserve">قواعد طرح الأوراق المالية والالتزامات المستمرة.</w:t>
      </w:r>
    </w:p>
    <w:p>
      <w:pPr>
        <w:pStyle w:val="ListParagraph"/>
        <w:numPr>
          <w:ilvl w:val="0"/>
          <w:numId w:val="2"/>
        </w:numPr>
        <w:bidi/>
        <w:spacing w:after="100" w:line="300"/>
        <w:jc w:val="right"/>
      </w:pPr>
      <w:r>
        <w:rPr>
          <w:rFonts w:ascii="Arial" w:cs="Arial" w:eastAsia="Arial" w:hAnsi="Arial"/>
          <w:sz w:val="24"/>
          <w:szCs w:val="24"/>
          <w:rtl/>
        </w:rPr>
        <w:t xml:space="preserve">مبادئ منظمة التعاون الاقتصادي والتنمية لحوكمة الشركات (OECD).</w:t>
      </w:r>
    </w:p>
    <w:p>
      <w:pPr>
        <w:pStyle w:val="ListParagraph"/>
        <w:numPr>
          <w:ilvl w:val="0"/>
          <w:numId w:val="2"/>
        </w:numPr>
        <w:bidi/>
        <w:spacing w:after="100" w:line="300"/>
        <w:jc w:val="right"/>
      </w:pPr>
      <w:r>
        <w:rPr>
          <w:rFonts w:ascii="Arial" w:cs="Arial" w:eastAsia="Arial" w:hAnsi="Arial"/>
          <w:sz w:val="24"/>
          <w:szCs w:val="24"/>
          <w:rtl/>
        </w:rPr>
        <w:t xml:space="preserve">الموقع الرسمي لمنصة "تداول" - saudiexchange.sa</w:t>
      </w:r>
    </w:p>
    <w:p>
      <w:pPr>
        <w:pStyle w:val="ListParagraph"/>
        <w:numPr>
          <w:ilvl w:val="0"/>
          <w:numId w:val="2"/>
        </w:numPr>
        <w:bidi/>
        <w:spacing w:after="100" w:line="300"/>
        <w:jc w:val="right"/>
      </w:pPr>
      <w:r>
        <w:rPr>
          <w:rFonts w:ascii="Arial" w:cs="Arial" w:eastAsia="Arial" w:hAnsi="Arial"/>
          <w:sz w:val="24"/>
          <w:szCs w:val="24"/>
          <w:rtl/>
        </w:rPr>
        <w:t xml:space="preserve">الموقع الرسمي لشركة مركز إيداع الأوراق المالية (إيداع).</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الإطار القانوني للجمعيات العمومية | المحور الثاني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الإطار القانوني للجمعيات العمومية</dc:title>
  <dc:creator>Corporate Governance Knowledge Base</dc:creator>
  <cp:lastModifiedBy>Un-named</cp:lastModifiedBy>
  <cp:revision>1</cp:revision>
  <dcterms:created xsi:type="dcterms:W3CDTF">2026-05-16T08:06:13.189Z</dcterms:created>
  <dcterms:modified xsi:type="dcterms:W3CDTF">2026-05-16T08:06:13.189Z</dcterms:modified>
</cp:coreProperties>
</file>

<file path=docProps/custom.xml><?xml version="1.0" encoding="utf-8"?>
<Properties xmlns="http://schemas.openxmlformats.org/officeDocument/2006/custom-properties" xmlns:vt="http://schemas.openxmlformats.org/officeDocument/2006/docPropsVTypes"/>
</file>