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التخطيط للجمعية العمومية</w:t>
      </w:r>
    </w:p>
    <w:p>
      <w:pPr>
        <w:bidi/>
        <w:spacing w:after="400"/>
        <w:jc w:val="center"/>
      </w:pPr>
      <w:r>
        <w:rPr>
          <w:rFonts w:ascii="Arial" w:cs="Arial" w:eastAsia="Arial" w:hAnsi="Arial"/>
          <w:i/>
          <w:iCs/>
          <w:color w:val="2E75B6"/>
          <w:sz w:val="26"/>
          <w:szCs w:val="26"/>
          <w:rtl/>
        </w:rPr>
        <w:t xml:space="preserve">الإعداد المسبق، الجدول الزمني، وتنسيق الأطراف لضمان جمعية ناجحة</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يُقال إن "النجاح يبدأ من التخطيط"، وهذا ينطبق تماماً على الجمعيات العمومية. فالجمعية الناجحة ليست وليدة الصدفة أو الارتجال، بل ثمرة تخطيط دقيق ومتكامل يبدأ قبل الجمعية بأسابيع أو حتى أشهر. والتخطيط الجيد هو الذي يحول الجمعية من إجراء روتيني مرهق، إلى لحظة استراتيجية فاصلة في حياة الشركة، تُعزز ثقة المساهمين وتدفع الشركة نحو أهدافها.</w:t>
      </w:r>
    </w:p>
    <w:p>
      <w:pPr>
        <w:bidi/>
        <w:spacing w:after="140" w:line="320"/>
        <w:jc w:val="both"/>
      </w:pPr>
      <w:r>
        <w:rPr>
          <w:rFonts w:ascii="Arial" w:cs="Arial" w:eastAsia="Arial" w:hAnsi="Arial"/>
          <w:sz w:val="24"/>
          <w:szCs w:val="24"/>
          <w:rtl/>
        </w:rPr>
        <w:t xml:space="preserve">التخطيط للجمعية يتجاوز مجرد إعداد قائمة بمتطلبات اللحظة الأخيرة، إذ يشمل: تحديد التوقيت الاستراتيجي، إعداد جدول الأعمال بعناية، تنسيق الجهود بين الأطراف المتعددة، إدارة المخاطر المحتملة، التحضير للسيناريوهات المختلفة، وضمان جاهزية البنية التحتية اللوجستية والتقنية. كل هذا يجب أن يتم في إطار زمني محدد ومنهجي.</w:t>
      </w:r>
    </w:p>
    <w:p>
      <w:pPr>
        <w:bidi/>
        <w:spacing w:after="140" w:line="320"/>
        <w:jc w:val="both"/>
      </w:pPr>
      <w:r>
        <w:rPr>
          <w:rFonts w:ascii="Arial" w:cs="Arial" w:eastAsia="Arial" w:hAnsi="Arial"/>
          <w:sz w:val="24"/>
          <w:szCs w:val="24"/>
          <w:rtl/>
        </w:rPr>
        <w:t xml:space="preserve">في هذا المقال، نستعرض المنهجية العملية للتخطيط للجمعيات العمومية، من اللحظة التي يقرر فيها مجلس الإدارة الدعوة، إلى اللحظة التي تبدأ فيها الجمعية فعلياً. ونقدم جداول زمنية تفصيلية، قوائم مراجعة، وأدوات عملية يمكن تطبيقها مباشرة.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المبادئ الأساسية للتخطيط الناجح</w:t>
      </w:r>
    </w:p>
    <w:p>
      <w:pPr>
        <w:bidi/>
        <w:spacing w:after="140" w:line="320"/>
        <w:jc w:val="both"/>
      </w:pPr>
      <w:r>
        <w:rPr>
          <w:rFonts w:ascii="Arial" w:cs="Arial" w:eastAsia="Arial" w:hAnsi="Arial"/>
          <w:sz w:val="24"/>
          <w:szCs w:val="24"/>
          <w:rtl/>
        </w:rPr>
        <w:t xml:space="preserve">قبل الدخول في تفاصيل الإجراءات، من المهم استيعاب المبادئ التي تحكم التخطيط الفعّال للجمعيات:</w:t>
      </w:r>
    </w:p>
    <w:p>
      <w:pPr>
        <w:pStyle w:val="Heading2"/>
        <w:bidi/>
        <w:spacing w:after="160" w:before="280"/>
        <w:jc w:val="right"/>
      </w:pPr>
      <w:r>
        <w:rPr>
          <w:rFonts w:ascii="Arial" w:cs="Arial" w:eastAsia="Arial" w:hAnsi="Arial"/>
          <w:b/>
          <w:bCs/>
          <w:color w:val="2E75B6"/>
          <w:sz w:val="30"/>
          <w:szCs w:val="30"/>
          <w:rtl/>
        </w:rPr>
        <w:t xml:space="preserve">1. مبدأ التخطيط المبكر</w:t>
      </w:r>
    </w:p>
    <w:p>
      <w:pPr>
        <w:bidi/>
        <w:spacing w:after="140" w:line="320"/>
        <w:jc w:val="both"/>
      </w:pPr>
      <w:r>
        <w:rPr>
          <w:rFonts w:ascii="Arial" w:cs="Arial" w:eastAsia="Arial" w:hAnsi="Arial"/>
          <w:sz w:val="24"/>
          <w:szCs w:val="24"/>
          <w:rtl/>
        </w:rPr>
        <w:t xml:space="preserve">ابدأ التخطيط قبل الجمعية بفترة كافية. للشركات المدرجة، ينصح بالبدء قبل الجمعية بـ 8-12 أسبوعاً. وللجمعيات السنوية، يُفضّل البدء فور انتهاء السنة المالية. التخطيط المبكر يُتيح:</w:t>
      </w:r>
    </w:p>
    <w:p>
      <w:pPr>
        <w:pStyle w:val="ListParagraph"/>
        <w:numPr>
          <w:ilvl w:val="0"/>
          <w:numId w:val="2"/>
        </w:numPr>
        <w:bidi/>
        <w:spacing w:after="100" w:line="300"/>
        <w:jc w:val="right"/>
      </w:pPr>
      <w:r>
        <w:rPr>
          <w:rFonts w:ascii="Arial" w:cs="Arial" w:eastAsia="Arial" w:hAnsi="Arial"/>
          <w:sz w:val="24"/>
          <w:szCs w:val="24"/>
          <w:rtl/>
        </w:rPr>
        <w:t xml:space="preserve">الوقت الكافي للتحضير الشامل.</w:t>
      </w:r>
    </w:p>
    <w:p>
      <w:pPr>
        <w:pStyle w:val="ListParagraph"/>
        <w:numPr>
          <w:ilvl w:val="0"/>
          <w:numId w:val="2"/>
        </w:numPr>
        <w:bidi/>
        <w:spacing w:after="100" w:line="300"/>
        <w:jc w:val="right"/>
      </w:pPr>
      <w:r>
        <w:rPr>
          <w:rFonts w:ascii="Arial" w:cs="Arial" w:eastAsia="Arial" w:hAnsi="Arial"/>
          <w:sz w:val="24"/>
          <w:szCs w:val="24"/>
          <w:rtl/>
        </w:rPr>
        <w:t xml:space="preserve">التعامل مع المفاجآت دون ضغط.</w:t>
      </w:r>
    </w:p>
    <w:p>
      <w:pPr>
        <w:pStyle w:val="ListParagraph"/>
        <w:numPr>
          <w:ilvl w:val="0"/>
          <w:numId w:val="2"/>
        </w:numPr>
        <w:bidi/>
        <w:spacing w:after="100" w:line="300"/>
        <w:jc w:val="right"/>
      </w:pPr>
      <w:r>
        <w:rPr>
          <w:rFonts w:ascii="Arial" w:cs="Arial" w:eastAsia="Arial" w:hAnsi="Arial"/>
          <w:sz w:val="24"/>
          <w:szCs w:val="24"/>
          <w:rtl/>
        </w:rPr>
        <w:t xml:space="preserve">المراجعة المتعددة للوثائق.</w:t>
      </w:r>
    </w:p>
    <w:p>
      <w:pPr>
        <w:pStyle w:val="ListParagraph"/>
        <w:numPr>
          <w:ilvl w:val="0"/>
          <w:numId w:val="2"/>
        </w:numPr>
        <w:bidi/>
        <w:spacing w:after="100" w:line="300"/>
        <w:jc w:val="right"/>
      </w:pPr>
      <w:r>
        <w:rPr>
          <w:rFonts w:ascii="Arial" w:cs="Arial" w:eastAsia="Arial" w:hAnsi="Arial"/>
          <w:sz w:val="24"/>
          <w:szCs w:val="24"/>
          <w:rtl/>
        </w:rPr>
        <w:t xml:space="preserve">التنسيق المريح مع جميع الأطراف.</w:t>
      </w:r>
    </w:p>
    <w:p>
      <w:pPr>
        <w:pStyle w:val="Heading2"/>
        <w:bidi/>
        <w:spacing w:after="160" w:before="280"/>
        <w:jc w:val="right"/>
      </w:pPr>
      <w:r>
        <w:rPr>
          <w:rFonts w:ascii="Arial" w:cs="Arial" w:eastAsia="Arial" w:hAnsi="Arial"/>
          <w:b/>
          <w:bCs/>
          <w:color w:val="2E75B6"/>
          <w:sz w:val="30"/>
          <w:szCs w:val="30"/>
          <w:rtl/>
        </w:rPr>
        <w:t xml:space="preserve">2. مبدأ الشمولية</w:t>
      </w:r>
    </w:p>
    <w:p>
      <w:pPr>
        <w:bidi/>
        <w:spacing w:after="140" w:line="320"/>
        <w:jc w:val="both"/>
      </w:pPr>
      <w:r>
        <w:rPr>
          <w:rFonts w:ascii="Arial" w:cs="Arial" w:eastAsia="Arial" w:hAnsi="Arial"/>
          <w:sz w:val="24"/>
          <w:szCs w:val="24"/>
          <w:rtl/>
        </w:rPr>
        <w:t xml:space="preserve">التخطيط يجب أن يُغطي جميع جوانب الجمعية: القانوني، التشغيلي، التقني، المالي، التواصلي، اللوجستي. أي جانب مُهمل قد يُؤدي إلى مشاكل في يوم الجمعية.</w:t>
      </w:r>
    </w:p>
    <w:p>
      <w:pPr>
        <w:pStyle w:val="Heading2"/>
        <w:bidi/>
        <w:spacing w:after="160" w:before="280"/>
        <w:jc w:val="right"/>
      </w:pPr>
      <w:r>
        <w:rPr>
          <w:rFonts w:ascii="Arial" w:cs="Arial" w:eastAsia="Arial" w:hAnsi="Arial"/>
          <w:b/>
          <w:bCs/>
          <w:color w:val="2E75B6"/>
          <w:sz w:val="30"/>
          <w:szCs w:val="30"/>
          <w:rtl/>
        </w:rPr>
        <w:t xml:space="preserve">3. مبدأ التنسيق</w:t>
      </w:r>
    </w:p>
    <w:p>
      <w:pPr>
        <w:bidi/>
        <w:spacing w:after="140" w:line="320"/>
        <w:jc w:val="both"/>
      </w:pPr>
      <w:r>
        <w:rPr>
          <w:rFonts w:ascii="Arial" w:cs="Arial" w:eastAsia="Arial" w:hAnsi="Arial"/>
          <w:sz w:val="24"/>
          <w:szCs w:val="24"/>
          <w:rtl/>
        </w:rPr>
        <w:t xml:space="preserve">الجمعية تتطلب تنسيقاً بين أطراف متعددة: مجلس الإدارة، الإدارة التنفيذية، أمين السر، مراجع الحسابات، الشركات المتعاقد معها، الجهات التنظيمية، المساهمون. التنسيق الفعّال هو مفتاح النجاح.</w:t>
      </w:r>
    </w:p>
    <w:p>
      <w:pPr>
        <w:pStyle w:val="Heading2"/>
        <w:bidi/>
        <w:spacing w:after="160" w:before="280"/>
        <w:jc w:val="right"/>
      </w:pPr>
      <w:r>
        <w:rPr>
          <w:rFonts w:ascii="Arial" w:cs="Arial" w:eastAsia="Arial" w:hAnsi="Arial"/>
          <w:b/>
          <w:bCs/>
          <w:color w:val="2E75B6"/>
          <w:sz w:val="30"/>
          <w:szCs w:val="30"/>
          <w:rtl/>
        </w:rPr>
        <w:t xml:space="preserve">4. مبدأ المرونة</w:t>
      </w:r>
    </w:p>
    <w:p>
      <w:pPr>
        <w:bidi/>
        <w:spacing w:after="140" w:line="320"/>
        <w:jc w:val="both"/>
      </w:pPr>
      <w:r>
        <w:rPr>
          <w:rFonts w:ascii="Arial" w:cs="Arial" w:eastAsia="Arial" w:hAnsi="Arial"/>
          <w:sz w:val="24"/>
          <w:szCs w:val="24"/>
          <w:rtl/>
        </w:rPr>
        <w:t xml:space="preserve">رغم التخطيط الدقيق، يجب أن تكون الخطة مرنة بما يكفي للتعامل مع التغييرات والظروف الطارئة. وضع خطط بديلة وسيناريوهات احتياطية أمر ضروري.</w:t>
      </w:r>
    </w:p>
    <w:p>
      <w:pPr>
        <w:pStyle w:val="Heading2"/>
        <w:bidi/>
        <w:spacing w:after="160" w:before="280"/>
        <w:jc w:val="right"/>
      </w:pPr>
      <w:r>
        <w:rPr>
          <w:rFonts w:ascii="Arial" w:cs="Arial" w:eastAsia="Arial" w:hAnsi="Arial"/>
          <w:b/>
          <w:bCs/>
          <w:color w:val="2E75B6"/>
          <w:sz w:val="30"/>
          <w:szCs w:val="30"/>
          <w:rtl/>
        </w:rPr>
        <w:t xml:space="preserve">5. مبدأ التوثيق</w:t>
      </w:r>
    </w:p>
    <w:p>
      <w:pPr>
        <w:bidi/>
        <w:spacing w:after="140" w:line="320"/>
        <w:jc w:val="both"/>
      </w:pPr>
      <w:r>
        <w:rPr>
          <w:rFonts w:ascii="Arial" w:cs="Arial" w:eastAsia="Arial" w:hAnsi="Arial"/>
          <w:sz w:val="24"/>
          <w:szCs w:val="24"/>
          <w:rtl/>
        </w:rPr>
        <w:t xml:space="preserve">كل خطوة في التخطيط يجب أن تُوثّق بدقة. التوثيق ليس بيروقراطية، بل أداة لـ:</w:t>
      </w:r>
    </w:p>
    <w:p>
      <w:pPr>
        <w:pStyle w:val="ListParagraph"/>
        <w:numPr>
          <w:ilvl w:val="0"/>
          <w:numId w:val="2"/>
        </w:numPr>
        <w:bidi/>
        <w:spacing w:after="100" w:line="300"/>
        <w:jc w:val="right"/>
      </w:pPr>
      <w:r>
        <w:rPr>
          <w:rFonts w:ascii="Arial" w:cs="Arial" w:eastAsia="Arial" w:hAnsi="Arial"/>
          <w:sz w:val="24"/>
          <w:szCs w:val="24"/>
          <w:rtl/>
        </w:rPr>
        <w:t xml:space="preserve">ضمان عدم نسيان أي مهمة.</w:t>
      </w:r>
    </w:p>
    <w:p>
      <w:pPr>
        <w:pStyle w:val="ListParagraph"/>
        <w:numPr>
          <w:ilvl w:val="0"/>
          <w:numId w:val="2"/>
        </w:numPr>
        <w:bidi/>
        <w:spacing w:after="100" w:line="300"/>
        <w:jc w:val="right"/>
      </w:pPr>
      <w:r>
        <w:rPr>
          <w:rFonts w:ascii="Arial" w:cs="Arial" w:eastAsia="Arial" w:hAnsi="Arial"/>
          <w:sz w:val="24"/>
          <w:szCs w:val="24"/>
          <w:rtl/>
        </w:rPr>
        <w:t xml:space="preserve">تتبع التقدم في التنفيذ.</w:t>
      </w:r>
    </w:p>
    <w:p>
      <w:pPr>
        <w:pStyle w:val="ListParagraph"/>
        <w:numPr>
          <w:ilvl w:val="0"/>
          <w:numId w:val="2"/>
        </w:numPr>
        <w:bidi/>
        <w:spacing w:after="100" w:line="300"/>
        <w:jc w:val="right"/>
      </w:pPr>
      <w:r>
        <w:rPr>
          <w:rFonts w:ascii="Arial" w:cs="Arial" w:eastAsia="Arial" w:hAnsi="Arial"/>
          <w:sz w:val="24"/>
          <w:szCs w:val="24"/>
          <w:rtl/>
        </w:rPr>
        <w:t xml:space="preserve">التحقق من إكمال جميع المتطلبات.</w:t>
      </w:r>
    </w:p>
    <w:p>
      <w:pPr>
        <w:pStyle w:val="ListParagraph"/>
        <w:numPr>
          <w:ilvl w:val="0"/>
          <w:numId w:val="2"/>
        </w:numPr>
        <w:bidi/>
        <w:spacing w:after="100" w:line="300"/>
        <w:jc w:val="right"/>
      </w:pPr>
      <w:r>
        <w:rPr>
          <w:rFonts w:ascii="Arial" w:cs="Arial" w:eastAsia="Arial" w:hAnsi="Arial"/>
          <w:sz w:val="24"/>
          <w:szCs w:val="24"/>
          <w:rtl/>
        </w:rPr>
        <w:t xml:space="preserve">الاستفادة من الدروس للجمعيات القادمة.</w:t>
      </w:r>
    </w:p>
    <w:p>
      <w:pPr>
        <w:pStyle w:val="Heading2"/>
        <w:bidi/>
        <w:spacing w:after="160" w:before="280"/>
        <w:jc w:val="right"/>
      </w:pPr>
      <w:r>
        <w:rPr>
          <w:rFonts w:ascii="Arial" w:cs="Arial" w:eastAsia="Arial" w:hAnsi="Arial"/>
          <w:b/>
          <w:bCs/>
          <w:color w:val="2E75B6"/>
          <w:sz w:val="30"/>
          <w:szCs w:val="30"/>
          <w:rtl/>
        </w:rPr>
        <w:t xml:space="preserve">6. مبدأ التواصل المستمر</w:t>
      </w:r>
    </w:p>
    <w:p>
      <w:pPr>
        <w:bidi/>
        <w:spacing w:after="140" w:line="320"/>
        <w:jc w:val="both"/>
      </w:pPr>
      <w:r>
        <w:rPr>
          <w:rFonts w:ascii="Arial" w:cs="Arial" w:eastAsia="Arial" w:hAnsi="Arial"/>
          <w:sz w:val="24"/>
          <w:szCs w:val="24"/>
          <w:rtl/>
        </w:rPr>
        <w:t xml:space="preserve">التواصل المستمر بين جميع أعضاء فريق التخطيط ضروري لضمان السير الموحد، واكتشاف المشاكل مبكراً، والاستجابة السريعة للتحديات.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محورية</w:t>
            </w:r>
          </w:p>
          <w:p>
            <w:pPr>
              <w:bidi/>
              <w:spacing w:line="300"/>
              <w:jc w:val="both"/>
            </w:pPr>
            <w:r>
              <w:rPr>
                <w:rFonts w:ascii="Arial" w:cs="Arial" w:eastAsia="Arial" w:hAnsi="Arial"/>
                <w:sz w:val="24"/>
                <w:szCs w:val="24"/>
                <w:rtl/>
              </w:rPr>
              <w:t xml:space="preserve">الفرق بين الشركات الرائدة والشركات العادية في إدارة الجمعيات ليس في الإمكانات أو الميزانية، بل في جودة التخطيط. الشركات الرائدة تنظر إلى الجمعية كحدث استراتيجي، وتُخصص له فريقاً متفرغاً، وتُطبّق منهجية إدارة المشاريع بكامل صرامتها. وهذا الاستثمار في التخطيط يُؤتي ثماره في صورة جمعيات ناجحة، شفافة، ومُعزّزة لثقة المساهمين.</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الإطار الزمني للتخطيط (Timeline)</w:t>
      </w:r>
    </w:p>
    <w:p>
      <w:pPr>
        <w:bidi/>
        <w:spacing w:after="140" w:line="320"/>
        <w:jc w:val="both"/>
      </w:pPr>
      <w:r>
        <w:rPr>
          <w:rFonts w:ascii="Arial" w:cs="Arial" w:eastAsia="Arial" w:hAnsi="Arial"/>
          <w:sz w:val="24"/>
          <w:szCs w:val="24"/>
          <w:rtl/>
        </w:rPr>
        <w:t xml:space="preserve">نقدم هنا إطاراً زمنياً نموذجياً للتخطيط للجمعية العامة السنوية في شركة مدرجة. يمكن تكييفه حسب طبيعة الشركة وحجمها ونوع الجمعية:</w:t>
      </w:r>
    </w:p>
    <w:p>
      <w:pPr>
        <w:pStyle w:val="Heading2"/>
        <w:bidi/>
        <w:spacing w:after="160" w:before="280"/>
        <w:jc w:val="right"/>
      </w:pPr>
      <w:r>
        <w:rPr>
          <w:rFonts w:ascii="Arial" w:cs="Arial" w:eastAsia="Arial" w:hAnsi="Arial"/>
          <w:b/>
          <w:bCs/>
          <w:color w:val="2E75B6"/>
          <w:sz w:val="30"/>
          <w:szCs w:val="30"/>
          <w:rtl/>
        </w:rPr>
        <w:t xml:space="preserve">المرحلة 1: التحضير الأولي (قبل الجمعية بـ 10-12 أسبوعاً)</w:t>
      </w:r>
    </w:p>
    <w:p>
      <w:pPr>
        <w:pStyle w:val="Heading3"/>
        <w:bidi/>
        <w:spacing w:after="120" w:before="200"/>
        <w:jc w:val="right"/>
      </w:pPr>
      <w:r>
        <w:rPr>
          <w:rFonts w:ascii="Arial" w:cs="Arial" w:eastAsia="Arial" w:hAnsi="Arial"/>
          <w:b/>
          <w:bCs/>
          <w:color w:val="1F4E79"/>
          <w:sz w:val="26"/>
          <w:szCs w:val="26"/>
          <w:rtl/>
        </w:rPr>
        <w:t xml:space="preserve">الأهداف</w:t>
      </w:r>
    </w:p>
    <w:p>
      <w:pPr>
        <w:pStyle w:val="ListParagraph"/>
        <w:numPr>
          <w:ilvl w:val="0"/>
          <w:numId w:val="2"/>
        </w:numPr>
        <w:bidi/>
        <w:spacing w:after="100" w:line="300"/>
        <w:jc w:val="right"/>
      </w:pPr>
      <w:r>
        <w:rPr>
          <w:rFonts w:ascii="Arial" w:cs="Arial" w:eastAsia="Arial" w:hAnsi="Arial"/>
          <w:sz w:val="24"/>
          <w:szCs w:val="24"/>
          <w:rtl/>
        </w:rPr>
        <w:t xml:space="preserve">تحديد الإطار العام للجمعية.</w:t>
      </w:r>
    </w:p>
    <w:p>
      <w:pPr>
        <w:pStyle w:val="ListParagraph"/>
        <w:numPr>
          <w:ilvl w:val="0"/>
          <w:numId w:val="2"/>
        </w:numPr>
        <w:bidi/>
        <w:spacing w:after="100" w:line="300"/>
        <w:jc w:val="right"/>
      </w:pPr>
      <w:r>
        <w:rPr>
          <w:rFonts w:ascii="Arial" w:cs="Arial" w:eastAsia="Arial" w:hAnsi="Arial"/>
          <w:sz w:val="24"/>
          <w:szCs w:val="24"/>
          <w:rtl/>
        </w:rPr>
        <w:t xml:space="preserve">تشكيل فريق التخطيط.</w:t>
      </w:r>
    </w:p>
    <w:p>
      <w:pPr>
        <w:pStyle w:val="ListParagraph"/>
        <w:numPr>
          <w:ilvl w:val="0"/>
          <w:numId w:val="2"/>
        </w:numPr>
        <w:bidi/>
        <w:spacing w:after="100" w:line="300"/>
        <w:jc w:val="right"/>
      </w:pPr>
      <w:r>
        <w:rPr>
          <w:rFonts w:ascii="Arial" w:cs="Arial" w:eastAsia="Arial" w:hAnsi="Arial"/>
          <w:sz w:val="24"/>
          <w:szCs w:val="24"/>
          <w:rtl/>
        </w:rPr>
        <w:t xml:space="preserve">جمع المعلومات الأساسية.</w:t>
      </w:r>
    </w:p>
    <w:p>
      <w:pPr>
        <w:pStyle w:val="Heading3"/>
        <w:bidi/>
        <w:spacing w:after="120" w:before="200"/>
        <w:jc w:val="right"/>
      </w:pPr>
      <w:r>
        <w:rPr>
          <w:rFonts w:ascii="Arial" w:cs="Arial" w:eastAsia="Arial" w:hAnsi="Arial"/>
          <w:b/>
          <w:bCs/>
          <w:color w:val="1F4E79"/>
          <w:sz w:val="26"/>
          <w:szCs w:val="26"/>
          <w:rtl/>
        </w:rPr>
        <w:t xml:space="preserve">الأنشطة الرئيسية</w:t>
      </w:r>
    </w:p>
    <w:p>
      <w:pPr>
        <w:pStyle w:val="ListParagraph"/>
        <w:numPr>
          <w:ilvl w:val="0"/>
          <w:numId w:val="3"/>
        </w:numPr>
        <w:bidi/>
        <w:spacing w:after="100" w:line="300"/>
        <w:jc w:val="right"/>
      </w:pPr>
      <w:r>
        <w:rPr>
          <w:rFonts w:ascii="Arial" w:cs="Arial" w:eastAsia="Arial" w:hAnsi="Arial"/>
          <w:sz w:val="24"/>
          <w:szCs w:val="24"/>
          <w:rtl/>
        </w:rPr>
        <w:t xml:space="preserve">اجتماع تمهيدي لمجلس الإدارة للنقاش الأولي حول الجمعية.</w:t>
      </w:r>
    </w:p>
    <w:p>
      <w:pPr>
        <w:pStyle w:val="ListParagraph"/>
        <w:numPr>
          <w:ilvl w:val="0"/>
          <w:numId w:val="3"/>
        </w:numPr>
        <w:bidi/>
        <w:spacing w:after="100" w:line="300"/>
        <w:jc w:val="right"/>
      </w:pPr>
      <w:r>
        <w:rPr>
          <w:rFonts w:ascii="Arial" w:cs="Arial" w:eastAsia="Arial" w:hAnsi="Arial"/>
          <w:sz w:val="24"/>
          <w:szCs w:val="24"/>
          <w:rtl/>
        </w:rPr>
        <w:t xml:space="preserve">تحديد موعد الجمعية المبدئي (تأكد من توافقه مع التقويم النظامي).</w:t>
      </w:r>
    </w:p>
    <w:p>
      <w:pPr>
        <w:pStyle w:val="ListParagraph"/>
        <w:numPr>
          <w:ilvl w:val="0"/>
          <w:numId w:val="3"/>
        </w:numPr>
        <w:bidi/>
        <w:spacing w:after="100" w:line="300"/>
        <w:jc w:val="right"/>
      </w:pPr>
      <w:r>
        <w:rPr>
          <w:rFonts w:ascii="Arial" w:cs="Arial" w:eastAsia="Arial" w:hAnsi="Arial"/>
          <w:sz w:val="24"/>
          <w:szCs w:val="24"/>
          <w:rtl/>
        </w:rPr>
        <w:t xml:space="preserve">تشكيل فريق العمل الأساسي (أمين السر، علاقات المستثمرين، المالية، القانونية).</w:t>
      </w:r>
    </w:p>
    <w:p>
      <w:pPr>
        <w:pStyle w:val="ListParagraph"/>
        <w:numPr>
          <w:ilvl w:val="0"/>
          <w:numId w:val="3"/>
        </w:numPr>
        <w:bidi/>
        <w:spacing w:after="100" w:line="300"/>
        <w:jc w:val="right"/>
      </w:pPr>
      <w:r>
        <w:rPr>
          <w:rFonts w:ascii="Arial" w:cs="Arial" w:eastAsia="Arial" w:hAnsi="Arial"/>
          <w:sz w:val="24"/>
          <w:szCs w:val="24"/>
          <w:rtl/>
        </w:rPr>
        <w:t xml:space="preserve">جمع البيانات الأولية: عدد المساهمين، التوزيع الجغرافي، إلخ.</w:t>
      </w:r>
    </w:p>
    <w:p>
      <w:pPr>
        <w:pStyle w:val="ListParagraph"/>
        <w:numPr>
          <w:ilvl w:val="0"/>
          <w:numId w:val="3"/>
        </w:numPr>
        <w:bidi/>
        <w:spacing w:after="100" w:line="300"/>
        <w:jc w:val="right"/>
      </w:pPr>
      <w:r>
        <w:rPr>
          <w:rFonts w:ascii="Arial" w:cs="Arial" w:eastAsia="Arial" w:hAnsi="Arial"/>
          <w:sz w:val="24"/>
          <w:szCs w:val="24"/>
          <w:rtl/>
        </w:rPr>
        <w:t xml:space="preserve">مراجعة الجمعية السابقة: ما الذي نجح؟ ما الذي يحتاج لتحسين؟</w:t>
      </w:r>
    </w:p>
    <w:p>
      <w:pPr>
        <w:pStyle w:val="ListParagraph"/>
        <w:numPr>
          <w:ilvl w:val="0"/>
          <w:numId w:val="3"/>
        </w:numPr>
        <w:bidi/>
        <w:spacing w:after="100" w:line="300"/>
        <w:jc w:val="right"/>
      </w:pPr>
      <w:r>
        <w:rPr>
          <w:rFonts w:ascii="Arial" w:cs="Arial" w:eastAsia="Arial" w:hAnsi="Arial"/>
          <w:sz w:val="24"/>
          <w:szCs w:val="24"/>
          <w:rtl/>
        </w:rPr>
        <w:t xml:space="preserve">التنسيق المبدئي مع مراجع الحسابات لجدول مراجعته.</w:t>
      </w:r>
    </w:p>
    <w:p>
      <w:pPr>
        <w:pStyle w:val="ListParagraph"/>
        <w:numPr>
          <w:ilvl w:val="0"/>
          <w:numId w:val="3"/>
        </w:numPr>
        <w:bidi/>
        <w:spacing w:after="100" w:line="300"/>
        <w:jc w:val="right"/>
      </w:pPr>
      <w:r>
        <w:rPr>
          <w:rFonts w:ascii="Arial" w:cs="Arial" w:eastAsia="Arial" w:hAnsi="Arial"/>
          <w:sz w:val="24"/>
          <w:szCs w:val="24"/>
          <w:rtl/>
        </w:rPr>
        <w:t xml:space="preserve">استعراض الأنظمة واللوائح المُحدّثة.</w:t>
      </w:r>
    </w:p>
    <w:p>
      <w:pPr>
        <w:pStyle w:val="Heading2"/>
        <w:bidi/>
        <w:spacing w:after="160" w:before="280"/>
        <w:jc w:val="right"/>
      </w:pPr>
      <w:r>
        <w:rPr>
          <w:rFonts w:ascii="Arial" w:cs="Arial" w:eastAsia="Arial" w:hAnsi="Arial"/>
          <w:b/>
          <w:bCs/>
          <w:color w:val="2E75B6"/>
          <w:sz w:val="30"/>
          <w:szCs w:val="30"/>
          <w:rtl/>
        </w:rPr>
        <w:t xml:space="preserve">المرحلة 2: الإعداد المعمق (قبل الجمعية بـ 6-10 أسابيع)</w:t>
      </w:r>
    </w:p>
    <w:p>
      <w:pPr>
        <w:pStyle w:val="Heading3"/>
        <w:bidi/>
        <w:spacing w:after="120" w:before="200"/>
        <w:jc w:val="right"/>
      </w:pPr>
      <w:r>
        <w:rPr>
          <w:rFonts w:ascii="Arial" w:cs="Arial" w:eastAsia="Arial" w:hAnsi="Arial"/>
          <w:b/>
          <w:bCs/>
          <w:color w:val="1F4E79"/>
          <w:sz w:val="26"/>
          <w:szCs w:val="26"/>
          <w:rtl/>
        </w:rPr>
        <w:t xml:space="preserve">الأهداف</w:t>
      </w:r>
    </w:p>
    <w:p>
      <w:pPr>
        <w:pStyle w:val="ListParagraph"/>
        <w:numPr>
          <w:ilvl w:val="0"/>
          <w:numId w:val="2"/>
        </w:numPr>
        <w:bidi/>
        <w:spacing w:after="100" w:line="300"/>
        <w:jc w:val="right"/>
      </w:pPr>
      <w:r>
        <w:rPr>
          <w:rFonts w:ascii="Arial" w:cs="Arial" w:eastAsia="Arial" w:hAnsi="Arial"/>
          <w:sz w:val="24"/>
          <w:szCs w:val="24"/>
          <w:rtl/>
        </w:rPr>
        <w:t xml:space="preserve">صياغة جدول الأعمال.</w:t>
      </w:r>
    </w:p>
    <w:p>
      <w:pPr>
        <w:pStyle w:val="ListParagraph"/>
        <w:numPr>
          <w:ilvl w:val="0"/>
          <w:numId w:val="2"/>
        </w:numPr>
        <w:bidi/>
        <w:spacing w:after="100" w:line="300"/>
        <w:jc w:val="right"/>
      </w:pPr>
      <w:r>
        <w:rPr>
          <w:rFonts w:ascii="Arial" w:cs="Arial" w:eastAsia="Arial" w:hAnsi="Arial"/>
          <w:sz w:val="24"/>
          <w:szCs w:val="24"/>
          <w:rtl/>
        </w:rPr>
        <w:t xml:space="preserve">إعداد الوثائق الأساسية.</w:t>
      </w:r>
    </w:p>
    <w:p>
      <w:pPr>
        <w:pStyle w:val="ListParagraph"/>
        <w:numPr>
          <w:ilvl w:val="0"/>
          <w:numId w:val="2"/>
        </w:numPr>
        <w:bidi/>
        <w:spacing w:after="100" w:line="300"/>
        <w:jc w:val="right"/>
      </w:pPr>
      <w:r>
        <w:rPr>
          <w:rFonts w:ascii="Arial" w:cs="Arial" w:eastAsia="Arial" w:hAnsi="Arial"/>
          <w:sz w:val="24"/>
          <w:szCs w:val="24"/>
          <w:rtl/>
        </w:rPr>
        <w:t xml:space="preserve">التنسيق مع الأطراف الخارجية.</w:t>
      </w:r>
    </w:p>
    <w:p>
      <w:pPr>
        <w:pStyle w:val="Heading3"/>
        <w:bidi/>
        <w:spacing w:after="120" w:before="200"/>
        <w:jc w:val="right"/>
      </w:pPr>
      <w:r>
        <w:rPr>
          <w:rFonts w:ascii="Arial" w:cs="Arial" w:eastAsia="Arial" w:hAnsi="Arial"/>
          <w:b/>
          <w:bCs/>
          <w:color w:val="1F4E79"/>
          <w:sz w:val="26"/>
          <w:szCs w:val="26"/>
          <w:rtl/>
        </w:rPr>
        <w:t xml:space="preserve">الأنشطة الرئيسية</w:t>
      </w:r>
    </w:p>
    <w:p>
      <w:pPr>
        <w:pStyle w:val="ListParagraph"/>
        <w:numPr>
          <w:ilvl w:val="0"/>
          <w:numId w:val="3"/>
        </w:numPr>
        <w:bidi/>
        <w:spacing w:after="100" w:line="300"/>
        <w:jc w:val="right"/>
      </w:pPr>
      <w:r>
        <w:rPr>
          <w:rFonts w:ascii="Arial" w:cs="Arial" w:eastAsia="Arial" w:hAnsi="Arial"/>
          <w:sz w:val="24"/>
          <w:szCs w:val="24"/>
          <w:rtl/>
        </w:rPr>
        <w:t xml:space="preserve">صياغة جدول الأعمال الأولي وعرضه على المجلس.</w:t>
      </w:r>
    </w:p>
    <w:p>
      <w:pPr>
        <w:pStyle w:val="ListParagraph"/>
        <w:numPr>
          <w:ilvl w:val="0"/>
          <w:numId w:val="3"/>
        </w:numPr>
        <w:bidi/>
        <w:spacing w:after="100" w:line="300"/>
        <w:jc w:val="right"/>
      </w:pPr>
      <w:r>
        <w:rPr>
          <w:rFonts w:ascii="Arial" w:cs="Arial" w:eastAsia="Arial" w:hAnsi="Arial"/>
          <w:sz w:val="24"/>
          <w:szCs w:val="24"/>
          <w:rtl/>
        </w:rPr>
        <w:t xml:space="preserve">بدء إعداد التقرير السنوي لمجلس الإدارة.</w:t>
      </w:r>
    </w:p>
    <w:p>
      <w:pPr>
        <w:pStyle w:val="ListParagraph"/>
        <w:numPr>
          <w:ilvl w:val="0"/>
          <w:numId w:val="3"/>
        </w:numPr>
        <w:bidi/>
        <w:spacing w:after="100" w:line="300"/>
        <w:jc w:val="right"/>
      </w:pPr>
      <w:r>
        <w:rPr>
          <w:rFonts w:ascii="Arial" w:cs="Arial" w:eastAsia="Arial" w:hAnsi="Arial"/>
          <w:sz w:val="24"/>
          <w:szCs w:val="24"/>
          <w:rtl/>
        </w:rPr>
        <w:t xml:space="preserve">التنسيق مع مراجع الحسابات للقوائم المالية.</w:t>
      </w:r>
    </w:p>
    <w:p>
      <w:pPr>
        <w:pStyle w:val="ListParagraph"/>
        <w:numPr>
          <w:ilvl w:val="0"/>
          <w:numId w:val="3"/>
        </w:numPr>
        <w:bidi/>
        <w:spacing w:after="100" w:line="300"/>
        <w:jc w:val="right"/>
      </w:pPr>
      <w:r>
        <w:rPr>
          <w:rFonts w:ascii="Arial" w:cs="Arial" w:eastAsia="Arial" w:hAnsi="Arial"/>
          <w:sz w:val="24"/>
          <w:szCs w:val="24"/>
          <w:rtl/>
        </w:rPr>
        <w:t xml:space="preserve">صياغة القرارات المقترحة بشكل أولي.</w:t>
      </w:r>
    </w:p>
    <w:p>
      <w:pPr>
        <w:pStyle w:val="ListParagraph"/>
        <w:numPr>
          <w:ilvl w:val="0"/>
          <w:numId w:val="3"/>
        </w:numPr>
        <w:bidi/>
        <w:spacing w:after="100" w:line="300"/>
        <w:jc w:val="right"/>
      </w:pPr>
      <w:r>
        <w:rPr>
          <w:rFonts w:ascii="Arial" w:cs="Arial" w:eastAsia="Arial" w:hAnsi="Arial"/>
          <w:sz w:val="24"/>
          <w:szCs w:val="24"/>
          <w:rtl/>
        </w:rPr>
        <w:t xml:space="preserve">مراجعة استحقاق التوزيعات (إن وُجدت) وتوصياتها.</w:t>
      </w:r>
    </w:p>
    <w:p>
      <w:pPr>
        <w:pStyle w:val="ListParagraph"/>
        <w:numPr>
          <w:ilvl w:val="0"/>
          <w:numId w:val="3"/>
        </w:numPr>
        <w:bidi/>
        <w:spacing w:after="100" w:line="300"/>
        <w:jc w:val="right"/>
      </w:pPr>
      <w:r>
        <w:rPr>
          <w:rFonts w:ascii="Arial" w:cs="Arial" w:eastAsia="Arial" w:hAnsi="Arial"/>
          <w:sz w:val="24"/>
          <w:szCs w:val="24"/>
          <w:rtl/>
        </w:rPr>
        <w:t xml:space="preserve">إعداد ميزانية الجمعية والموارد المطلوبة.</w:t>
      </w:r>
    </w:p>
    <w:p>
      <w:pPr>
        <w:pStyle w:val="ListParagraph"/>
        <w:numPr>
          <w:ilvl w:val="0"/>
          <w:numId w:val="3"/>
        </w:numPr>
        <w:bidi/>
        <w:spacing w:after="100" w:line="300"/>
        <w:jc w:val="right"/>
      </w:pPr>
      <w:r>
        <w:rPr>
          <w:rFonts w:ascii="Arial" w:cs="Arial" w:eastAsia="Arial" w:hAnsi="Arial"/>
          <w:sz w:val="24"/>
          <w:szCs w:val="24"/>
          <w:rtl/>
        </w:rPr>
        <w:t xml:space="preserve">اختيار مكان الانعقاد (للجمعيات الجسدية).</w:t>
      </w:r>
    </w:p>
    <w:p>
      <w:pPr>
        <w:pStyle w:val="ListParagraph"/>
        <w:numPr>
          <w:ilvl w:val="0"/>
          <w:numId w:val="3"/>
        </w:numPr>
        <w:bidi/>
        <w:spacing w:after="100" w:line="300"/>
        <w:jc w:val="right"/>
      </w:pPr>
      <w:r>
        <w:rPr>
          <w:rFonts w:ascii="Arial" w:cs="Arial" w:eastAsia="Arial" w:hAnsi="Arial"/>
          <w:sz w:val="24"/>
          <w:szCs w:val="24"/>
          <w:rtl/>
        </w:rPr>
        <w:t xml:space="preserve">التنسيق مع موردي الخدمات (التقنية، الصوتيات، الترجمة).</w:t>
      </w:r>
    </w:p>
    <w:p>
      <w:pPr>
        <w:pStyle w:val="Heading2"/>
        <w:bidi/>
        <w:spacing w:after="160" w:before="280"/>
        <w:jc w:val="right"/>
      </w:pPr>
      <w:r>
        <w:rPr>
          <w:rFonts w:ascii="Arial" w:cs="Arial" w:eastAsia="Arial" w:hAnsi="Arial"/>
          <w:b/>
          <w:bCs/>
          <w:color w:val="2E75B6"/>
          <w:sz w:val="30"/>
          <w:szCs w:val="30"/>
          <w:rtl/>
        </w:rPr>
        <w:t xml:space="preserve">المرحلة 3: المراجعة والاعتماد (قبل الجمعية بـ 4-6 أسابيع)</w:t>
      </w:r>
    </w:p>
    <w:p>
      <w:pPr>
        <w:pStyle w:val="Heading3"/>
        <w:bidi/>
        <w:spacing w:after="120" w:before="200"/>
        <w:jc w:val="right"/>
      </w:pPr>
      <w:r>
        <w:rPr>
          <w:rFonts w:ascii="Arial" w:cs="Arial" w:eastAsia="Arial" w:hAnsi="Arial"/>
          <w:b/>
          <w:bCs/>
          <w:color w:val="1F4E79"/>
          <w:sz w:val="26"/>
          <w:szCs w:val="26"/>
          <w:rtl/>
        </w:rPr>
        <w:t xml:space="preserve">الأهداف</w:t>
      </w:r>
    </w:p>
    <w:p>
      <w:pPr>
        <w:pStyle w:val="ListParagraph"/>
        <w:numPr>
          <w:ilvl w:val="0"/>
          <w:numId w:val="2"/>
        </w:numPr>
        <w:bidi/>
        <w:spacing w:after="100" w:line="300"/>
        <w:jc w:val="right"/>
      </w:pPr>
      <w:r>
        <w:rPr>
          <w:rFonts w:ascii="Arial" w:cs="Arial" w:eastAsia="Arial" w:hAnsi="Arial"/>
          <w:sz w:val="24"/>
          <w:szCs w:val="24"/>
          <w:rtl/>
        </w:rPr>
        <w:t xml:space="preserve">استكمال الوثائق وإقرارها.</w:t>
      </w:r>
    </w:p>
    <w:p>
      <w:pPr>
        <w:pStyle w:val="ListParagraph"/>
        <w:numPr>
          <w:ilvl w:val="0"/>
          <w:numId w:val="2"/>
        </w:numPr>
        <w:bidi/>
        <w:spacing w:after="100" w:line="300"/>
        <w:jc w:val="right"/>
      </w:pPr>
      <w:r>
        <w:rPr>
          <w:rFonts w:ascii="Arial" w:cs="Arial" w:eastAsia="Arial" w:hAnsi="Arial"/>
          <w:sz w:val="24"/>
          <w:szCs w:val="24"/>
          <w:rtl/>
        </w:rPr>
        <w:t xml:space="preserve">التحقق من الامتثال القانوني.</w:t>
      </w:r>
    </w:p>
    <w:p>
      <w:pPr>
        <w:pStyle w:val="ListParagraph"/>
        <w:numPr>
          <w:ilvl w:val="0"/>
          <w:numId w:val="2"/>
        </w:numPr>
        <w:bidi/>
        <w:spacing w:after="100" w:line="300"/>
        <w:jc w:val="right"/>
      </w:pPr>
      <w:r>
        <w:rPr>
          <w:rFonts w:ascii="Arial" w:cs="Arial" w:eastAsia="Arial" w:hAnsi="Arial"/>
          <w:sz w:val="24"/>
          <w:szCs w:val="24"/>
          <w:rtl/>
        </w:rPr>
        <w:t xml:space="preserve">الموافقات الرسمية.</w:t>
      </w:r>
    </w:p>
    <w:p>
      <w:pPr>
        <w:pStyle w:val="Heading3"/>
        <w:bidi/>
        <w:spacing w:after="120" w:before="200"/>
        <w:jc w:val="right"/>
      </w:pPr>
      <w:r>
        <w:rPr>
          <w:rFonts w:ascii="Arial" w:cs="Arial" w:eastAsia="Arial" w:hAnsi="Arial"/>
          <w:b/>
          <w:bCs/>
          <w:color w:val="1F4E79"/>
          <w:sz w:val="26"/>
          <w:szCs w:val="26"/>
          <w:rtl/>
        </w:rPr>
        <w:t xml:space="preserve">الأنشطة الرئيسية</w:t>
      </w:r>
    </w:p>
    <w:p>
      <w:pPr>
        <w:pStyle w:val="ListParagraph"/>
        <w:numPr>
          <w:ilvl w:val="0"/>
          <w:numId w:val="3"/>
        </w:numPr>
        <w:bidi/>
        <w:spacing w:after="100" w:line="300"/>
        <w:jc w:val="right"/>
      </w:pPr>
      <w:r>
        <w:rPr>
          <w:rFonts w:ascii="Arial" w:cs="Arial" w:eastAsia="Arial" w:hAnsi="Arial"/>
          <w:sz w:val="24"/>
          <w:szCs w:val="24"/>
          <w:rtl/>
        </w:rPr>
        <w:t xml:space="preserve">اعتماد جدول الأعمال النهائي من مجلس الإدارة.</w:t>
      </w:r>
    </w:p>
    <w:p>
      <w:pPr>
        <w:pStyle w:val="ListParagraph"/>
        <w:numPr>
          <w:ilvl w:val="0"/>
          <w:numId w:val="3"/>
        </w:numPr>
        <w:bidi/>
        <w:spacing w:after="100" w:line="300"/>
        <w:jc w:val="right"/>
      </w:pPr>
      <w:r>
        <w:rPr>
          <w:rFonts w:ascii="Arial" w:cs="Arial" w:eastAsia="Arial" w:hAnsi="Arial"/>
          <w:sz w:val="24"/>
          <w:szCs w:val="24"/>
          <w:rtl/>
        </w:rPr>
        <w:t xml:space="preserve">اعتماد القوائم المالية المدققة.</w:t>
      </w:r>
    </w:p>
    <w:p>
      <w:pPr>
        <w:pStyle w:val="ListParagraph"/>
        <w:numPr>
          <w:ilvl w:val="0"/>
          <w:numId w:val="3"/>
        </w:numPr>
        <w:bidi/>
        <w:spacing w:after="100" w:line="300"/>
        <w:jc w:val="right"/>
      </w:pPr>
      <w:r>
        <w:rPr>
          <w:rFonts w:ascii="Arial" w:cs="Arial" w:eastAsia="Arial" w:hAnsi="Arial"/>
          <w:sz w:val="24"/>
          <w:szCs w:val="24"/>
          <w:rtl/>
        </w:rPr>
        <w:t xml:space="preserve">صياغة الدعوة بشكلها النهائي.</w:t>
      </w:r>
    </w:p>
    <w:p>
      <w:pPr>
        <w:pStyle w:val="ListParagraph"/>
        <w:numPr>
          <w:ilvl w:val="0"/>
          <w:numId w:val="3"/>
        </w:numPr>
        <w:bidi/>
        <w:spacing w:after="100" w:line="300"/>
        <w:jc w:val="right"/>
      </w:pPr>
      <w:r>
        <w:rPr>
          <w:rFonts w:ascii="Arial" w:cs="Arial" w:eastAsia="Arial" w:hAnsi="Arial"/>
          <w:sz w:val="24"/>
          <w:szCs w:val="24"/>
          <w:rtl/>
        </w:rPr>
        <w:t xml:space="preserve">مراجعة قانونية شاملة للوثائق.</w:t>
      </w:r>
    </w:p>
    <w:p>
      <w:pPr>
        <w:pStyle w:val="ListParagraph"/>
        <w:numPr>
          <w:ilvl w:val="0"/>
          <w:numId w:val="3"/>
        </w:numPr>
        <w:bidi/>
        <w:spacing w:after="100" w:line="300"/>
        <w:jc w:val="right"/>
      </w:pPr>
      <w:r>
        <w:rPr>
          <w:rFonts w:ascii="Arial" w:cs="Arial" w:eastAsia="Arial" w:hAnsi="Arial"/>
          <w:sz w:val="24"/>
          <w:szCs w:val="24"/>
          <w:rtl/>
        </w:rPr>
        <w:t xml:space="preserve">التنسيق مع الجهات التنظيمية (الإفصاح المسبق إن لزم).</w:t>
      </w:r>
    </w:p>
    <w:p>
      <w:pPr>
        <w:pStyle w:val="ListParagraph"/>
        <w:numPr>
          <w:ilvl w:val="0"/>
          <w:numId w:val="3"/>
        </w:numPr>
        <w:bidi/>
        <w:spacing w:after="100" w:line="300"/>
        <w:jc w:val="right"/>
      </w:pPr>
      <w:r>
        <w:rPr>
          <w:rFonts w:ascii="Arial" w:cs="Arial" w:eastAsia="Arial" w:hAnsi="Arial"/>
          <w:sz w:val="24"/>
          <w:szCs w:val="24"/>
          <w:rtl/>
        </w:rPr>
        <w:t xml:space="preserve">إعداد عرض تقديمي لمجلس الإدارة في الجمعية.</w:t>
      </w:r>
    </w:p>
    <w:p>
      <w:pPr>
        <w:pStyle w:val="ListParagraph"/>
        <w:numPr>
          <w:ilvl w:val="0"/>
          <w:numId w:val="3"/>
        </w:numPr>
        <w:bidi/>
        <w:spacing w:after="100" w:line="300"/>
        <w:jc w:val="right"/>
      </w:pPr>
      <w:r>
        <w:rPr>
          <w:rFonts w:ascii="Arial" w:cs="Arial" w:eastAsia="Arial" w:hAnsi="Arial"/>
          <w:sz w:val="24"/>
          <w:szCs w:val="24"/>
          <w:rtl/>
        </w:rPr>
        <w:t xml:space="preserve">اختبار الأنظمة التقنية (التصويت الإلكتروني، البث المباشر).</w:t>
      </w:r>
    </w:p>
    <w:p>
      <w:pPr>
        <w:pStyle w:val="ListParagraph"/>
        <w:numPr>
          <w:ilvl w:val="0"/>
          <w:numId w:val="3"/>
        </w:numPr>
        <w:bidi/>
        <w:spacing w:after="100" w:line="300"/>
        <w:jc w:val="right"/>
      </w:pPr>
      <w:r>
        <w:rPr>
          <w:rFonts w:ascii="Arial" w:cs="Arial" w:eastAsia="Arial" w:hAnsi="Arial"/>
          <w:sz w:val="24"/>
          <w:szCs w:val="24"/>
          <w:rtl/>
        </w:rPr>
        <w:t xml:space="preserve">تحضير سيناريوهات الأسئلة المحتملة وإجاباتها.</w:t>
      </w:r>
    </w:p>
    <w:p>
      <w:pPr>
        <w:pStyle w:val="Heading2"/>
        <w:bidi/>
        <w:spacing w:after="160" w:before="280"/>
        <w:jc w:val="right"/>
      </w:pPr>
      <w:r>
        <w:rPr>
          <w:rFonts w:ascii="Arial" w:cs="Arial" w:eastAsia="Arial" w:hAnsi="Arial"/>
          <w:b/>
          <w:bCs/>
          <w:color w:val="2E75B6"/>
          <w:sz w:val="30"/>
          <w:szCs w:val="30"/>
          <w:rtl/>
        </w:rPr>
        <w:t xml:space="preserve">المرحلة 4: الإعلان والتسويق (قبل الجمعية بـ 3 أسابيع)</w:t>
      </w:r>
    </w:p>
    <w:p>
      <w:pPr>
        <w:pStyle w:val="Heading3"/>
        <w:bidi/>
        <w:spacing w:after="120" w:before="200"/>
        <w:jc w:val="right"/>
      </w:pPr>
      <w:r>
        <w:rPr>
          <w:rFonts w:ascii="Arial" w:cs="Arial" w:eastAsia="Arial" w:hAnsi="Arial"/>
          <w:b/>
          <w:bCs/>
          <w:color w:val="1F4E79"/>
          <w:sz w:val="26"/>
          <w:szCs w:val="26"/>
          <w:rtl/>
        </w:rPr>
        <w:t xml:space="preserve">الأهداف</w:t>
      </w:r>
    </w:p>
    <w:p>
      <w:pPr>
        <w:pStyle w:val="ListParagraph"/>
        <w:numPr>
          <w:ilvl w:val="0"/>
          <w:numId w:val="2"/>
        </w:numPr>
        <w:bidi/>
        <w:spacing w:after="100" w:line="300"/>
        <w:jc w:val="right"/>
      </w:pPr>
      <w:r>
        <w:rPr>
          <w:rFonts w:ascii="Arial" w:cs="Arial" w:eastAsia="Arial" w:hAnsi="Arial"/>
          <w:sz w:val="24"/>
          <w:szCs w:val="24"/>
          <w:rtl/>
        </w:rPr>
        <w:t xml:space="preserve">إعلان الجمعية رسمياً.</w:t>
      </w:r>
    </w:p>
    <w:p>
      <w:pPr>
        <w:pStyle w:val="ListParagraph"/>
        <w:numPr>
          <w:ilvl w:val="0"/>
          <w:numId w:val="2"/>
        </w:numPr>
        <w:bidi/>
        <w:spacing w:after="100" w:line="300"/>
        <w:jc w:val="right"/>
      </w:pPr>
      <w:r>
        <w:rPr>
          <w:rFonts w:ascii="Arial" w:cs="Arial" w:eastAsia="Arial" w:hAnsi="Arial"/>
          <w:sz w:val="24"/>
          <w:szCs w:val="24"/>
          <w:rtl/>
        </w:rPr>
        <w:t xml:space="preserve">التواصل مع المساهمين.</w:t>
      </w:r>
    </w:p>
    <w:p>
      <w:pPr>
        <w:pStyle w:val="ListParagraph"/>
        <w:numPr>
          <w:ilvl w:val="0"/>
          <w:numId w:val="2"/>
        </w:numPr>
        <w:bidi/>
        <w:spacing w:after="100" w:line="300"/>
        <w:jc w:val="right"/>
      </w:pPr>
      <w:r>
        <w:rPr>
          <w:rFonts w:ascii="Arial" w:cs="Arial" w:eastAsia="Arial" w:hAnsi="Arial"/>
          <w:sz w:val="24"/>
          <w:szCs w:val="24"/>
          <w:rtl/>
        </w:rPr>
        <w:t xml:space="preserve">تيسير الحضور والمشاركة.</w:t>
      </w:r>
    </w:p>
    <w:p>
      <w:pPr>
        <w:pStyle w:val="Heading3"/>
        <w:bidi/>
        <w:spacing w:after="120" w:before="200"/>
        <w:jc w:val="right"/>
      </w:pPr>
      <w:r>
        <w:rPr>
          <w:rFonts w:ascii="Arial" w:cs="Arial" w:eastAsia="Arial" w:hAnsi="Arial"/>
          <w:b/>
          <w:bCs/>
          <w:color w:val="1F4E79"/>
          <w:sz w:val="26"/>
          <w:szCs w:val="26"/>
          <w:rtl/>
        </w:rPr>
        <w:t xml:space="preserve">الأنشطة الرئيسية</w:t>
      </w:r>
    </w:p>
    <w:p>
      <w:pPr>
        <w:pStyle w:val="ListParagraph"/>
        <w:numPr>
          <w:ilvl w:val="0"/>
          <w:numId w:val="3"/>
        </w:numPr>
        <w:bidi/>
        <w:spacing w:after="100" w:line="300"/>
        <w:jc w:val="right"/>
      </w:pPr>
      <w:r>
        <w:rPr>
          <w:rFonts w:ascii="Arial" w:cs="Arial" w:eastAsia="Arial" w:hAnsi="Arial"/>
          <w:sz w:val="24"/>
          <w:szCs w:val="24"/>
          <w:rtl/>
        </w:rPr>
        <w:t xml:space="preserve">نشر الدعوة الرسمية في منصة "تداول" (مع مراعاة مهلة 21 يوماً للشركات المدرجة).</w:t>
      </w:r>
    </w:p>
    <w:p>
      <w:pPr>
        <w:pStyle w:val="ListParagraph"/>
        <w:numPr>
          <w:ilvl w:val="0"/>
          <w:numId w:val="3"/>
        </w:numPr>
        <w:bidi/>
        <w:spacing w:after="100" w:line="300"/>
        <w:jc w:val="right"/>
      </w:pPr>
      <w:r>
        <w:rPr>
          <w:rFonts w:ascii="Arial" w:cs="Arial" w:eastAsia="Arial" w:hAnsi="Arial"/>
          <w:sz w:val="24"/>
          <w:szCs w:val="24"/>
          <w:rtl/>
        </w:rPr>
        <w:t xml:space="preserve">نشر الدعوة على الموقع الإلكتروني للشركة.</w:t>
      </w:r>
    </w:p>
    <w:p>
      <w:pPr>
        <w:pStyle w:val="ListParagraph"/>
        <w:numPr>
          <w:ilvl w:val="0"/>
          <w:numId w:val="3"/>
        </w:numPr>
        <w:bidi/>
        <w:spacing w:after="100" w:line="300"/>
        <w:jc w:val="right"/>
      </w:pPr>
      <w:r>
        <w:rPr>
          <w:rFonts w:ascii="Arial" w:cs="Arial" w:eastAsia="Arial" w:hAnsi="Arial"/>
          <w:sz w:val="24"/>
          <w:szCs w:val="24"/>
          <w:rtl/>
        </w:rPr>
        <w:t xml:space="preserve">إرسال إشعارات للمساهمين.</w:t>
      </w:r>
    </w:p>
    <w:p>
      <w:pPr>
        <w:pStyle w:val="ListParagraph"/>
        <w:numPr>
          <w:ilvl w:val="0"/>
          <w:numId w:val="3"/>
        </w:numPr>
        <w:bidi/>
        <w:spacing w:after="100" w:line="300"/>
        <w:jc w:val="right"/>
      </w:pPr>
      <w:r>
        <w:rPr>
          <w:rFonts w:ascii="Arial" w:cs="Arial" w:eastAsia="Arial" w:hAnsi="Arial"/>
          <w:sz w:val="24"/>
          <w:szCs w:val="24"/>
          <w:rtl/>
        </w:rPr>
        <w:t xml:space="preserve">إتاحة جميع الوثائق ذات العلاقة.</w:t>
      </w:r>
    </w:p>
    <w:p>
      <w:pPr>
        <w:pStyle w:val="ListParagraph"/>
        <w:numPr>
          <w:ilvl w:val="0"/>
          <w:numId w:val="3"/>
        </w:numPr>
        <w:bidi/>
        <w:spacing w:after="100" w:line="300"/>
        <w:jc w:val="right"/>
      </w:pPr>
      <w:r>
        <w:rPr>
          <w:rFonts w:ascii="Arial" w:cs="Arial" w:eastAsia="Arial" w:hAnsi="Arial"/>
          <w:sz w:val="24"/>
          <w:szCs w:val="24"/>
          <w:rtl/>
        </w:rPr>
        <w:t xml:space="preserve">فتح باب التصويت الإلكتروني المسبق.</w:t>
      </w:r>
    </w:p>
    <w:p>
      <w:pPr>
        <w:pStyle w:val="ListParagraph"/>
        <w:numPr>
          <w:ilvl w:val="0"/>
          <w:numId w:val="3"/>
        </w:numPr>
        <w:bidi/>
        <w:spacing w:after="100" w:line="300"/>
        <w:jc w:val="right"/>
      </w:pPr>
      <w:r>
        <w:rPr>
          <w:rFonts w:ascii="Arial" w:cs="Arial" w:eastAsia="Arial" w:hAnsi="Arial"/>
          <w:sz w:val="24"/>
          <w:szCs w:val="24"/>
          <w:rtl/>
        </w:rPr>
        <w:t xml:space="preserve">توفير قنوات الاستفسار للمساهمين.</w:t>
      </w:r>
    </w:p>
    <w:p>
      <w:pPr>
        <w:pStyle w:val="ListParagraph"/>
        <w:numPr>
          <w:ilvl w:val="0"/>
          <w:numId w:val="3"/>
        </w:numPr>
        <w:bidi/>
        <w:spacing w:after="100" w:line="300"/>
        <w:jc w:val="right"/>
      </w:pPr>
      <w:r>
        <w:rPr>
          <w:rFonts w:ascii="Arial" w:cs="Arial" w:eastAsia="Arial" w:hAnsi="Arial"/>
          <w:sz w:val="24"/>
          <w:szCs w:val="24"/>
          <w:rtl/>
        </w:rPr>
        <w:t xml:space="preserve">التواصل مع المساهمين الكبار للتأكيد على حضورهم.</w:t>
      </w:r>
    </w:p>
    <w:p>
      <w:pPr>
        <w:pStyle w:val="ListParagraph"/>
        <w:numPr>
          <w:ilvl w:val="0"/>
          <w:numId w:val="3"/>
        </w:numPr>
        <w:bidi/>
        <w:spacing w:after="100" w:line="300"/>
        <w:jc w:val="right"/>
      </w:pPr>
      <w:r>
        <w:rPr>
          <w:rFonts w:ascii="Arial" w:cs="Arial" w:eastAsia="Arial" w:hAnsi="Arial"/>
          <w:sz w:val="24"/>
          <w:szCs w:val="24"/>
          <w:rtl/>
        </w:rPr>
        <w:t xml:space="preserve">إعداد مواد إعلامية وتوضيحية.</w:t>
      </w:r>
    </w:p>
    <w:p>
      <w:pPr>
        <w:pStyle w:val="Heading2"/>
        <w:bidi/>
        <w:spacing w:after="160" w:before="280"/>
        <w:jc w:val="right"/>
      </w:pPr>
      <w:r>
        <w:rPr>
          <w:rFonts w:ascii="Arial" w:cs="Arial" w:eastAsia="Arial" w:hAnsi="Arial"/>
          <w:b/>
          <w:bCs/>
          <w:color w:val="2E75B6"/>
          <w:sz w:val="30"/>
          <w:szCs w:val="30"/>
          <w:rtl/>
        </w:rPr>
        <w:t xml:space="preserve">المرحلة 5: التحضيرات النهائية (قبل الجمعية بأسبوع)</w:t>
      </w:r>
    </w:p>
    <w:p>
      <w:pPr>
        <w:pStyle w:val="Heading3"/>
        <w:bidi/>
        <w:spacing w:after="120" w:before="200"/>
        <w:jc w:val="right"/>
      </w:pPr>
      <w:r>
        <w:rPr>
          <w:rFonts w:ascii="Arial" w:cs="Arial" w:eastAsia="Arial" w:hAnsi="Arial"/>
          <w:b/>
          <w:bCs/>
          <w:color w:val="1F4E79"/>
          <w:sz w:val="26"/>
          <w:szCs w:val="26"/>
          <w:rtl/>
        </w:rPr>
        <w:t xml:space="preserve">الأهداف</w:t>
      </w:r>
    </w:p>
    <w:p>
      <w:pPr>
        <w:pStyle w:val="ListParagraph"/>
        <w:numPr>
          <w:ilvl w:val="0"/>
          <w:numId w:val="2"/>
        </w:numPr>
        <w:bidi/>
        <w:spacing w:after="100" w:line="300"/>
        <w:jc w:val="right"/>
      </w:pPr>
      <w:r>
        <w:rPr>
          <w:rFonts w:ascii="Arial" w:cs="Arial" w:eastAsia="Arial" w:hAnsi="Arial"/>
          <w:sz w:val="24"/>
          <w:szCs w:val="24"/>
          <w:rtl/>
        </w:rPr>
        <w:t xml:space="preserve">الجاهزية التامة للجمعية.</w:t>
      </w:r>
    </w:p>
    <w:p>
      <w:pPr>
        <w:pStyle w:val="ListParagraph"/>
        <w:numPr>
          <w:ilvl w:val="0"/>
          <w:numId w:val="2"/>
        </w:numPr>
        <w:bidi/>
        <w:spacing w:after="100" w:line="300"/>
        <w:jc w:val="right"/>
      </w:pPr>
      <w:r>
        <w:rPr>
          <w:rFonts w:ascii="Arial" w:cs="Arial" w:eastAsia="Arial" w:hAnsi="Arial"/>
          <w:sz w:val="24"/>
          <w:szCs w:val="24"/>
          <w:rtl/>
        </w:rPr>
        <w:t xml:space="preserve">التدريب النهائي.</w:t>
      </w:r>
    </w:p>
    <w:p>
      <w:pPr>
        <w:pStyle w:val="ListParagraph"/>
        <w:numPr>
          <w:ilvl w:val="0"/>
          <w:numId w:val="2"/>
        </w:numPr>
        <w:bidi/>
        <w:spacing w:after="100" w:line="300"/>
        <w:jc w:val="right"/>
      </w:pPr>
      <w:r>
        <w:rPr>
          <w:rFonts w:ascii="Arial" w:cs="Arial" w:eastAsia="Arial" w:hAnsi="Arial"/>
          <w:sz w:val="24"/>
          <w:szCs w:val="24"/>
          <w:rtl/>
        </w:rPr>
        <w:t xml:space="preserve">اختبار جميع الأنظمة.</w:t>
      </w:r>
    </w:p>
    <w:p>
      <w:pPr>
        <w:pStyle w:val="Heading3"/>
        <w:bidi/>
        <w:spacing w:after="120" w:before="200"/>
        <w:jc w:val="right"/>
      </w:pPr>
      <w:r>
        <w:rPr>
          <w:rFonts w:ascii="Arial" w:cs="Arial" w:eastAsia="Arial" w:hAnsi="Arial"/>
          <w:b/>
          <w:bCs/>
          <w:color w:val="1F4E79"/>
          <w:sz w:val="26"/>
          <w:szCs w:val="26"/>
          <w:rtl/>
        </w:rPr>
        <w:t xml:space="preserve">الأنشطة الرئيسية</w:t>
      </w:r>
    </w:p>
    <w:p>
      <w:pPr>
        <w:pStyle w:val="ListParagraph"/>
        <w:numPr>
          <w:ilvl w:val="0"/>
          <w:numId w:val="3"/>
        </w:numPr>
        <w:bidi/>
        <w:spacing w:after="100" w:line="300"/>
        <w:jc w:val="right"/>
      </w:pPr>
      <w:r>
        <w:rPr>
          <w:rFonts w:ascii="Arial" w:cs="Arial" w:eastAsia="Arial" w:hAnsi="Arial"/>
          <w:sz w:val="24"/>
          <w:szCs w:val="24"/>
          <w:rtl/>
        </w:rPr>
        <w:t xml:space="preserve">اختبار شامل للأنظمة التقنية.</w:t>
      </w:r>
    </w:p>
    <w:p>
      <w:pPr>
        <w:pStyle w:val="ListParagraph"/>
        <w:numPr>
          <w:ilvl w:val="0"/>
          <w:numId w:val="3"/>
        </w:numPr>
        <w:bidi/>
        <w:spacing w:after="100" w:line="300"/>
        <w:jc w:val="right"/>
      </w:pPr>
      <w:r>
        <w:rPr>
          <w:rFonts w:ascii="Arial" w:cs="Arial" w:eastAsia="Arial" w:hAnsi="Arial"/>
          <w:sz w:val="24"/>
          <w:szCs w:val="24"/>
          <w:rtl/>
        </w:rPr>
        <w:t xml:space="preserve">بروفة تقنية مع البث والترجمة.</w:t>
      </w:r>
    </w:p>
    <w:p>
      <w:pPr>
        <w:pStyle w:val="ListParagraph"/>
        <w:numPr>
          <w:ilvl w:val="0"/>
          <w:numId w:val="3"/>
        </w:numPr>
        <w:bidi/>
        <w:spacing w:after="100" w:line="300"/>
        <w:jc w:val="right"/>
      </w:pPr>
      <w:r>
        <w:rPr>
          <w:rFonts w:ascii="Arial" w:cs="Arial" w:eastAsia="Arial" w:hAnsi="Arial"/>
          <w:sz w:val="24"/>
          <w:szCs w:val="24"/>
          <w:rtl/>
        </w:rPr>
        <w:t xml:space="preserve">تجهيز قائمة المستحقين النهائية بعد تاريخ الأحقية.</w:t>
      </w:r>
    </w:p>
    <w:p>
      <w:pPr>
        <w:pStyle w:val="ListParagraph"/>
        <w:numPr>
          <w:ilvl w:val="0"/>
          <w:numId w:val="3"/>
        </w:numPr>
        <w:bidi/>
        <w:spacing w:after="100" w:line="300"/>
        <w:jc w:val="right"/>
      </w:pPr>
      <w:r>
        <w:rPr>
          <w:rFonts w:ascii="Arial" w:cs="Arial" w:eastAsia="Arial" w:hAnsi="Arial"/>
          <w:sz w:val="24"/>
          <w:szCs w:val="24"/>
          <w:rtl/>
        </w:rPr>
        <w:t xml:space="preserve">طباعة المواد المطلوبة (للجمعيات الجسدية).</w:t>
      </w:r>
    </w:p>
    <w:p>
      <w:pPr>
        <w:pStyle w:val="ListParagraph"/>
        <w:numPr>
          <w:ilvl w:val="0"/>
          <w:numId w:val="3"/>
        </w:numPr>
        <w:bidi/>
        <w:spacing w:after="100" w:line="300"/>
        <w:jc w:val="right"/>
      </w:pPr>
      <w:r>
        <w:rPr>
          <w:rFonts w:ascii="Arial" w:cs="Arial" w:eastAsia="Arial" w:hAnsi="Arial"/>
          <w:sz w:val="24"/>
          <w:szCs w:val="24"/>
          <w:rtl/>
        </w:rPr>
        <w:t xml:space="preserve">التنسيق النهائي مع الفنادق ومقدمي الخدمات.</w:t>
      </w:r>
    </w:p>
    <w:p>
      <w:pPr>
        <w:pStyle w:val="ListParagraph"/>
        <w:numPr>
          <w:ilvl w:val="0"/>
          <w:numId w:val="3"/>
        </w:numPr>
        <w:bidi/>
        <w:spacing w:after="100" w:line="300"/>
        <w:jc w:val="right"/>
      </w:pPr>
      <w:r>
        <w:rPr>
          <w:rFonts w:ascii="Arial" w:cs="Arial" w:eastAsia="Arial" w:hAnsi="Arial"/>
          <w:sz w:val="24"/>
          <w:szCs w:val="24"/>
          <w:rtl/>
        </w:rPr>
        <w:t xml:space="preserve">اجتماع فريق العمل لمراجعة جميع التفاصيل.</w:t>
      </w:r>
    </w:p>
    <w:p>
      <w:pPr>
        <w:pStyle w:val="ListParagraph"/>
        <w:numPr>
          <w:ilvl w:val="0"/>
          <w:numId w:val="3"/>
        </w:numPr>
        <w:bidi/>
        <w:spacing w:after="100" w:line="300"/>
        <w:jc w:val="right"/>
      </w:pPr>
      <w:r>
        <w:rPr>
          <w:rFonts w:ascii="Arial" w:cs="Arial" w:eastAsia="Arial" w:hAnsi="Arial"/>
          <w:sz w:val="24"/>
          <w:szCs w:val="24"/>
          <w:rtl/>
        </w:rPr>
        <w:t xml:space="preserve">تدريب الموظفين على إدارة الجمعية.</w:t>
      </w:r>
    </w:p>
    <w:p>
      <w:pPr>
        <w:pStyle w:val="ListParagraph"/>
        <w:numPr>
          <w:ilvl w:val="0"/>
          <w:numId w:val="3"/>
        </w:numPr>
        <w:bidi/>
        <w:spacing w:after="100" w:line="300"/>
        <w:jc w:val="right"/>
      </w:pPr>
      <w:r>
        <w:rPr>
          <w:rFonts w:ascii="Arial" w:cs="Arial" w:eastAsia="Arial" w:hAnsi="Arial"/>
          <w:sz w:val="24"/>
          <w:szCs w:val="24"/>
          <w:rtl/>
        </w:rPr>
        <w:t xml:space="preserve">التحضير لاستقبال المساهمين.</w:t>
      </w:r>
    </w:p>
    <w:p>
      <w:pPr>
        <w:pStyle w:val="Heading2"/>
        <w:bidi/>
        <w:spacing w:after="160" w:before="280"/>
        <w:jc w:val="right"/>
      </w:pPr>
      <w:r>
        <w:rPr>
          <w:rFonts w:ascii="Arial" w:cs="Arial" w:eastAsia="Arial" w:hAnsi="Arial"/>
          <w:b/>
          <w:bCs/>
          <w:color w:val="2E75B6"/>
          <w:sz w:val="30"/>
          <w:szCs w:val="30"/>
          <w:rtl/>
        </w:rPr>
        <w:t xml:space="preserve">المرحلة 6: يوم الجمعية</w:t>
      </w:r>
    </w:p>
    <w:p>
      <w:pPr>
        <w:pStyle w:val="Heading3"/>
        <w:bidi/>
        <w:spacing w:after="120" w:before="200"/>
        <w:jc w:val="right"/>
      </w:pPr>
      <w:r>
        <w:rPr>
          <w:rFonts w:ascii="Arial" w:cs="Arial" w:eastAsia="Arial" w:hAnsi="Arial"/>
          <w:b/>
          <w:bCs/>
          <w:color w:val="1F4E79"/>
          <w:sz w:val="26"/>
          <w:szCs w:val="26"/>
          <w:rtl/>
        </w:rPr>
        <w:t xml:space="preserve">الأنشطة الرئيسية</w:t>
      </w:r>
    </w:p>
    <w:p>
      <w:pPr>
        <w:pStyle w:val="ListParagraph"/>
        <w:numPr>
          <w:ilvl w:val="0"/>
          <w:numId w:val="3"/>
        </w:numPr>
        <w:bidi/>
        <w:spacing w:after="100" w:line="300"/>
        <w:jc w:val="right"/>
      </w:pPr>
      <w:r>
        <w:rPr>
          <w:rFonts w:ascii="Arial" w:cs="Arial" w:eastAsia="Arial" w:hAnsi="Arial"/>
          <w:sz w:val="24"/>
          <w:szCs w:val="24"/>
          <w:rtl/>
        </w:rPr>
        <w:t xml:space="preserve">الوصول المبكر لفريق العمل (قبل الموعد بـ 2-3 ساعات).</w:t>
      </w:r>
    </w:p>
    <w:p>
      <w:pPr>
        <w:pStyle w:val="ListParagraph"/>
        <w:numPr>
          <w:ilvl w:val="0"/>
          <w:numId w:val="3"/>
        </w:numPr>
        <w:bidi/>
        <w:spacing w:after="100" w:line="300"/>
        <w:jc w:val="right"/>
      </w:pPr>
      <w:r>
        <w:rPr>
          <w:rFonts w:ascii="Arial" w:cs="Arial" w:eastAsia="Arial" w:hAnsi="Arial"/>
          <w:sz w:val="24"/>
          <w:szCs w:val="24"/>
          <w:rtl/>
        </w:rPr>
        <w:t xml:space="preserve">اختبار نهائي للأنظمة التقنية.</w:t>
      </w:r>
    </w:p>
    <w:p>
      <w:pPr>
        <w:pStyle w:val="ListParagraph"/>
        <w:numPr>
          <w:ilvl w:val="0"/>
          <w:numId w:val="3"/>
        </w:numPr>
        <w:bidi/>
        <w:spacing w:after="100" w:line="300"/>
        <w:jc w:val="right"/>
      </w:pPr>
      <w:r>
        <w:rPr>
          <w:rFonts w:ascii="Arial" w:cs="Arial" w:eastAsia="Arial" w:hAnsi="Arial"/>
          <w:sz w:val="24"/>
          <w:szCs w:val="24"/>
          <w:rtl/>
        </w:rPr>
        <w:t xml:space="preserve">استقبال المساهمين والتحقق من هوياتهم.</w:t>
      </w:r>
    </w:p>
    <w:p>
      <w:pPr>
        <w:pStyle w:val="ListParagraph"/>
        <w:numPr>
          <w:ilvl w:val="0"/>
          <w:numId w:val="3"/>
        </w:numPr>
        <w:bidi/>
        <w:spacing w:after="100" w:line="300"/>
        <w:jc w:val="right"/>
      </w:pPr>
      <w:r>
        <w:rPr>
          <w:rFonts w:ascii="Arial" w:cs="Arial" w:eastAsia="Arial" w:hAnsi="Arial"/>
          <w:sz w:val="24"/>
          <w:szCs w:val="24"/>
          <w:rtl/>
        </w:rPr>
        <w:t xml:space="preserve">تسجيل الحضور وتوثيقه.</w:t>
      </w:r>
    </w:p>
    <w:p>
      <w:pPr>
        <w:pStyle w:val="ListParagraph"/>
        <w:numPr>
          <w:ilvl w:val="0"/>
          <w:numId w:val="3"/>
        </w:numPr>
        <w:bidi/>
        <w:spacing w:after="100" w:line="300"/>
        <w:jc w:val="right"/>
      </w:pPr>
      <w:r>
        <w:rPr>
          <w:rFonts w:ascii="Arial" w:cs="Arial" w:eastAsia="Arial" w:hAnsi="Arial"/>
          <w:sz w:val="24"/>
          <w:szCs w:val="24"/>
          <w:rtl/>
        </w:rPr>
        <w:t xml:space="preserve">التحقق من اكتمال النصاب.</w:t>
      </w:r>
    </w:p>
    <w:p>
      <w:pPr>
        <w:pStyle w:val="ListParagraph"/>
        <w:numPr>
          <w:ilvl w:val="0"/>
          <w:numId w:val="3"/>
        </w:numPr>
        <w:bidi/>
        <w:spacing w:after="100" w:line="300"/>
        <w:jc w:val="right"/>
      </w:pPr>
      <w:r>
        <w:rPr>
          <w:rFonts w:ascii="Arial" w:cs="Arial" w:eastAsia="Arial" w:hAnsi="Arial"/>
          <w:sz w:val="24"/>
          <w:szCs w:val="24"/>
          <w:rtl/>
        </w:rPr>
        <w:t xml:space="preserve">افتتاح الجمعية في الموعد المحدد.</w:t>
      </w:r>
    </w:p>
    <w:p>
      <w:pPr>
        <w:pStyle w:val="ListParagraph"/>
        <w:numPr>
          <w:ilvl w:val="0"/>
          <w:numId w:val="3"/>
        </w:numPr>
        <w:bidi/>
        <w:spacing w:after="100" w:line="300"/>
        <w:jc w:val="right"/>
      </w:pPr>
      <w:r>
        <w:rPr>
          <w:rFonts w:ascii="Arial" w:cs="Arial" w:eastAsia="Arial" w:hAnsi="Arial"/>
          <w:sz w:val="24"/>
          <w:szCs w:val="24"/>
          <w:rtl/>
        </w:rPr>
        <w:t xml:space="preserve">إدارة الجمعية وفق جدول الأعمال.</w:t>
      </w:r>
    </w:p>
    <w:p>
      <w:pPr>
        <w:pStyle w:val="ListParagraph"/>
        <w:numPr>
          <w:ilvl w:val="0"/>
          <w:numId w:val="3"/>
        </w:numPr>
        <w:bidi/>
        <w:spacing w:after="100" w:line="300"/>
        <w:jc w:val="right"/>
      </w:pPr>
      <w:r>
        <w:rPr>
          <w:rFonts w:ascii="Arial" w:cs="Arial" w:eastAsia="Arial" w:hAnsi="Arial"/>
          <w:sz w:val="24"/>
          <w:szCs w:val="24"/>
          <w:rtl/>
        </w:rPr>
        <w:t xml:space="preserve">توثيق التصويت والقرارات.</w:t>
      </w:r>
    </w:p>
    <w:p>
      <w:pPr>
        <w:pStyle w:val="ListParagraph"/>
        <w:numPr>
          <w:ilvl w:val="0"/>
          <w:numId w:val="3"/>
        </w:numPr>
        <w:bidi/>
        <w:spacing w:after="100" w:line="300"/>
        <w:jc w:val="right"/>
      </w:pPr>
      <w:r>
        <w:rPr>
          <w:rFonts w:ascii="Arial" w:cs="Arial" w:eastAsia="Arial" w:hAnsi="Arial"/>
          <w:sz w:val="24"/>
          <w:szCs w:val="24"/>
          <w:rtl/>
        </w:rPr>
        <w:t xml:space="preserve">إغلاق الجمعية رسمياً.</w:t>
      </w:r>
    </w:p>
    <w:p>
      <w:pPr>
        <w:pStyle w:val="Heading2"/>
        <w:bidi/>
        <w:spacing w:after="160" w:before="280"/>
        <w:jc w:val="right"/>
      </w:pPr>
      <w:r>
        <w:rPr>
          <w:rFonts w:ascii="Arial" w:cs="Arial" w:eastAsia="Arial" w:hAnsi="Arial"/>
          <w:b/>
          <w:bCs/>
          <w:color w:val="2E75B6"/>
          <w:sz w:val="30"/>
          <w:szCs w:val="30"/>
          <w:rtl/>
        </w:rPr>
        <w:t xml:space="preserve">المرحلة 7: المتابعة بعد الجمعية</w:t>
      </w:r>
    </w:p>
    <w:p>
      <w:pPr>
        <w:pStyle w:val="Heading3"/>
        <w:bidi/>
        <w:spacing w:after="120" w:before="200"/>
        <w:jc w:val="right"/>
      </w:pPr>
      <w:r>
        <w:rPr>
          <w:rFonts w:ascii="Arial" w:cs="Arial" w:eastAsia="Arial" w:hAnsi="Arial"/>
          <w:b/>
          <w:bCs/>
          <w:color w:val="1F4E79"/>
          <w:sz w:val="26"/>
          <w:szCs w:val="26"/>
          <w:rtl/>
        </w:rPr>
        <w:t xml:space="preserve">الأنشطة الرئيسية</w:t>
      </w:r>
    </w:p>
    <w:p>
      <w:pPr>
        <w:pStyle w:val="ListParagraph"/>
        <w:numPr>
          <w:ilvl w:val="0"/>
          <w:numId w:val="3"/>
        </w:numPr>
        <w:bidi/>
        <w:spacing w:after="100" w:line="300"/>
        <w:jc w:val="right"/>
      </w:pPr>
      <w:r>
        <w:rPr>
          <w:rFonts w:ascii="Arial" w:cs="Arial" w:eastAsia="Arial" w:hAnsi="Arial"/>
          <w:sz w:val="24"/>
          <w:szCs w:val="24"/>
          <w:rtl/>
        </w:rPr>
        <w:t xml:space="preserve">الإفصاح الفوري عن نتائج الجمعية.</w:t>
      </w:r>
    </w:p>
    <w:p>
      <w:pPr>
        <w:pStyle w:val="ListParagraph"/>
        <w:numPr>
          <w:ilvl w:val="0"/>
          <w:numId w:val="3"/>
        </w:numPr>
        <w:bidi/>
        <w:spacing w:after="100" w:line="300"/>
        <w:jc w:val="right"/>
      </w:pPr>
      <w:r>
        <w:rPr>
          <w:rFonts w:ascii="Arial" w:cs="Arial" w:eastAsia="Arial" w:hAnsi="Arial"/>
          <w:sz w:val="24"/>
          <w:szCs w:val="24"/>
          <w:rtl/>
        </w:rPr>
        <w:t xml:space="preserve">إعداد المحضر الرسمي.</w:t>
      </w:r>
    </w:p>
    <w:p>
      <w:pPr>
        <w:pStyle w:val="ListParagraph"/>
        <w:numPr>
          <w:ilvl w:val="0"/>
          <w:numId w:val="3"/>
        </w:numPr>
        <w:bidi/>
        <w:spacing w:after="100" w:line="300"/>
        <w:jc w:val="right"/>
      </w:pPr>
      <w:r>
        <w:rPr>
          <w:rFonts w:ascii="Arial" w:cs="Arial" w:eastAsia="Arial" w:hAnsi="Arial"/>
          <w:sz w:val="24"/>
          <w:szCs w:val="24"/>
          <w:rtl/>
        </w:rPr>
        <w:t xml:space="preserve">نشر المحضر على منصة "تداول".</w:t>
      </w:r>
    </w:p>
    <w:p>
      <w:pPr>
        <w:pStyle w:val="ListParagraph"/>
        <w:numPr>
          <w:ilvl w:val="0"/>
          <w:numId w:val="3"/>
        </w:numPr>
        <w:bidi/>
        <w:spacing w:after="100" w:line="300"/>
        <w:jc w:val="right"/>
      </w:pPr>
      <w:r>
        <w:rPr>
          <w:rFonts w:ascii="Arial" w:cs="Arial" w:eastAsia="Arial" w:hAnsi="Arial"/>
          <w:sz w:val="24"/>
          <w:szCs w:val="24"/>
          <w:rtl/>
        </w:rPr>
        <w:t xml:space="preserve">بدء تنفيذ القرارات (التوزيعات، التعيينات، إلخ).</w:t>
      </w:r>
    </w:p>
    <w:p>
      <w:pPr>
        <w:pStyle w:val="ListParagraph"/>
        <w:numPr>
          <w:ilvl w:val="0"/>
          <w:numId w:val="3"/>
        </w:numPr>
        <w:bidi/>
        <w:spacing w:after="100" w:line="300"/>
        <w:jc w:val="right"/>
      </w:pPr>
      <w:r>
        <w:rPr>
          <w:rFonts w:ascii="Arial" w:cs="Arial" w:eastAsia="Arial" w:hAnsi="Arial"/>
          <w:sz w:val="24"/>
          <w:szCs w:val="24"/>
          <w:rtl/>
        </w:rPr>
        <w:t xml:space="preserve">تحديث السجلات الرسمية.</w:t>
      </w:r>
    </w:p>
    <w:p>
      <w:pPr>
        <w:pStyle w:val="ListParagraph"/>
        <w:numPr>
          <w:ilvl w:val="0"/>
          <w:numId w:val="3"/>
        </w:numPr>
        <w:bidi/>
        <w:spacing w:after="100" w:line="300"/>
        <w:jc w:val="right"/>
      </w:pPr>
      <w:r>
        <w:rPr>
          <w:rFonts w:ascii="Arial" w:cs="Arial" w:eastAsia="Arial" w:hAnsi="Arial"/>
          <w:sz w:val="24"/>
          <w:szCs w:val="24"/>
          <w:rtl/>
        </w:rPr>
        <w:t xml:space="preserve">التقييم الداخلي للجمعية والدروس المستفادة.</w:t>
      </w:r>
    </w:p>
    <w:p>
      <w:pPr>
        <w:pStyle w:val="ListParagraph"/>
        <w:numPr>
          <w:ilvl w:val="0"/>
          <w:numId w:val="3"/>
        </w:numPr>
        <w:bidi/>
        <w:spacing w:after="100" w:line="300"/>
        <w:jc w:val="right"/>
      </w:pPr>
      <w:r>
        <w:rPr>
          <w:rFonts w:ascii="Arial" w:cs="Arial" w:eastAsia="Arial" w:hAnsi="Arial"/>
          <w:sz w:val="24"/>
          <w:szCs w:val="24"/>
          <w:rtl/>
        </w:rPr>
        <w:t xml:space="preserve">توثيق العمليات للجمعيات القادمة.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الجدول الزمني التفصيلي للجمعية السنوية</w:t>
      </w:r>
    </w:p>
    <w:p>
      <w:pPr>
        <w:bidi/>
        <w:spacing w:after="140" w:line="320"/>
        <w:jc w:val="both"/>
      </w:pPr>
      <w:r>
        <w:rPr>
          <w:rFonts w:ascii="Arial" w:cs="Arial" w:eastAsia="Arial" w:hAnsi="Arial"/>
          <w:sz w:val="24"/>
          <w:szCs w:val="24"/>
          <w:rtl/>
        </w:rPr>
        <w:t xml:space="preserve">لتسهيل المتابعة، نقدم جدولاً زمنياً تفصيلياً يُمكن استخدامه كقالب عملي: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الفترة الزمنية</w:t>
            </w:r>
          </w:p>
        </w:tc>
        <w:tc>
          <w:tcPr>
            <w:tcW w:type="dxa" w:w="4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الأنشطة الرئيسية</w:t>
            </w:r>
          </w:p>
        </w:tc>
        <w:tc>
          <w:tcPr>
            <w:tcW w:type="dxa" w:w="25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المسؤول الرئيسي</w:t>
            </w:r>
          </w:p>
        </w:tc>
      </w:tr>
      <w:tr>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10-12 أسبوعاً قبل</w:t>
            </w:r>
          </w:p>
        </w:tc>
        <w:tc>
          <w:tcPr>
            <w:tcW w:type="dxa" w:w="4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تشكيل الفريق، تحديد التوقيت</w:t>
            </w:r>
          </w:p>
        </w:tc>
        <w:tc>
          <w:tcPr>
            <w:tcW w:type="dxa" w:w="2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أمين السر / المجلس</w:t>
            </w:r>
          </w:p>
        </w:tc>
      </w:tr>
      <w:tr>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8-10 أسابيع قبل</w:t>
            </w:r>
          </w:p>
        </w:tc>
        <w:tc>
          <w:tcPr>
            <w:tcW w:type="dxa" w:w="40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بدء إعداد القوائم المالية والتقرير السنوي</w:t>
            </w:r>
          </w:p>
        </w:tc>
        <w:tc>
          <w:tcPr>
            <w:tcW w:type="dxa" w:w="25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المالية + المراجع</w:t>
            </w:r>
          </w:p>
        </w:tc>
      </w:tr>
      <w:tr>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6-8 أسابيع قبل</w:t>
            </w:r>
          </w:p>
        </w:tc>
        <w:tc>
          <w:tcPr>
            <w:tcW w:type="dxa" w:w="4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صياغة جدول الأعمال والقرارات</w:t>
            </w:r>
          </w:p>
        </w:tc>
        <w:tc>
          <w:tcPr>
            <w:tcW w:type="dxa" w:w="2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أمين السر + القانونية</w:t>
            </w:r>
          </w:p>
        </w:tc>
      </w:tr>
      <w:tr>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4-6 أسابيع قبل</w:t>
            </w:r>
          </w:p>
        </w:tc>
        <w:tc>
          <w:tcPr>
            <w:tcW w:type="dxa" w:w="40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اعتماد المجلس للوثائق والجدول</w:t>
            </w:r>
          </w:p>
        </w:tc>
        <w:tc>
          <w:tcPr>
            <w:tcW w:type="dxa" w:w="25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مجلس الإدارة</w:t>
            </w:r>
          </w:p>
        </w:tc>
      </w:tr>
      <w:tr>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3 أسابيع قبل</w:t>
            </w:r>
          </w:p>
        </w:tc>
        <w:tc>
          <w:tcPr>
            <w:tcW w:type="dxa" w:w="4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نشر الدعوة الرسمية</w:t>
            </w:r>
          </w:p>
        </w:tc>
        <w:tc>
          <w:tcPr>
            <w:tcW w:type="dxa" w:w="2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أمين السر / العلاقات</w:t>
            </w:r>
          </w:p>
        </w:tc>
      </w:tr>
      <w:tr>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2-3 أسابيع قبل</w:t>
            </w:r>
          </w:p>
        </w:tc>
        <w:tc>
          <w:tcPr>
            <w:tcW w:type="dxa" w:w="40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فتح التصويت الإلكتروني المسبق</w:t>
            </w:r>
          </w:p>
        </w:tc>
        <w:tc>
          <w:tcPr>
            <w:tcW w:type="dxa" w:w="25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الإيداع / التقنية</w:t>
            </w:r>
          </w:p>
        </w:tc>
      </w:tr>
      <w:tr>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1-2 أسبوع قبل</w:t>
            </w:r>
          </w:p>
        </w:tc>
        <w:tc>
          <w:tcPr>
            <w:tcW w:type="dxa" w:w="4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اختبار الأنظمة التقنية</w:t>
            </w:r>
          </w:p>
        </w:tc>
        <w:tc>
          <w:tcPr>
            <w:tcW w:type="dxa" w:w="2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التقنية</w:t>
            </w:r>
          </w:p>
        </w:tc>
      </w:tr>
      <w:tr>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3-5 أيام قبل</w:t>
            </w:r>
          </w:p>
        </w:tc>
        <w:tc>
          <w:tcPr>
            <w:tcW w:type="dxa" w:w="40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بروفة فنية شاملة</w:t>
            </w:r>
          </w:p>
        </w:tc>
        <w:tc>
          <w:tcPr>
            <w:tcW w:type="dxa" w:w="25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الفريق الكامل</w:t>
            </w:r>
          </w:p>
        </w:tc>
      </w:tr>
      <w:tr>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يوم - يومان قبل</w:t>
            </w:r>
          </w:p>
        </w:tc>
        <w:tc>
          <w:tcPr>
            <w:tcW w:type="dxa" w:w="4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التجهيزات اللوجستية النهائية</w:t>
            </w:r>
          </w:p>
        </w:tc>
        <w:tc>
          <w:tcPr>
            <w:tcW w:type="dxa" w:w="2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اللوجستية</w:t>
            </w:r>
          </w:p>
        </w:tc>
      </w:tr>
      <w:tr>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يوم الجمعية</w:t>
            </w:r>
          </w:p>
        </w:tc>
        <w:tc>
          <w:tcPr>
            <w:tcW w:type="dxa" w:w="40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تنفيذ الجمعية وفق الخطة</w:t>
            </w:r>
          </w:p>
        </w:tc>
        <w:tc>
          <w:tcPr>
            <w:tcW w:type="dxa" w:w="25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الفريق الكامل</w:t>
            </w:r>
          </w:p>
        </w:tc>
      </w:tr>
      <w:tr>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يوم بعد الجمعية</w:t>
            </w:r>
          </w:p>
        </w:tc>
        <w:tc>
          <w:tcPr>
            <w:tcW w:type="dxa" w:w="4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الإفصاح والمحضر الأولي</w:t>
            </w:r>
          </w:p>
        </w:tc>
        <w:tc>
          <w:tcPr>
            <w:tcW w:type="dxa" w:w="2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أمين السر</w:t>
            </w:r>
          </w:p>
        </w:tc>
      </w:tr>
      <w:tr>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أسبوع بعد الجمعية</w:t>
            </w:r>
          </w:p>
        </w:tc>
        <w:tc>
          <w:tcPr>
            <w:tcW w:type="dxa" w:w="40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تنفيذ القرارات، المحضر النهائي</w:t>
            </w:r>
          </w:p>
        </w:tc>
        <w:tc>
          <w:tcPr>
            <w:tcW w:type="dxa" w:w="25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الفريق الكامل</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تشكيل فريق التخطيط</w:t>
      </w:r>
    </w:p>
    <w:p>
      <w:pPr>
        <w:bidi/>
        <w:spacing w:after="140" w:line="320"/>
        <w:jc w:val="both"/>
      </w:pPr>
      <w:r>
        <w:rPr>
          <w:rFonts w:ascii="Arial" w:cs="Arial" w:eastAsia="Arial" w:hAnsi="Arial"/>
          <w:sz w:val="24"/>
          <w:szCs w:val="24"/>
          <w:rtl/>
        </w:rPr>
        <w:t xml:space="preserve">نجاح الجمعية يعتمد بشكل كبير على فريق العمل المُكلف بها. فريق متكامل ومنسجم يُسهّل العمل ويرفع جودته. وفيما يلي تركيبة فريق نموذجي:</w:t>
      </w:r>
    </w:p>
    <w:p>
      <w:pPr>
        <w:pStyle w:val="Heading2"/>
        <w:bidi/>
        <w:spacing w:after="160" w:before="280"/>
        <w:jc w:val="right"/>
      </w:pPr>
      <w:r>
        <w:rPr>
          <w:rFonts w:ascii="Arial" w:cs="Arial" w:eastAsia="Arial" w:hAnsi="Arial"/>
          <w:b/>
          <w:bCs/>
          <w:color w:val="2E75B6"/>
          <w:sz w:val="30"/>
          <w:szCs w:val="30"/>
          <w:rtl/>
        </w:rPr>
        <w:t xml:space="preserve">1. القيادة</w:t>
      </w:r>
    </w:p>
    <w:p>
      <w:pPr>
        <w:pStyle w:val="Heading3"/>
        <w:bidi/>
        <w:spacing w:after="120" w:before="200"/>
        <w:jc w:val="right"/>
      </w:pPr>
      <w:r>
        <w:rPr>
          <w:rFonts w:ascii="Arial" w:cs="Arial" w:eastAsia="Arial" w:hAnsi="Arial"/>
          <w:b/>
          <w:bCs/>
          <w:color w:val="1F4E79"/>
          <w:sz w:val="26"/>
          <w:szCs w:val="26"/>
          <w:rtl/>
        </w:rPr>
        <w:t xml:space="preserve">راعي الجمعية (Project Sponsor)</w:t>
      </w:r>
    </w:p>
    <w:p>
      <w:pPr>
        <w:bidi/>
        <w:spacing w:after="140" w:line="320"/>
        <w:jc w:val="both"/>
      </w:pPr>
      <w:r>
        <w:rPr>
          <w:rFonts w:ascii="Arial" w:cs="Arial" w:eastAsia="Arial" w:hAnsi="Arial"/>
          <w:sz w:val="24"/>
          <w:szCs w:val="24"/>
          <w:rtl/>
        </w:rPr>
        <w:t xml:space="preserve">عادةً ما يكون رئيس مجلس الإدارة أو الرئيس التنفيذي. يُوفّر الرعاية الاستراتيجية ويتدخل في القرارات الكبرى.</w:t>
      </w:r>
    </w:p>
    <w:p>
      <w:pPr>
        <w:pStyle w:val="Heading3"/>
        <w:bidi/>
        <w:spacing w:after="120" w:before="200"/>
        <w:jc w:val="right"/>
      </w:pPr>
      <w:r>
        <w:rPr>
          <w:rFonts w:ascii="Arial" w:cs="Arial" w:eastAsia="Arial" w:hAnsi="Arial"/>
          <w:b/>
          <w:bCs/>
          <w:color w:val="1F4E79"/>
          <w:sz w:val="26"/>
          <w:szCs w:val="26"/>
          <w:rtl/>
        </w:rPr>
        <w:t xml:space="preserve">مدير المشروع (Project Manager)</w:t>
      </w:r>
    </w:p>
    <w:p>
      <w:pPr>
        <w:bidi/>
        <w:spacing w:after="140" w:line="320"/>
        <w:jc w:val="both"/>
      </w:pPr>
      <w:r>
        <w:rPr>
          <w:rFonts w:ascii="Arial" w:cs="Arial" w:eastAsia="Arial" w:hAnsi="Arial"/>
          <w:sz w:val="24"/>
          <w:szCs w:val="24"/>
          <w:rtl/>
        </w:rPr>
        <w:t xml:space="preserve">عادةً أمين سر مجلس الإدارة. هو المسؤول العملي عن إدارة الجمعية، وتنسيق الفريق، ومتابعة الجدول الزمني.</w:t>
      </w:r>
    </w:p>
    <w:p>
      <w:pPr>
        <w:pStyle w:val="Heading2"/>
        <w:bidi/>
        <w:spacing w:after="160" w:before="280"/>
        <w:jc w:val="right"/>
      </w:pPr>
      <w:r>
        <w:rPr>
          <w:rFonts w:ascii="Arial" w:cs="Arial" w:eastAsia="Arial" w:hAnsi="Arial"/>
          <w:b/>
          <w:bCs/>
          <w:color w:val="2E75B6"/>
          <w:sz w:val="30"/>
          <w:szCs w:val="30"/>
          <w:rtl/>
        </w:rPr>
        <w:t xml:space="preserve">2. الفريق الأساسي</w:t>
      </w:r>
    </w:p>
    <w:p>
      <w:pPr>
        <w:pStyle w:val="Heading3"/>
        <w:bidi/>
        <w:spacing w:after="120" w:before="200"/>
        <w:jc w:val="right"/>
      </w:pPr>
      <w:r>
        <w:rPr>
          <w:rFonts w:ascii="Arial" w:cs="Arial" w:eastAsia="Arial" w:hAnsi="Arial"/>
          <w:b/>
          <w:bCs/>
          <w:color w:val="1F4E79"/>
          <w:sz w:val="26"/>
          <w:szCs w:val="26"/>
          <w:rtl/>
        </w:rPr>
        <w:t xml:space="preserve">أمين سر مجلس الإدارة</w:t>
      </w:r>
    </w:p>
    <w:p>
      <w:pPr>
        <w:pStyle w:val="ListParagraph"/>
        <w:numPr>
          <w:ilvl w:val="0"/>
          <w:numId w:val="2"/>
        </w:numPr>
        <w:bidi/>
        <w:spacing w:after="100" w:line="300"/>
        <w:jc w:val="right"/>
      </w:pPr>
      <w:r>
        <w:rPr>
          <w:rFonts w:ascii="Arial" w:cs="Arial" w:eastAsia="Arial" w:hAnsi="Arial"/>
          <w:sz w:val="24"/>
          <w:szCs w:val="24"/>
          <w:rtl/>
        </w:rPr>
        <w:t xml:space="preserve">القائد التشغيلي للجمعية.</w:t>
      </w:r>
    </w:p>
    <w:p>
      <w:pPr>
        <w:pStyle w:val="ListParagraph"/>
        <w:numPr>
          <w:ilvl w:val="0"/>
          <w:numId w:val="2"/>
        </w:numPr>
        <w:bidi/>
        <w:spacing w:after="100" w:line="300"/>
        <w:jc w:val="right"/>
      </w:pPr>
      <w:r>
        <w:rPr>
          <w:rFonts w:ascii="Arial" w:cs="Arial" w:eastAsia="Arial" w:hAnsi="Arial"/>
          <w:sz w:val="24"/>
          <w:szCs w:val="24"/>
          <w:rtl/>
        </w:rPr>
        <w:t xml:space="preserve">مسؤول عن الجوانب القانونية والإجرائية.</w:t>
      </w:r>
    </w:p>
    <w:p>
      <w:pPr>
        <w:pStyle w:val="ListParagraph"/>
        <w:numPr>
          <w:ilvl w:val="0"/>
          <w:numId w:val="2"/>
        </w:numPr>
        <w:bidi/>
        <w:spacing w:after="100" w:line="300"/>
        <w:jc w:val="right"/>
      </w:pPr>
      <w:r>
        <w:rPr>
          <w:rFonts w:ascii="Arial" w:cs="Arial" w:eastAsia="Arial" w:hAnsi="Arial"/>
          <w:sz w:val="24"/>
          <w:szCs w:val="24"/>
          <w:rtl/>
        </w:rPr>
        <w:t xml:space="preserve">التنسيق مع المجلس وأعضائه.</w:t>
      </w:r>
    </w:p>
    <w:p>
      <w:pPr>
        <w:pStyle w:val="ListParagraph"/>
        <w:numPr>
          <w:ilvl w:val="0"/>
          <w:numId w:val="2"/>
        </w:numPr>
        <w:bidi/>
        <w:spacing w:after="100" w:line="300"/>
        <w:jc w:val="right"/>
      </w:pPr>
      <w:r>
        <w:rPr>
          <w:rFonts w:ascii="Arial" w:cs="Arial" w:eastAsia="Arial" w:hAnsi="Arial"/>
          <w:sz w:val="24"/>
          <w:szCs w:val="24"/>
          <w:rtl/>
        </w:rPr>
        <w:t xml:space="preserve">إعداد جدول الأعمال والقرارات.</w:t>
      </w:r>
    </w:p>
    <w:p>
      <w:pPr>
        <w:pStyle w:val="ListParagraph"/>
        <w:numPr>
          <w:ilvl w:val="0"/>
          <w:numId w:val="2"/>
        </w:numPr>
        <w:bidi/>
        <w:spacing w:after="100" w:line="300"/>
        <w:jc w:val="right"/>
      </w:pPr>
      <w:r>
        <w:rPr>
          <w:rFonts w:ascii="Arial" w:cs="Arial" w:eastAsia="Arial" w:hAnsi="Arial"/>
          <w:sz w:val="24"/>
          <w:szCs w:val="24"/>
          <w:rtl/>
        </w:rPr>
        <w:t xml:space="preserve">توثيق المحاضر.</w:t>
      </w:r>
    </w:p>
    <w:p>
      <w:pPr>
        <w:pStyle w:val="Heading3"/>
        <w:bidi/>
        <w:spacing w:after="120" w:before="200"/>
        <w:jc w:val="right"/>
      </w:pPr>
      <w:r>
        <w:rPr>
          <w:rFonts w:ascii="Arial" w:cs="Arial" w:eastAsia="Arial" w:hAnsi="Arial"/>
          <w:b/>
          <w:bCs/>
          <w:color w:val="1F4E79"/>
          <w:sz w:val="26"/>
          <w:szCs w:val="26"/>
          <w:rtl/>
        </w:rPr>
        <w:t xml:space="preserve">علاقات المستثمرين</w:t>
      </w:r>
    </w:p>
    <w:p>
      <w:pPr>
        <w:pStyle w:val="ListParagraph"/>
        <w:numPr>
          <w:ilvl w:val="0"/>
          <w:numId w:val="2"/>
        </w:numPr>
        <w:bidi/>
        <w:spacing w:after="100" w:line="300"/>
        <w:jc w:val="right"/>
      </w:pPr>
      <w:r>
        <w:rPr>
          <w:rFonts w:ascii="Arial" w:cs="Arial" w:eastAsia="Arial" w:hAnsi="Arial"/>
          <w:sz w:val="24"/>
          <w:szCs w:val="24"/>
          <w:rtl/>
        </w:rPr>
        <w:t xml:space="preserve">التواصل مع المساهمين.</w:t>
      </w:r>
    </w:p>
    <w:p>
      <w:pPr>
        <w:pStyle w:val="ListParagraph"/>
        <w:numPr>
          <w:ilvl w:val="0"/>
          <w:numId w:val="2"/>
        </w:numPr>
        <w:bidi/>
        <w:spacing w:after="100" w:line="300"/>
        <w:jc w:val="right"/>
      </w:pPr>
      <w:r>
        <w:rPr>
          <w:rFonts w:ascii="Arial" w:cs="Arial" w:eastAsia="Arial" w:hAnsi="Arial"/>
          <w:sz w:val="24"/>
          <w:szCs w:val="24"/>
          <w:rtl/>
        </w:rPr>
        <w:t xml:space="preserve">إدارة الاستفسارات.</w:t>
      </w:r>
    </w:p>
    <w:p>
      <w:pPr>
        <w:pStyle w:val="ListParagraph"/>
        <w:numPr>
          <w:ilvl w:val="0"/>
          <w:numId w:val="2"/>
        </w:numPr>
        <w:bidi/>
        <w:spacing w:after="100" w:line="300"/>
        <w:jc w:val="right"/>
      </w:pPr>
      <w:r>
        <w:rPr>
          <w:rFonts w:ascii="Arial" w:cs="Arial" w:eastAsia="Arial" w:hAnsi="Arial"/>
          <w:sz w:val="24"/>
          <w:szCs w:val="24"/>
          <w:rtl/>
        </w:rPr>
        <w:t xml:space="preserve">الإفصاحات للسوق.</w:t>
      </w:r>
    </w:p>
    <w:p>
      <w:pPr>
        <w:pStyle w:val="ListParagraph"/>
        <w:numPr>
          <w:ilvl w:val="0"/>
          <w:numId w:val="2"/>
        </w:numPr>
        <w:bidi/>
        <w:spacing w:after="100" w:line="300"/>
        <w:jc w:val="right"/>
      </w:pPr>
      <w:r>
        <w:rPr>
          <w:rFonts w:ascii="Arial" w:cs="Arial" w:eastAsia="Arial" w:hAnsi="Arial"/>
          <w:sz w:val="24"/>
          <w:szCs w:val="24"/>
          <w:rtl/>
        </w:rPr>
        <w:t xml:space="preserve">التنسيق مع المحللين والإعلام.</w:t>
      </w:r>
    </w:p>
    <w:p>
      <w:pPr>
        <w:pStyle w:val="Heading3"/>
        <w:bidi/>
        <w:spacing w:after="120" w:before="200"/>
        <w:jc w:val="right"/>
      </w:pPr>
      <w:r>
        <w:rPr>
          <w:rFonts w:ascii="Arial" w:cs="Arial" w:eastAsia="Arial" w:hAnsi="Arial"/>
          <w:b/>
          <w:bCs/>
          <w:color w:val="1F4E79"/>
          <w:sz w:val="26"/>
          <w:szCs w:val="26"/>
          <w:rtl/>
        </w:rPr>
        <w:t xml:space="preserve">الإدارة المالية</w:t>
      </w:r>
    </w:p>
    <w:p>
      <w:pPr>
        <w:pStyle w:val="ListParagraph"/>
        <w:numPr>
          <w:ilvl w:val="0"/>
          <w:numId w:val="2"/>
        </w:numPr>
        <w:bidi/>
        <w:spacing w:after="100" w:line="300"/>
        <w:jc w:val="right"/>
      </w:pPr>
      <w:r>
        <w:rPr>
          <w:rFonts w:ascii="Arial" w:cs="Arial" w:eastAsia="Arial" w:hAnsi="Arial"/>
          <w:sz w:val="24"/>
          <w:szCs w:val="24"/>
          <w:rtl/>
        </w:rPr>
        <w:t xml:space="preserve">إعداد القوائم المالية.</w:t>
      </w:r>
    </w:p>
    <w:p>
      <w:pPr>
        <w:pStyle w:val="ListParagraph"/>
        <w:numPr>
          <w:ilvl w:val="0"/>
          <w:numId w:val="2"/>
        </w:numPr>
        <w:bidi/>
        <w:spacing w:after="100" w:line="300"/>
        <w:jc w:val="right"/>
      </w:pPr>
      <w:r>
        <w:rPr>
          <w:rFonts w:ascii="Arial" w:cs="Arial" w:eastAsia="Arial" w:hAnsi="Arial"/>
          <w:sz w:val="24"/>
          <w:szCs w:val="24"/>
          <w:rtl/>
        </w:rPr>
        <w:t xml:space="preserve">تجهيز التقارير المالية للعرض.</w:t>
      </w:r>
    </w:p>
    <w:p>
      <w:pPr>
        <w:pStyle w:val="ListParagraph"/>
        <w:numPr>
          <w:ilvl w:val="0"/>
          <w:numId w:val="2"/>
        </w:numPr>
        <w:bidi/>
        <w:spacing w:after="100" w:line="300"/>
        <w:jc w:val="right"/>
      </w:pPr>
      <w:r>
        <w:rPr>
          <w:rFonts w:ascii="Arial" w:cs="Arial" w:eastAsia="Arial" w:hAnsi="Arial"/>
          <w:sz w:val="24"/>
          <w:szCs w:val="24"/>
          <w:rtl/>
        </w:rPr>
        <w:t xml:space="preserve">التنسيق مع مراجع الحسابات.</w:t>
      </w:r>
    </w:p>
    <w:p>
      <w:pPr>
        <w:pStyle w:val="ListParagraph"/>
        <w:numPr>
          <w:ilvl w:val="0"/>
          <w:numId w:val="2"/>
        </w:numPr>
        <w:bidi/>
        <w:spacing w:after="100" w:line="300"/>
        <w:jc w:val="right"/>
      </w:pPr>
      <w:r>
        <w:rPr>
          <w:rFonts w:ascii="Arial" w:cs="Arial" w:eastAsia="Arial" w:hAnsi="Arial"/>
          <w:sz w:val="24"/>
          <w:szCs w:val="24"/>
          <w:rtl/>
        </w:rPr>
        <w:t xml:space="preserve">احتساب التوزيعات المقترحة.</w:t>
      </w:r>
    </w:p>
    <w:p>
      <w:pPr>
        <w:pStyle w:val="Heading3"/>
        <w:bidi/>
        <w:spacing w:after="120" w:before="200"/>
        <w:jc w:val="right"/>
      </w:pPr>
      <w:r>
        <w:rPr>
          <w:rFonts w:ascii="Arial" w:cs="Arial" w:eastAsia="Arial" w:hAnsi="Arial"/>
          <w:b/>
          <w:bCs/>
          <w:color w:val="1F4E79"/>
          <w:sz w:val="26"/>
          <w:szCs w:val="26"/>
          <w:rtl/>
        </w:rPr>
        <w:t xml:space="preserve">الإدارة القانونية</w:t>
      </w:r>
    </w:p>
    <w:p>
      <w:pPr>
        <w:pStyle w:val="ListParagraph"/>
        <w:numPr>
          <w:ilvl w:val="0"/>
          <w:numId w:val="2"/>
        </w:numPr>
        <w:bidi/>
        <w:spacing w:after="100" w:line="300"/>
        <w:jc w:val="right"/>
      </w:pPr>
      <w:r>
        <w:rPr>
          <w:rFonts w:ascii="Arial" w:cs="Arial" w:eastAsia="Arial" w:hAnsi="Arial"/>
          <w:sz w:val="24"/>
          <w:szCs w:val="24"/>
          <w:rtl/>
        </w:rPr>
        <w:t xml:space="preserve">المراجعة القانونية للوثائق.</w:t>
      </w:r>
    </w:p>
    <w:p>
      <w:pPr>
        <w:pStyle w:val="ListParagraph"/>
        <w:numPr>
          <w:ilvl w:val="0"/>
          <w:numId w:val="2"/>
        </w:numPr>
        <w:bidi/>
        <w:spacing w:after="100" w:line="300"/>
        <w:jc w:val="right"/>
      </w:pPr>
      <w:r>
        <w:rPr>
          <w:rFonts w:ascii="Arial" w:cs="Arial" w:eastAsia="Arial" w:hAnsi="Arial"/>
          <w:sz w:val="24"/>
          <w:szCs w:val="24"/>
          <w:rtl/>
        </w:rPr>
        <w:t xml:space="preserve">ضمان الامتثال للأنظمة.</w:t>
      </w:r>
    </w:p>
    <w:p>
      <w:pPr>
        <w:pStyle w:val="ListParagraph"/>
        <w:numPr>
          <w:ilvl w:val="0"/>
          <w:numId w:val="2"/>
        </w:numPr>
        <w:bidi/>
        <w:spacing w:after="100" w:line="300"/>
        <w:jc w:val="right"/>
      </w:pPr>
      <w:r>
        <w:rPr>
          <w:rFonts w:ascii="Arial" w:cs="Arial" w:eastAsia="Arial" w:hAnsi="Arial"/>
          <w:sz w:val="24"/>
          <w:szCs w:val="24"/>
          <w:rtl/>
        </w:rPr>
        <w:t xml:space="preserve">صياغة القرارات بدقة قانونية.</w:t>
      </w:r>
    </w:p>
    <w:p>
      <w:pPr>
        <w:pStyle w:val="ListParagraph"/>
        <w:numPr>
          <w:ilvl w:val="0"/>
          <w:numId w:val="2"/>
        </w:numPr>
        <w:bidi/>
        <w:spacing w:after="100" w:line="300"/>
        <w:jc w:val="right"/>
      </w:pPr>
      <w:r>
        <w:rPr>
          <w:rFonts w:ascii="Arial" w:cs="Arial" w:eastAsia="Arial" w:hAnsi="Arial"/>
          <w:sz w:val="24"/>
          <w:szCs w:val="24"/>
          <w:rtl/>
        </w:rPr>
        <w:t xml:space="preserve">التعامل مع المسائل القانونية الطارئة.</w:t>
      </w:r>
    </w:p>
    <w:p>
      <w:pPr>
        <w:pStyle w:val="Heading3"/>
        <w:bidi/>
        <w:spacing w:after="120" w:before="200"/>
        <w:jc w:val="right"/>
      </w:pPr>
      <w:r>
        <w:rPr>
          <w:rFonts w:ascii="Arial" w:cs="Arial" w:eastAsia="Arial" w:hAnsi="Arial"/>
          <w:b/>
          <w:bCs/>
          <w:color w:val="1F4E79"/>
          <w:sz w:val="26"/>
          <w:szCs w:val="26"/>
          <w:rtl/>
        </w:rPr>
        <w:t xml:space="preserve">الإدارة التقنية / تقنية المعلومات</w:t>
      </w:r>
    </w:p>
    <w:p>
      <w:pPr>
        <w:pStyle w:val="ListParagraph"/>
        <w:numPr>
          <w:ilvl w:val="0"/>
          <w:numId w:val="2"/>
        </w:numPr>
        <w:bidi/>
        <w:spacing w:after="100" w:line="300"/>
        <w:jc w:val="right"/>
      </w:pPr>
      <w:r>
        <w:rPr>
          <w:rFonts w:ascii="Arial" w:cs="Arial" w:eastAsia="Arial" w:hAnsi="Arial"/>
          <w:sz w:val="24"/>
          <w:szCs w:val="24"/>
          <w:rtl/>
        </w:rPr>
        <w:t xml:space="preserve">توفير البنية التحتية التقنية.</w:t>
      </w:r>
    </w:p>
    <w:p>
      <w:pPr>
        <w:pStyle w:val="ListParagraph"/>
        <w:numPr>
          <w:ilvl w:val="0"/>
          <w:numId w:val="2"/>
        </w:numPr>
        <w:bidi/>
        <w:spacing w:after="100" w:line="300"/>
        <w:jc w:val="right"/>
      </w:pPr>
      <w:r>
        <w:rPr>
          <w:rFonts w:ascii="Arial" w:cs="Arial" w:eastAsia="Arial" w:hAnsi="Arial"/>
          <w:sz w:val="24"/>
          <w:szCs w:val="24"/>
          <w:rtl/>
        </w:rPr>
        <w:t xml:space="preserve">اختبار أنظمة التصويت والبث.</w:t>
      </w:r>
    </w:p>
    <w:p>
      <w:pPr>
        <w:pStyle w:val="ListParagraph"/>
        <w:numPr>
          <w:ilvl w:val="0"/>
          <w:numId w:val="2"/>
        </w:numPr>
        <w:bidi/>
        <w:spacing w:after="100" w:line="300"/>
        <w:jc w:val="right"/>
      </w:pPr>
      <w:r>
        <w:rPr>
          <w:rFonts w:ascii="Arial" w:cs="Arial" w:eastAsia="Arial" w:hAnsi="Arial"/>
          <w:sz w:val="24"/>
          <w:szCs w:val="24"/>
          <w:rtl/>
        </w:rPr>
        <w:t xml:space="preserve">الأمن السيبراني.</w:t>
      </w:r>
    </w:p>
    <w:p>
      <w:pPr>
        <w:pStyle w:val="ListParagraph"/>
        <w:numPr>
          <w:ilvl w:val="0"/>
          <w:numId w:val="2"/>
        </w:numPr>
        <w:bidi/>
        <w:spacing w:after="100" w:line="300"/>
        <w:jc w:val="right"/>
      </w:pPr>
      <w:r>
        <w:rPr>
          <w:rFonts w:ascii="Arial" w:cs="Arial" w:eastAsia="Arial" w:hAnsi="Arial"/>
          <w:sz w:val="24"/>
          <w:szCs w:val="24"/>
          <w:rtl/>
        </w:rPr>
        <w:t xml:space="preserve">الدعم الفني يوم الجمعية.</w:t>
      </w:r>
    </w:p>
    <w:p>
      <w:pPr>
        <w:pStyle w:val="Heading2"/>
        <w:bidi/>
        <w:spacing w:after="160" w:before="280"/>
        <w:jc w:val="right"/>
      </w:pPr>
      <w:r>
        <w:rPr>
          <w:rFonts w:ascii="Arial" w:cs="Arial" w:eastAsia="Arial" w:hAnsi="Arial"/>
          <w:b/>
          <w:bCs/>
          <w:color w:val="2E75B6"/>
          <w:sz w:val="30"/>
          <w:szCs w:val="30"/>
          <w:rtl/>
        </w:rPr>
        <w:t xml:space="preserve">3. الفرق الداعمة</w:t>
      </w:r>
    </w:p>
    <w:p>
      <w:pPr>
        <w:pStyle w:val="Heading3"/>
        <w:bidi/>
        <w:spacing w:after="120" w:before="200"/>
        <w:jc w:val="right"/>
      </w:pPr>
      <w:r>
        <w:rPr>
          <w:rFonts w:ascii="Arial" w:cs="Arial" w:eastAsia="Arial" w:hAnsi="Arial"/>
          <w:b/>
          <w:bCs/>
          <w:color w:val="1F4E79"/>
          <w:sz w:val="26"/>
          <w:szCs w:val="26"/>
          <w:rtl/>
        </w:rPr>
        <w:t xml:space="preserve">الإدارة اللوجستية</w:t>
      </w:r>
    </w:p>
    <w:p>
      <w:pPr>
        <w:pStyle w:val="ListParagraph"/>
        <w:numPr>
          <w:ilvl w:val="0"/>
          <w:numId w:val="2"/>
        </w:numPr>
        <w:bidi/>
        <w:spacing w:after="100" w:line="300"/>
        <w:jc w:val="right"/>
      </w:pPr>
      <w:r>
        <w:rPr>
          <w:rFonts w:ascii="Arial" w:cs="Arial" w:eastAsia="Arial" w:hAnsi="Arial"/>
          <w:sz w:val="24"/>
          <w:szCs w:val="24"/>
          <w:rtl/>
        </w:rPr>
        <w:t xml:space="preserve">ترتيبات المكان (للجمعيات الجسدية).</w:t>
      </w:r>
    </w:p>
    <w:p>
      <w:pPr>
        <w:pStyle w:val="ListParagraph"/>
        <w:numPr>
          <w:ilvl w:val="0"/>
          <w:numId w:val="2"/>
        </w:numPr>
        <w:bidi/>
        <w:spacing w:after="100" w:line="300"/>
        <w:jc w:val="right"/>
      </w:pPr>
      <w:r>
        <w:rPr>
          <w:rFonts w:ascii="Arial" w:cs="Arial" w:eastAsia="Arial" w:hAnsi="Arial"/>
          <w:sz w:val="24"/>
          <w:szCs w:val="24"/>
          <w:rtl/>
        </w:rPr>
        <w:t xml:space="preserve">الضيافة والاستقبال.</w:t>
      </w:r>
    </w:p>
    <w:p>
      <w:pPr>
        <w:pStyle w:val="ListParagraph"/>
        <w:numPr>
          <w:ilvl w:val="0"/>
          <w:numId w:val="2"/>
        </w:numPr>
        <w:bidi/>
        <w:spacing w:after="100" w:line="300"/>
        <w:jc w:val="right"/>
      </w:pPr>
      <w:r>
        <w:rPr>
          <w:rFonts w:ascii="Arial" w:cs="Arial" w:eastAsia="Arial" w:hAnsi="Arial"/>
          <w:sz w:val="24"/>
          <w:szCs w:val="24"/>
          <w:rtl/>
        </w:rPr>
        <w:t xml:space="preserve">الأمن والسلامة.</w:t>
      </w:r>
    </w:p>
    <w:p>
      <w:pPr>
        <w:pStyle w:val="ListParagraph"/>
        <w:numPr>
          <w:ilvl w:val="0"/>
          <w:numId w:val="2"/>
        </w:numPr>
        <w:bidi/>
        <w:spacing w:after="100" w:line="300"/>
        <w:jc w:val="right"/>
      </w:pPr>
      <w:r>
        <w:rPr>
          <w:rFonts w:ascii="Arial" w:cs="Arial" w:eastAsia="Arial" w:hAnsi="Arial"/>
          <w:sz w:val="24"/>
          <w:szCs w:val="24"/>
          <w:rtl/>
        </w:rPr>
        <w:t xml:space="preserve">النقل والإقامة.</w:t>
      </w:r>
    </w:p>
    <w:p>
      <w:pPr>
        <w:pStyle w:val="Heading3"/>
        <w:bidi/>
        <w:spacing w:after="120" w:before="200"/>
        <w:jc w:val="right"/>
      </w:pPr>
      <w:r>
        <w:rPr>
          <w:rFonts w:ascii="Arial" w:cs="Arial" w:eastAsia="Arial" w:hAnsi="Arial"/>
          <w:b/>
          <w:bCs/>
          <w:color w:val="1F4E79"/>
          <w:sz w:val="26"/>
          <w:szCs w:val="26"/>
          <w:rtl/>
        </w:rPr>
        <w:t xml:space="preserve">التواصل والإعلام</w:t>
      </w:r>
    </w:p>
    <w:p>
      <w:pPr>
        <w:pStyle w:val="ListParagraph"/>
        <w:numPr>
          <w:ilvl w:val="0"/>
          <w:numId w:val="2"/>
        </w:numPr>
        <w:bidi/>
        <w:spacing w:after="100" w:line="300"/>
        <w:jc w:val="right"/>
      </w:pPr>
      <w:r>
        <w:rPr>
          <w:rFonts w:ascii="Arial" w:cs="Arial" w:eastAsia="Arial" w:hAnsi="Arial"/>
          <w:sz w:val="24"/>
          <w:szCs w:val="24"/>
          <w:rtl/>
        </w:rPr>
        <w:t xml:space="preserve">التغطية الإعلامية.</w:t>
      </w:r>
    </w:p>
    <w:p>
      <w:pPr>
        <w:pStyle w:val="ListParagraph"/>
        <w:numPr>
          <w:ilvl w:val="0"/>
          <w:numId w:val="2"/>
        </w:numPr>
        <w:bidi/>
        <w:spacing w:after="100" w:line="300"/>
        <w:jc w:val="right"/>
      </w:pPr>
      <w:r>
        <w:rPr>
          <w:rFonts w:ascii="Arial" w:cs="Arial" w:eastAsia="Arial" w:hAnsi="Arial"/>
          <w:sz w:val="24"/>
          <w:szCs w:val="24"/>
          <w:rtl/>
        </w:rPr>
        <w:t xml:space="preserve">المواد الترويجية والتوضيحية.</w:t>
      </w:r>
    </w:p>
    <w:p>
      <w:pPr>
        <w:pStyle w:val="ListParagraph"/>
        <w:numPr>
          <w:ilvl w:val="0"/>
          <w:numId w:val="2"/>
        </w:numPr>
        <w:bidi/>
        <w:spacing w:after="100" w:line="300"/>
        <w:jc w:val="right"/>
      </w:pPr>
      <w:r>
        <w:rPr>
          <w:rFonts w:ascii="Arial" w:cs="Arial" w:eastAsia="Arial" w:hAnsi="Arial"/>
          <w:sz w:val="24"/>
          <w:szCs w:val="24"/>
          <w:rtl/>
        </w:rPr>
        <w:t xml:space="preserve">التواصل مع وسائل الإعلام.</w:t>
      </w:r>
    </w:p>
    <w:p>
      <w:pPr>
        <w:pStyle w:val="Heading3"/>
        <w:bidi/>
        <w:spacing w:after="120" w:before="200"/>
        <w:jc w:val="right"/>
      </w:pPr>
      <w:r>
        <w:rPr>
          <w:rFonts w:ascii="Arial" w:cs="Arial" w:eastAsia="Arial" w:hAnsi="Arial"/>
          <w:b/>
          <w:bCs/>
          <w:color w:val="1F4E79"/>
          <w:sz w:val="26"/>
          <w:szCs w:val="26"/>
          <w:rtl/>
        </w:rPr>
        <w:t xml:space="preserve">الموارد البشرية</w:t>
      </w:r>
    </w:p>
    <w:p>
      <w:pPr>
        <w:pStyle w:val="ListParagraph"/>
        <w:numPr>
          <w:ilvl w:val="0"/>
          <w:numId w:val="2"/>
        </w:numPr>
        <w:bidi/>
        <w:spacing w:after="100" w:line="300"/>
        <w:jc w:val="right"/>
      </w:pPr>
      <w:r>
        <w:rPr>
          <w:rFonts w:ascii="Arial" w:cs="Arial" w:eastAsia="Arial" w:hAnsi="Arial"/>
          <w:sz w:val="24"/>
          <w:szCs w:val="24"/>
          <w:rtl/>
        </w:rPr>
        <w:t xml:space="preserve">تدريب الفريق.</w:t>
      </w:r>
    </w:p>
    <w:p>
      <w:pPr>
        <w:pStyle w:val="ListParagraph"/>
        <w:numPr>
          <w:ilvl w:val="0"/>
          <w:numId w:val="2"/>
        </w:numPr>
        <w:bidi/>
        <w:spacing w:after="100" w:line="300"/>
        <w:jc w:val="right"/>
      </w:pPr>
      <w:r>
        <w:rPr>
          <w:rFonts w:ascii="Arial" w:cs="Arial" w:eastAsia="Arial" w:hAnsi="Arial"/>
          <w:sz w:val="24"/>
          <w:szCs w:val="24"/>
          <w:rtl/>
        </w:rPr>
        <w:t xml:space="preserve">توفير المتطوعين.</w:t>
      </w:r>
    </w:p>
    <w:p>
      <w:pPr>
        <w:pStyle w:val="ListParagraph"/>
        <w:numPr>
          <w:ilvl w:val="0"/>
          <w:numId w:val="2"/>
        </w:numPr>
        <w:bidi/>
        <w:spacing w:after="100" w:line="300"/>
        <w:jc w:val="right"/>
      </w:pPr>
      <w:r>
        <w:rPr>
          <w:rFonts w:ascii="Arial" w:cs="Arial" w:eastAsia="Arial" w:hAnsi="Arial"/>
          <w:sz w:val="24"/>
          <w:szCs w:val="24"/>
          <w:rtl/>
        </w:rPr>
        <w:t xml:space="preserve">التنسيق الداخلي.</w:t>
      </w:r>
    </w:p>
    <w:p>
      <w:pPr>
        <w:pStyle w:val="Heading2"/>
        <w:bidi/>
        <w:spacing w:after="160" w:before="280"/>
        <w:jc w:val="right"/>
      </w:pPr>
      <w:r>
        <w:rPr>
          <w:rFonts w:ascii="Arial" w:cs="Arial" w:eastAsia="Arial" w:hAnsi="Arial"/>
          <w:b/>
          <w:bCs/>
          <w:color w:val="2E75B6"/>
          <w:sz w:val="30"/>
          <w:szCs w:val="30"/>
          <w:rtl/>
        </w:rPr>
        <w:t xml:space="preserve">4. المستشارون والشركاء الخارجيون</w:t>
      </w:r>
    </w:p>
    <w:p>
      <w:pPr>
        <w:pStyle w:val="ListParagraph"/>
        <w:numPr>
          <w:ilvl w:val="0"/>
          <w:numId w:val="2"/>
        </w:numPr>
        <w:bidi/>
        <w:spacing w:after="100" w:line="300"/>
        <w:jc w:val="right"/>
      </w:pPr>
      <w:r>
        <w:rPr>
          <w:rFonts w:ascii="Arial" w:cs="Arial" w:eastAsia="Arial" w:hAnsi="Arial"/>
          <w:sz w:val="24"/>
          <w:szCs w:val="24"/>
          <w:rtl/>
        </w:rPr>
        <w:t xml:space="preserve">مراجع الحسابات الخارجي.</w:t>
      </w:r>
    </w:p>
    <w:p>
      <w:pPr>
        <w:pStyle w:val="ListParagraph"/>
        <w:numPr>
          <w:ilvl w:val="0"/>
          <w:numId w:val="2"/>
        </w:numPr>
        <w:bidi/>
        <w:spacing w:after="100" w:line="300"/>
        <w:jc w:val="right"/>
      </w:pPr>
      <w:r>
        <w:rPr>
          <w:rFonts w:ascii="Arial" w:cs="Arial" w:eastAsia="Arial" w:hAnsi="Arial"/>
          <w:sz w:val="24"/>
          <w:szCs w:val="24"/>
          <w:rtl/>
        </w:rPr>
        <w:t xml:space="preserve">المستشار القانوني الخارجي (للحالات المعقدة).</w:t>
      </w:r>
    </w:p>
    <w:p>
      <w:pPr>
        <w:pStyle w:val="ListParagraph"/>
        <w:numPr>
          <w:ilvl w:val="0"/>
          <w:numId w:val="2"/>
        </w:numPr>
        <w:bidi/>
        <w:spacing w:after="100" w:line="300"/>
        <w:jc w:val="right"/>
      </w:pPr>
      <w:r>
        <w:rPr>
          <w:rFonts w:ascii="Arial" w:cs="Arial" w:eastAsia="Arial" w:hAnsi="Arial"/>
          <w:sz w:val="24"/>
          <w:szCs w:val="24"/>
          <w:rtl/>
        </w:rPr>
        <w:t xml:space="preserve">مزود خدمات التصويت الإلكتروني.</w:t>
      </w:r>
    </w:p>
    <w:p>
      <w:pPr>
        <w:pStyle w:val="ListParagraph"/>
        <w:numPr>
          <w:ilvl w:val="0"/>
          <w:numId w:val="2"/>
        </w:numPr>
        <w:bidi/>
        <w:spacing w:after="100" w:line="300"/>
        <w:jc w:val="right"/>
      </w:pPr>
      <w:r>
        <w:rPr>
          <w:rFonts w:ascii="Arial" w:cs="Arial" w:eastAsia="Arial" w:hAnsi="Arial"/>
          <w:sz w:val="24"/>
          <w:szCs w:val="24"/>
          <w:rtl/>
        </w:rPr>
        <w:t xml:space="preserve">شركة العلاقات العامة (إن وُجدت).</w:t>
      </w:r>
    </w:p>
    <w:p>
      <w:pPr>
        <w:pStyle w:val="ListParagraph"/>
        <w:numPr>
          <w:ilvl w:val="0"/>
          <w:numId w:val="2"/>
        </w:numPr>
        <w:bidi/>
        <w:spacing w:after="100" w:line="300"/>
        <w:jc w:val="right"/>
      </w:pPr>
      <w:r>
        <w:rPr>
          <w:rFonts w:ascii="Arial" w:cs="Arial" w:eastAsia="Arial" w:hAnsi="Arial"/>
          <w:sz w:val="24"/>
          <w:szCs w:val="24"/>
          <w:rtl/>
        </w:rPr>
        <w:t xml:space="preserve">مركز إيداع (للشركات المدرجة).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إعداد جدول الأعمال</w:t>
      </w:r>
    </w:p>
    <w:p>
      <w:pPr>
        <w:bidi/>
        <w:spacing w:after="140" w:line="320"/>
        <w:jc w:val="both"/>
      </w:pPr>
      <w:r>
        <w:rPr>
          <w:rFonts w:ascii="Arial" w:cs="Arial" w:eastAsia="Arial" w:hAnsi="Arial"/>
          <w:sz w:val="24"/>
          <w:szCs w:val="24"/>
          <w:rtl/>
        </w:rPr>
        <w:t xml:space="preserve">جدول الأعمال هو خارطة الجمعية. إعداده بعناية يضمن سيراً منظماً وفعّالاً للجمعية، وتغطية جميع الموضوعات المطلوبة وفق الأولوية المنطقية.</w:t>
      </w:r>
    </w:p>
    <w:p>
      <w:pPr>
        <w:pStyle w:val="Heading2"/>
        <w:bidi/>
        <w:spacing w:after="160" w:before="280"/>
        <w:jc w:val="right"/>
      </w:pPr>
      <w:r>
        <w:rPr>
          <w:rFonts w:ascii="Arial" w:cs="Arial" w:eastAsia="Arial" w:hAnsi="Arial"/>
          <w:b/>
          <w:bCs/>
          <w:color w:val="2E75B6"/>
          <w:sz w:val="30"/>
          <w:szCs w:val="30"/>
          <w:rtl/>
        </w:rPr>
        <w:t xml:space="preserve">1. مبادئ إعداد جدول الأعمال</w:t>
      </w:r>
    </w:p>
    <w:p>
      <w:pPr>
        <w:pStyle w:val="Heading3"/>
        <w:bidi/>
        <w:spacing w:after="120" w:before="200"/>
        <w:jc w:val="right"/>
      </w:pPr>
      <w:r>
        <w:rPr>
          <w:rFonts w:ascii="Arial" w:cs="Arial" w:eastAsia="Arial" w:hAnsi="Arial"/>
          <w:b/>
          <w:bCs/>
          <w:color w:val="1F4E79"/>
          <w:sz w:val="26"/>
          <w:szCs w:val="26"/>
          <w:rtl/>
        </w:rPr>
        <w:t xml:space="preserve">الشمولية</w:t>
      </w:r>
    </w:p>
    <w:p>
      <w:pPr>
        <w:bidi/>
        <w:spacing w:after="140" w:line="320"/>
        <w:jc w:val="both"/>
      </w:pPr>
      <w:r>
        <w:rPr>
          <w:rFonts w:ascii="Arial" w:cs="Arial" w:eastAsia="Arial" w:hAnsi="Arial"/>
          <w:sz w:val="24"/>
          <w:szCs w:val="24"/>
          <w:rtl/>
        </w:rPr>
        <w:t xml:space="preserve">يجب أن يُغطي جدول الأعمال جميع البنود التي يستوجب النظام عرضها على الجمعية، بالإضافة إلى أي بنود تستوجبها الظروف.</w:t>
      </w:r>
    </w:p>
    <w:p>
      <w:pPr>
        <w:pStyle w:val="Heading3"/>
        <w:bidi/>
        <w:spacing w:after="120" w:before="200"/>
        <w:jc w:val="right"/>
      </w:pPr>
      <w:r>
        <w:rPr>
          <w:rFonts w:ascii="Arial" w:cs="Arial" w:eastAsia="Arial" w:hAnsi="Arial"/>
          <w:b/>
          <w:bCs/>
          <w:color w:val="1F4E79"/>
          <w:sz w:val="26"/>
          <w:szCs w:val="26"/>
          <w:rtl/>
        </w:rPr>
        <w:t xml:space="preserve">الترتيب المنطقي</w:t>
      </w:r>
    </w:p>
    <w:p>
      <w:pPr>
        <w:bidi/>
        <w:spacing w:after="140" w:line="320"/>
        <w:jc w:val="both"/>
      </w:pPr>
      <w:r>
        <w:rPr>
          <w:rFonts w:ascii="Arial" w:cs="Arial" w:eastAsia="Arial" w:hAnsi="Arial"/>
          <w:sz w:val="24"/>
          <w:szCs w:val="24"/>
          <w:rtl/>
        </w:rPr>
        <w:t xml:space="preserve">الترتيب يجب أن يكون منطقياً، عادةً يبدأ بـ:</w:t>
      </w:r>
    </w:p>
    <w:p>
      <w:pPr>
        <w:pStyle w:val="ListParagraph"/>
        <w:numPr>
          <w:ilvl w:val="0"/>
          <w:numId w:val="3"/>
        </w:numPr>
        <w:bidi/>
        <w:spacing w:after="100" w:line="300"/>
        <w:jc w:val="right"/>
      </w:pPr>
      <w:r>
        <w:rPr>
          <w:rFonts w:ascii="Arial" w:cs="Arial" w:eastAsia="Arial" w:hAnsi="Arial"/>
          <w:sz w:val="24"/>
          <w:szCs w:val="24"/>
          <w:rtl/>
        </w:rPr>
        <w:t xml:space="preserve">الافتتاح والترحيب.</w:t>
      </w:r>
    </w:p>
    <w:p>
      <w:pPr>
        <w:pStyle w:val="ListParagraph"/>
        <w:numPr>
          <w:ilvl w:val="0"/>
          <w:numId w:val="3"/>
        </w:numPr>
        <w:bidi/>
        <w:spacing w:after="100" w:line="300"/>
        <w:jc w:val="right"/>
      </w:pPr>
      <w:r>
        <w:rPr>
          <w:rFonts w:ascii="Arial" w:cs="Arial" w:eastAsia="Arial" w:hAnsi="Arial"/>
          <w:sz w:val="24"/>
          <w:szCs w:val="24"/>
          <w:rtl/>
        </w:rPr>
        <w:t xml:space="preserve">التحقق من النصاب.</w:t>
      </w:r>
    </w:p>
    <w:p>
      <w:pPr>
        <w:pStyle w:val="ListParagraph"/>
        <w:numPr>
          <w:ilvl w:val="0"/>
          <w:numId w:val="3"/>
        </w:numPr>
        <w:bidi/>
        <w:spacing w:after="100" w:line="300"/>
        <w:jc w:val="right"/>
      </w:pPr>
      <w:r>
        <w:rPr>
          <w:rFonts w:ascii="Arial" w:cs="Arial" w:eastAsia="Arial" w:hAnsi="Arial"/>
          <w:sz w:val="24"/>
          <w:szCs w:val="24"/>
          <w:rtl/>
        </w:rPr>
        <w:t xml:space="preserve">عرض التقارير (مجلس الإدارة، مراجع الحسابات).</w:t>
      </w:r>
    </w:p>
    <w:p>
      <w:pPr>
        <w:pStyle w:val="ListParagraph"/>
        <w:numPr>
          <w:ilvl w:val="0"/>
          <w:numId w:val="3"/>
        </w:numPr>
        <w:bidi/>
        <w:spacing w:after="100" w:line="300"/>
        <w:jc w:val="right"/>
      </w:pPr>
      <w:r>
        <w:rPr>
          <w:rFonts w:ascii="Arial" w:cs="Arial" w:eastAsia="Arial" w:hAnsi="Arial"/>
          <w:sz w:val="24"/>
          <w:szCs w:val="24"/>
          <w:rtl/>
        </w:rPr>
        <w:t xml:space="preserve">القرارات الإجرائية (اعتماد القوائم، إبراء الذمة).</w:t>
      </w:r>
    </w:p>
    <w:p>
      <w:pPr>
        <w:pStyle w:val="ListParagraph"/>
        <w:numPr>
          <w:ilvl w:val="0"/>
          <w:numId w:val="3"/>
        </w:numPr>
        <w:bidi/>
        <w:spacing w:after="100" w:line="300"/>
        <w:jc w:val="right"/>
      </w:pPr>
      <w:r>
        <w:rPr>
          <w:rFonts w:ascii="Arial" w:cs="Arial" w:eastAsia="Arial" w:hAnsi="Arial"/>
          <w:sz w:val="24"/>
          <w:szCs w:val="24"/>
          <w:rtl/>
        </w:rPr>
        <w:t xml:space="preserve">القرارات الموضوعية (التوزيعات، التعيينات).</w:t>
      </w:r>
    </w:p>
    <w:p>
      <w:pPr>
        <w:pStyle w:val="ListParagraph"/>
        <w:numPr>
          <w:ilvl w:val="0"/>
          <w:numId w:val="3"/>
        </w:numPr>
        <w:bidi/>
        <w:spacing w:after="100" w:line="300"/>
        <w:jc w:val="right"/>
      </w:pPr>
      <w:r>
        <w:rPr>
          <w:rFonts w:ascii="Arial" w:cs="Arial" w:eastAsia="Arial" w:hAnsi="Arial"/>
          <w:sz w:val="24"/>
          <w:szCs w:val="24"/>
          <w:rtl/>
        </w:rPr>
        <w:t xml:space="preserve">القرارات الخاصة بالنظام الأساس (للجمعية غير العادية).</w:t>
      </w:r>
    </w:p>
    <w:p>
      <w:pPr>
        <w:pStyle w:val="ListParagraph"/>
        <w:numPr>
          <w:ilvl w:val="0"/>
          <w:numId w:val="3"/>
        </w:numPr>
        <w:bidi/>
        <w:spacing w:after="100" w:line="300"/>
        <w:jc w:val="right"/>
      </w:pPr>
      <w:r>
        <w:rPr>
          <w:rFonts w:ascii="Arial" w:cs="Arial" w:eastAsia="Arial" w:hAnsi="Arial"/>
          <w:sz w:val="24"/>
          <w:szCs w:val="24"/>
          <w:rtl/>
        </w:rPr>
        <w:t xml:space="preserve">أمور أخرى.</w:t>
      </w:r>
    </w:p>
    <w:p>
      <w:pPr>
        <w:pStyle w:val="ListParagraph"/>
        <w:numPr>
          <w:ilvl w:val="0"/>
          <w:numId w:val="3"/>
        </w:numPr>
        <w:bidi/>
        <w:spacing w:after="100" w:line="300"/>
        <w:jc w:val="right"/>
      </w:pPr>
      <w:r>
        <w:rPr>
          <w:rFonts w:ascii="Arial" w:cs="Arial" w:eastAsia="Arial" w:hAnsi="Arial"/>
          <w:sz w:val="24"/>
          <w:szCs w:val="24"/>
          <w:rtl/>
        </w:rPr>
        <w:t xml:space="preserve">الختام.</w:t>
      </w:r>
    </w:p>
    <w:p>
      <w:pPr>
        <w:pStyle w:val="Heading3"/>
        <w:bidi/>
        <w:spacing w:after="120" w:before="200"/>
        <w:jc w:val="right"/>
      </w:pPr>
      <w:r>
        <w:rPr>
          <w:rFonts w:ascii="Arial" w:cs="Arial" w:eastAsia="Arial" w:hAnsi="Arial"/>
          <w:b/>
          <w:bCs/>
          <w:color w:val="1F4E79"/>
          <w:sz w:val="26"/>
          <w:szCs w:val="26"/>
          <w:rtl/>
        </w:rPr>
        <w:t xml:space="preserve">الوضوح</w:t>
      </w:r>
    </w:p>
    <w:p>
      <w:pPr>
        <w:bidi/>
        <w:spacing w:after="140" w:line="320"/>
        <w:jc w:val="both"/>
      </w:pPr>
      <w:r>
        <w:rPr>
          <w:rFonts w:ascii="Arial" w:cs="Arial" w:eastAsia="Arial" w:hAnsi="Arial"/>
          <w:sz w:val="24"/>
          <w:szCs w:val="24"/>
          <w:rtl/>
        </w:rPr>
        <w:t xml:space="preserve">صياغة كل بند بوضوح يُفهم منه:</w:t>
      </w:r>
    </w:p>
    <w:p>
      <w:pPr>
        <w:pStyle w:val="ListParagraph"/>
        <w:numPr>
          <w:ilvl w:val="0"/>
          <w:numId w:val="2"/>
        </w:numPr>
        <w:bidi/>
        <w:spacing w:after="100" w:line="300"/>
        <w:jc w:val="right"/>
      </w:pPr>
      <w:r>
        <w:rPr>
          <w:rFonts w:ascii="Arial" w:cs="Arial" w:eastAsia="Arial" w:hAnsi="Arial"/>
          <w:sz w:val="24"/>
          <w:szCs w:val="24"/>
          <w:rtl/>
        </w:rPr>
        <w:t xml:space="preserve">الموضوع المطروح.</w:t>
      </w:r>
    </w:p>
    <w:p>
      <w:pPr>
        <w:pStyle w:val="ListParagraph"/>
        <w:numPr>
          <w:ilvl w:val="0"/>
          <w:numId w:val="2"/>
        </w:numPr>
        <w:bidi/>
        <w:spacing w:after="100" w:line="300"/>
        <w:jc w:val="right"/>
      </w:pPr>
      <w:r>
        <w:rPr>
          <w:rFonts w:ascii="Arial" w:cs="Arial" w:eastAsia="Arial" w:hAnsi="Arial"/>
          <w:sz w:val="24"/>
          <w:szCs w:val="24"/>
          <w:rtl/>
        </w:rPr>
        <w:t xml:space="preserve">القرار المقترح بدقة.</w:t>
      </w:r>
    </w:p>
    <w:p>
      <w:pPr>
        <w:pStyle w:val="ListParagraph"/>
        <w:numPr>
          <w:ilvl w:val="0"/>
          <w:numId w:val="2"/>
        </w:numPr>
        <w:bidi/>
        <w:spacing w:after="100" w:line="300"/>
        <w:jc w:val="right"/>
      </w:pPr>
      <w:r>
        <w:rPr>
          <w:rFonts w:ascii="Arial" w:cs="Arial" w:eastAsia="Arial" w:hAnsi="Arial"/>
          <w:sz w:val="24"/>
          <w:szCs w:val="24"/>
          <w:rtl/>
        </w:rPr>
        <w:t xml:space="preserve">الأساس القانوني للقرار.</w:t>
      </w:r>
    </w:p>
    <w:p>
      <w:pPr>
        <w:pStyle w:val="ListParagraph"/>
        <w:numPr>
          <w:ilvl w:val="0"/>
          <w:numId w:val="2"/>
        </w:numPr>
        <w:bidi/>
        <w:spacing w:after="100" w:line="300"/>
        <w:jc w:val="right"/>
      </w:pPr>
      <w:r>
        <w:rPr>
          <w:rFonts w:ascii="Arial" w:cs="Arial" w:eastAsia="Arial" w:hAnsi="Arial"/>
          <w:sz w:val="24"/>
          <w:szCs w:val="24"/>
          <w:rtl/>
        </w:rPr>
        <w:t xml:space="preserve">الأثر المتوقع.</w:t>
      </w:r>
    </w:p>
    <w:p>
      <w:pPr>
        <w:pStyle w:val="Heading3"/>
        <w:bidi/>
        <w:spacing w:after="120" w:before="200"/>
        <w:jc w:val="right"/>
      </w:pPr>
      <w:r>
        <w:rPr>
          <w:rFonts w:ascii="Arial" w:cs="Arial" w:eastAsia="Arial" w:hAnsi="Arial"/>
          <w:b/>
          <w:bCs/>
          <w:color w:val="1F4E79"/>
          <w:sz w:val="26"/>
          <w:szCs w:val="26"/>
          <w:rtl/>
        </w:rPr>
        <w:t xml:space="preserve">الواقعية</w:t>
      </w:r>
    </w:p>
    <w:p>
      <w:pPr>
        <w:bidi/>
        <w:spacing w:after="140" w:line="320"/>
        <w:jc w:val="both"/>
      </w:pPr>
      <w:r>
        <w:rPr>
          <w:rFonts w:ascii="Arial" w:cs="Arial" w:eastAsia="Arial" w:hAnsi="Arial"/>
          <w:sz w:val="24"/>
          <w:szCs w:val="24"/>
          <w:rtl/>
        </w:rPr>
        <w:t xml:space="preserve">ألا يكون عدد البنود مرهقاً، مع تخصيص وقت معقول لكل بند. عادةً، الجمعية السنوية تستغرق 1.5 إلى 3 ساعات.</w:t>
      </w:r>
    </w:p>
    <w:p>
      <w:pPr>
        <w:pStyle w:val="Heading2"/>
        <w:bidi/>
        <w:spacing w:after="160" w:before="280"/>
        <w:jc w:val="right"/>
      </w:pPr>
      <w:r>
        <w:rPr>
          <w:rFonts w:ascii="Arial" w:cs="Arial" w:eastAsia="Arial" w:hAnsi="Arial"/>
          <w:b/>
          <w:bCs/>
          <w:color w:val="2E75B6"/>
          <w:sz w:val="30"/>
          <w:szCs w:val="30"/>
          <w:rtl/>
        </w:rPr>
        <w:t xml:space="preserve">2. البنود الإلزامية في الجمعية العادية السنوية</w:t>
      </w:r>
    </w:p>
    <w:p>
      <w:pPr>
        <w:pStyle w:val="ListParagraph"/>
        <w:numPr>
          <w:ilvl w:val="0"/>
          <w:numId w:val="3"/>
        </w:numPr>
        <w:bidi/>
        <w:spacing w:after="100" w:line="300"/>
        <w:jc w:val="right"/>
      </w:pPr>
      <w:r>
        <w:rPr>
          <w:rFonts w:ascii="Arial" w:cs="Arial" w:eastAsia="Arial" w:hAnsi="Arial"/>
          <w:sz w:val="24"/>
          <w:szCs w:val="24"/>
          <w:rtl/>
        </w:rPr>
        <w:t xml:space="preserve">التحقق من النصاب القانوني.</w:t>
      </w:r>
    </w:p>
    <w:p>
      <w:pPr>
        <w:pStyle w:val="ListParagraph"/>
        <w:numPr>
          <w:ilvl w:val="0"/>
          <w:numId w:val="3"/>
        </w:numPr>
        <w:bidi/>
        <w:spacing w:after="100" w:line="300"/>
        <w:jc w:val="right"/>
      </w:pPr>
      <w:r>
        <w:rPr>
          <w:rFonts w:ascii="Arial" w:cs="Arial" w:eastAsia="Arial" w:hAnsi="Arial"/>
          <w:sz w:val="24"/>
          <w:szCs w:val="24"/>
          <w:rtl/>
        </w:rPr>
        <w:t xml:space="preserve">الموافقة على محضر الجمعية السابقة.</w:t>
      </w:r>
    </w:p>
    <w:p>
      <w:pPr>
        <w:pStyle w:val="ListParagraph"/>
        <w:numPr>
          <w:ilvl w:val="0"/>
          <w:numId w:val="3"/>
        </w:numPr>
        <w:bidi/>
        <w:spacing w:after="100" w:line="300"/>
        <w:jc w:val="right"/>
      </w:pPr>
      <w:r>
        <w:rPr>
          <w:rFonts w:ascii="Arial" w:cs="Arial" w:eastAsia="Arial" w:hAnsi="Arial"/>
          <w:sz w:val="24"/>
          <w:szCs w:val="24"/>
          <w:rtl/>
        </w:rPr>
        <w:t xml:space="preserve">استعراض تقرير مجلس الإدارة عن نشاط الشركة ومركزها المالي.</w:t>
      </w:r>
    </w:p>
    <w:p>
      <w:pPr>
        <w:pStyle w:val="ListParagraph"/>
        <w:numPr>
          <w:ilvl w:val="0"/>
          <w:numId w:val="3"/>
        </w:numPr>
        <w:bidi/>
        <w:spacing w:after="100" w:line="300"/>
        <w:jc w:val="right"/>
      </w:pPr>
      <w:r>
        <w:rPr>
          <w:rFonts w:ascii="Arial" w:cs="Arial" w:eastAsia="Arial" w:hAnsi="Arial"/>
          <w:sz w:val="24"/>
          <w:szCs w:val="24"/>
          <w:rtl/>
        </w:rPr>
        <w:t xml:space="preserve">استعراض تقرير مراجع الحسابات.</w:t>
      </w:r>
    </w:p>
    <w:p>
      <w:pPr>
        <w:pStyle w:val="ListParagraph"/>
        <w:numPr>
          <w:ilvl w:val="0"/>
          <w:numId w:val="3"/>
        </w:numPr>
        <w:bidi/>
        <w:spacing w:after="100" w:line="300"/>
        <w:jc w:val="right"/>
      </w:pPr>
      <w:r>
        <w:rPr>
          <w:rFonts w:ascii="Arial" w:cs="Arial" w:eastAsia="Arial" w:hAnsi="Arial"/>
          <w:sz w:val="24"/>
          <w:szCs w:val="24"/>
          <w:rtl/>
        </w:rPr>
        <w:t xml:space="preserve">الموافقة على القوائم المالية للسنة المنتهية.</w:t>
      </w:r>
    </w:p>
    <w:p>
      <w:pPr>
        <w:pStyle w:val="ListParagraph"/>
        <w:numPr>
          <w:ilvl w:val="0"/>
          <w:numId w:val="3"/>
        </w:numPr>
        <w:bidi/>
        <w:spacing w:after="100" w:line="300"/>
        <w:jc w:val="right"/>
      </w:pPr>
      <w:r>
        <w:rPr>
          <w:rFonts w:ascii="Arial" w:cs="Arial" w:eastAsia="Arial" w:hAnsi="Arial"/>
          <w:sz w:val="24"/>
          <w:szCs w:val="24"/>
          <w:rtl/>
        </w:rPr>
        <w:t xml:space="preserve">الموافقة على توصية المجلس بشأن توزيع الأرباح.</w:t>
      </w:r>
    </w:p>
    <w:p>
      <w:pPr>
        <w:pStyle w:val="ListParagraph"/>
        <w:numPr>
          <w:ilvl w:val="0"/>
          <w:numId w:val="3"/>
        </w:numPr>
        <w:bidi/>
        <w:spacing w:after="100" w:line="300"/>
        <w:jc w:val="right"/>
      </w:pPr>
      <w:r>
        <w:rPr>
          <w:rFonts w:ascii="Arial" w:cs="Arial" w:eastAsia="Arial" w:hAnsi="Arial"/>
          <w:sz w:val="24"/>
          <w:szCs w:val="24"/>
          <w:rtl/>
        </w:rPr>
        <w:t xml:space="preserve">إبراء ذمة أعضاء مجلس الإدارة.</w:t>
      </w:r>
    </w:p>
    <w:p>
      <w:pPr>
        <w:pStyle w:val="ListParagraph"/>
        <w:numPr>
          <w:ilvl w:val="0"/>
          <w:numId w:val="3"/>
        </w:numPr>
        <w:bidi/>
        <w:spacing w:after="100" w:line="300"/>
        <w:jc w:val="right"/>
      </w:pPr>
      <w:r>
        <w:rPr>
          <w:rFonts w:ascii="Arial" w:cs="Arial" w:eastAsia="Arial" w:hAnsi="Arial"/>
          <w:sz w:val="24"/>
          <w:szCs w:val="24"/>
          <w:rtl/>
        </w:rPr>
        <w:t xml:space="preserve">الموافقة على مكافآت أعضاء مجلس الإدارة.</w:t>
      </w:r>
    </w:p>
    <w:p>
      <w:pPr>
        <w:pStyle w:val="ListParagraph"/>
        <w:numPr>
          <w:ilvl w:val="0"/>
          <w:numId w:val="3"/>
        </w:numPr>
        <w:bidi/>
        <w:spacing w:after="100" w:line="300"/>
        <w:jc w:val="right"/>
      </w:pPr>
      <w:r>
        <w:rPr>
          <w:rFonts w:ascii="Arial" w:cs="Arial" w:eastAsia="Arial" w:hAnsi="Arial"/>
          <w:sz w:val="24"/>
          <w:szCs w:val="24"/>
          <w:rtl/>
        </w:rPr>
        <w:t xml:space="preserve">تعيين مراجع الحسابات وتحديد أتعابه.</w:t>
      </w:r>
    </w:p>
    <w:p>
      <w:pPr>
        <w:pStyle w:val="ListParagraph"/>
        <w:numPr>
          <w:ilvl w:val="0"/>
          <w:numId w:val="3"/>
        </w:numPr>
        <w:bidi/>
        <w:spacing w:after="100" w:line="300"/>
        <w:jc w:val="right"/>
      </w:pPr>
      <w:r>
        <w:rPr>
          <w:rFonts w:ascii="Arial" w:cs="Arial" w:eastAsia="Arial" w:hAnsi="Arial"/>
          <w:sz w:val="24"/>
          <w:szCs w:val="24"/>
          <w:rtl/>
        </w:rPr>
        <w:t xml:space="preserve">الموافقة على الأعمال والعقود مع الأطراف ذات العلاقة.</w:t>
      </w:r>
    </w:p>
    <w:p>
      <w:pPr>
        <w:pStyle w:val="Heading2"/>
        <w:bidi/>
        <w:spacing w:after="160" w:before="280"/>
        <w:jc w:val="right"/>
      </w:pPr>
      <w:r>
        <w:rPr>
          <w:rFonts w:ascii="Arial" w:cs="Arial" w:eastAsia="Arial" w:hAnsi="Arial"/>
          <w:b/>
          <w:bCs/>
          <w:color w:val="2E75B6"/>
          <w:sz w:val="30"/>
          <w:szCs w:val="30"/>
          <w:rtl/>
        </w:rPr>
        <w:t xml:space="preserve">3. بنود إضافية محتملة</w:t>
      </w:r>
    </w:p>
    <w:p>
      <w:pPr>
        <w:pStyle w:val="ListParagraph"/>
        <w:numPr>
          <w:ilvl w:val="0"/>
          <w:numId w:val="2"/>
        </w:numPr>
        <w:bidi/>
        <w:spacing w:after="100" w:line="300"/>
        <w:jc w:val="right"/>
      </w:pPr>
      <w:r>
        <w:rPr>
          <w:rFonts w:ascii="Arial" w:cs="Arial" w:eastAsia="Arial" w:hAnsi="Arial"/>
          <w:sz w:val="24"/>
          <w:szCs w:val="24"/>
          <w:rtl/>
        </w:rPr>
        <w:t xml:space="preserve">انتخاب أعضاء مجلس إدارة جدد (إذا حلت دورة المجلس).</w:t>
      </w:r>
    </w:p>
    <w:p>
      <w:pPr>
        <w:pStyle w:val="ListParagraph"/>
        <w:numPr>
          <w:ilvl w:val="0"/>
          <w:numId w:val="2"/>
        </w:numPr>
        <w:bidi/>
        <w:spacing w:after="100" w:line="300"/>
        <w:jc w:val="right"/>
      </w:pPr>
      <w:r>
        <w:rPr>
          <w:rFonts w:ascii="Arial" w:cs="Arial" w:eastAsia="Arial" w:hAnsi="Arial"/>
          <w:sz w:val="24"/>
          <w:szCs w:val="24"/>
          <w:rtl/>
        </w:rPr>
        <w:t xml:space="preserve">الموافقة على سياسات حوكمة الشركة.</w:t>
      </w:r>
    </w:p>
    <w:p>
      <w:pPr>
        <w:pStyle w:val="ListParagraph"/>
        <w:numPr>
          <w:ilvl w:val="0"/>
          <w:numId w:val="2"/>
        </w:numPr>
        <w:bidi/>
        <w:spacing w:after="100" w:line="300"/>
        <w:jc w:val="right"/>
      </w:pPr>
      <w:r>
        <w:rPr>
          <w:rFonts w:ascii="Arial" w:cs="Arial" w:eastAsia="Arial" w:hAnsi="Arial"/>
          <w:sz w:val="24"/>
          <w:szCs w:val="24"/>
          <w:rtl/>
        </w:rPr>
        <w:t xml:space="preserve">الموافقة على برامج تحفيز الموظفين بالأسهم.</w:t>
      </w:r>
    </w:p>
    <w:p>
      <w:pPr>
        <w:pStyle w:val="ListParagraph"/>
        <w:numPr>
          <w:ilvl w:val="0"/>
          <w:numId w:val="2"/>
        </w:numPr>
        <w:bidi/>
        <w:spacing w:after="100" w:line="300"/>
        <w:jc w:val="right"/>
      </w:pPr>
      <w:r>
        <w:rPr>
          <w:rFonts w:ascii="Arial" w:cs="Arial" w:eastAsia="Arial" w:hAnsi="Arial"/>
          <w:sz w:val="24"/>
          <w:szCs w:val="24"/>
          <w:rtl/>
        </w:rPr>
        <w:t xml:space="preserve">الموافقة على تعديلات في النظام الأساس (في الجمعية غير العادية).</w:t>
      </w:r>
    </w:p>
    <w:p>
      <w:pPr>
        <w:pStyle w:val="ListParagraph"/>
        <w:numPr>
          <w:ilvl w:val="0"/>
          <w:numId w:val="2"/>
        </w:numPr>
        <w:bidi/>
        <w:spacing w:after="100" w:line="300"/>
        <w:jc w:val="right"/>
      </w:pPr>
      <w:r>
        <w:rPr>
          <w:rFonts w:ascii="Arial" w:cs="Arial" w:eastAsia="Arial" w:hAnsi="Arial"/>
          <w:sz w:val="24"/>
          <w:szCs w:val="24"/>
          <w:rtl/>
        </w:rPr>
        <w:t xml:space="preserve">الموافقة على زيادة أو تخفيض رأس المال.</w:t>
      </w:r>
    </w:p>
    <w:p>
      <w:pPr>
        <w:pStyle w:val="ListParagraph"/>
        <w:numPr>
          <w:ilvl w:val="0"/>
          <w:numId w:val="2"/>
        </w:numPr>
        <w:bidi/>
        <w:spacing w:after="100" w:line="300"/>
        <w:jc w:val="right"/>
      </w:pPr>
      <w:r>
        <w:rPr>
          <w:rFonts w:ascii="Arial" w:cs="Arial" w:eastAsia="Arial" w:hAnsi="Arial"/>
          <w:sz w:val="24"/>
          <w:szCs w:val="24"/>
          <w:rtl/>
        </w:rPr>
        <w:t xml:space="preserve">الموافقة على إصدار الصكوك أو أدوات الدين.</w:t>
      </w:r>
    </w:p>
    <w:p>
      <w:pPr>
        <w:pStyle w:val="Heading2"/>
        <w:bidi/>
        <w:spacing w:after="160" w:before="280"/>
        <w:jc w:val="right"/>
      </w:pPr>
      <w:r>
        <w:rPr>
          <w:rFonts w:ascii="Arial" w:cs="Arial" w:eastAsia="Arial" w:hAnsi="Arial"/>
          <w:b/>
          <w:bCs/>
          <w:color w:val="2E75B6"/>
          <w:sz w:val="30"/>
          <w:szCs w:val="30"/>
          <w:rtl/>
        </w:rPr>
        <w:t xml:space="preserve">4. صياغة القرارات</w:t>
      </w:r>
    </w:p>
    <w:p>
      <w:pPr>
        <w:bidi/>
        <w:spacing w:after="140" w:line="320"/>
        <w:jc w:val="both"/>
      </w:pPr>
      <w:r>
        <w:rPr>
          <w:rFonts w:ascii="Arial" w:cs="Arial" w:eastAsia="Arial" w:hAnsi="Arial"/>
          <w:sz w:val="24"/>
          <w:szCs w:val="24"/>
          <w:rtl/>
        </w:rPr>
        <w:t xml:space="preserve">كل قرار يجب أن يُصاغ بصيغة دقيقة وواضحة. الصياغة الجيدة تُجنّب الالتباس وتُسهّل التنفيذ. صياغة نموذجية: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نموذج صياغة قرار</w:t>
            </w:r>
          </w:p>
          <w:p>
            <w:pPr>
              <w:bidi/>
              <w:spacing w:line="300"/>
              <w:jc w:val="both"/>
            </w:pPr>
            <w:r>
              <w:rPr>
                <w:rFonts w:ascii="Arial" w:cs="Arial" w:eastAsia="Arial" w:hAnsi="Arial"/>
                <w:sz w:val="24"/>
                <w:szCs w:val="24"/>
                <w:rtl/>
              </w:rPr>
              <w:t xml:space="preserve">"الموافقة على القوائم المالية للسنة المالية المنتهية في 31 ديسمبر 2025م، ومراجع الحسابات السيد/.... قد قام بمراجعتها وأبدى رأياً نظيفاً عنها، وتتضمن هذه القوائم:\n - قائمة المركز المالي.\n - قائمة الدخل.\n - قائمة التدفقات النقدية.\n - قائمة التغيرات في حقوق المساهمين.\n - الإيضاحات المتممة."</w:t>
            </w:r>
          </w:p>
        </w:tc>
      </w:tr>
    </w:tbl>
    <w:p>
      <w:pPr>
        <w:pStyle w:val="Heading2"/>
        <w:bidi/>
        <w:spacing w:after="160" w:before="280"/>
        <w:jc w:val="right"/>
      </w:pPr>
      <w:r>
        <w:rPr>
          <w:rFonts w:ascii="Arial" w:cs="Arial" w:eastAsia="Arial" w:hAnsi="Arial"/>
          <w:b/>
          <w:bCs/>
          <w:color w:val="2E75B6"/>
          <w:sz w:val="30"/>
          <w:szCs w:val="30"/>
          <w:rtl/>
        </w:rPr>
        <w:t xml:space="preserve">5. مراجعة جدول الأعمال</w:t>
      </w:r>
    </w:p>
    <w:p>
      <w:pPr>
        <w:pStyle w:val="ListParagraph"/>
        <w:numPr>
          <w:ilvl w:val="0"/>
          <w:numId w:val="2"/>
        </w:numPr>
        <w:bidi/>
        <w:spacing w:after="100" w:line="300"/>
        <w:jc w:val="right"/>
      </w:pPr>
      <w:r>
        <w:rPr>
          <w:rFonts w:ascii="Arial" w:cs="Arial" w:eastAsia="Arial" w:hAnsi="Arial"/>
          <w:sz w:val="24"/>
          <w:szCs w:val="24"/>
          <w:rtl/>
        </w:rPr>
        <w:t xml:space="preserve">المراجعة القانونية لضمان الامتثال.</w:t>
      </w:r>
    </w:p>
    <w:p>
      <w:pPr>
        <w:pStyle w:val="ListParagraph"/>
        <w:numPr>
          <w:ilvl w:val="0"/>
          <w:numId w:val="2"/>
        </w:numPr>
        <w:bidi/>
        <w:spacing w:after="100" w:line="300"/>
        <w:jc w:val="right"/>
      </w:pPr>
      <w:r>
        <w:rPr>
          <w:rFonts w:ascii="Arial" w:cs="Arial" w:eastAsia="Arial" w:hAnsi="Arial"/>
          <w:sz w:val="24"/>
          <w:szCs w:val="24"/>
          <w:rtl/>
        </w:rPr>
        <w:t xml:space="preserve">المراجعة المالية للدقة في الأرقام.</w:t>
      </w:r>
    </w:p>
    <w:p>
      <w:pPr>
        <w:pStyle w:val="ListParagraph"/>
        <w:numPr>
          <w:ilvl w:val="0"/>
          <w:numId w:val="2"/>
        </w:numPr>
        <w:bidi/>
        <w:spacing w:after="100" w:line="300"/>
        <w:jc w:val="right"/>
      </w:pPr>
      <w:r>
        <w:rPr>
          <w:rFonts w:ascii="Arial" w:cs="Arial" w:eastAsia="Arial" w:hAnsi="Arial"/>
          <w:sz w:val="24"/>
          <w:szCs w:val="24"/>
          <w:rtl/>
        </w:rPr>
        <w:t xml:space="preserve">المراجعة الإدارية للتسلسل المنطقي.</w:t>
      </w:r>
    </w:p>
    <w:p>
      <w:pPr>
        <w:pStyle w:val="ListParagraph"/>
        <w:numPr>
          <w:ilvl w:val="0"/>
          <w:numId w:val="2"/>
        </w:numPr>
        <w:bidi/>
        <w:spacing w:after="100" w:line="300"/>
        <w:jc w:val="right"/>
      </w:pPr>
      <w:r>
        <w:rPr>
          <w:rFonts w:ascii="Arial" w:cs="Arial" w:eastAsia="Arial" w:hAnsi="Arial"/>
          <w:sz w:val="24"/>
          <w:szCs w:val="24"/>
          <w:rtl/>
        </w:rPr>
        <w:t xml:space="preserve">مراجعة مجلس الإدارة قبل الاعتماد النهائي.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الوثائق المطلوب إعدادها</w:t>
      </w:r>
    </w:p>
    <w:p>
      <w:pPr>
        <w:bidi/>
        <w:spacing w:after="140" w:line="320"/>
        <w:jc w:val="both"/>
      </w:pPr>
      <w:r>
        <w:rPr>
          <w:rFonts w:ascii="Arial" w:cs="Arial" w:eastAsia="Arial" w:hAnsi="Arial"/>
          <w:sz w:val="24"/>
          <w:szCs w:val="24"/>
          <w:rtl/>
        </w:rPr>
        <w:t xml:space="preserve">الجمعية تستوجب إعداد حزمة شاملة من الوثائق، يجب أن تكون جاهزة قبل الجمعية بمدة كافية:</w:t>
      </w:r>
    </w:p>
    <w:p>
      <w:pPr>
        <w:pStyle w:val="Heading2"/>
        <w:bidi/>
        <w:spacing w:after="160" w:before="280"/>
        <w:jc w:val="right"/>
      </w:pPr>
      <w:r>
        <w:rPr>
          <w:rFonts w:ascii="Arial" w:cs="Arial" w:eastAsia="Arial" w:hAnsi="Arial"/>
          <w:b/>
          <w:bCs/>
          <w:color w:val="2E75B6"/>
          <w:sz w:val="30"/>
          <w:szCs w:val="30"/>
          <w:rtl/>
        </w:rPr>
        <w:t xml:space="preserve">1. الوثائق التحضيرية</w:t>
      </w:r>
    </w:p>
    <w:p>
      <w:pPr>
        <w:pStyle w:val="ListParagraph"/>
        <w:numPr>
          <w:ilvl w:val="0"/>
          <w:numId w:val="2"/>
        </w:numPr>
        <w:bidi/>
        <w:spacing w:after="100" w:line="300"/>
        <w:jc w:val="right"/>
      </w:pPr>
      <w:r>
        <w:rPr>
          <w:rFonts w:ascii="Arial" w:cs="Arial" w:eastAsia="Arial" w:hAnsi="Arial"/>
          <w:sz w:val="24"/>
          <w:szCs w:val="24"/>
          <w:rtl/>
        </w:rPr>
        <w:t xml:space="preserve">الدعوة الرسمية للجمعية.</w:t>
      </w:r>
    </w:p>
    <w:p>
      <w:pPr>
        <w:pStyle w:val="ListParagraph"/>
        <w:numPr>
          <w:ilvl w:val="0"/>
          <w:numId w:val="2"/>
        </w:numPr>
        <w:bidi/>
        <w:spacing w:after="100" w:line="300"/>
        <w:jc w:val="right"/>
      </w:pPr>
      <w:r>
        <w:rPr>
          <w:rFonts w:ascii="Arial" w:cs="Arial" w:eastAsia="Arial" w:hAnsi="Arial"/>
          <w:sz w:val="24"/>
          <w:szCs w:val="24"/>
          <w:rtl/>
        </w:rPr>
        <w:t xml:space="preserve">جدول الأعمال التفصيلي.</w:t>
      </w:r>
    </w:p>
    <w:p>
      <w:pPr>
        <w:pStyle w:val="ListParagraph"/>
        <w:numPr>
          <w:ilvl w:val="0"/>
          <w:numId w:val="2"/>
        </w:numPr>
        <w:bidi/>
        <w:spacing w:after="100" w:line="300"/>
        <w:jc w:val="right"/>
      </w:pPr>
      <w:r>
        <w:rPr>
          <w:rFonts w:ascii="Arial" w:cs="Arial" w:eastAsia="Arial" w:hAnsi="Arial"/>
          <w:sz w:val="24"/>
          <w:szCs w:val="24"/>
          <w:rtl/>
        </w:rPr>
        <w:t xml:space="preserve">نموذج التوكيل (إن لزم).</w:t>
      </w:r>
    </w:p>
    <w:p>
      <w:pPr>
        <w:pStyle w:val="ListParagraph"/>
        <w:numPr>
          <w:ilvl w:val="0"/>
          <w:numId w:val="2"/>
        </w:numPr>
        <w:bidi/>
        <w:spacing w:after="100" w:line="300"/>
        <w:jc w:val="right"/>
      </w:pPr>
      <w:r>
        <w:rPr>
          <w:rFonts w:ascii="Arial" w:cs="Arial" w:eastAsia="Arial" w:hAnsi="Arial"/>
          <w:sz w:val="24"/>
          <w:szCs w:val="24"/>
          <w:rtl/>
        </w:rPr>
        <w:t xml:space="preserve">بطاقة الحضور والتصويت.</w:t>
      </w:r>
    </w:p>
    <w:p>
      <w:pPr>
        <w:pStyle w:val="ListParagraph"/>
        <w:numPr>
          <w:ilvl w:val="0"/>
          <w:numId w:val="2"/>
        </w:numPr>
        <w:bidi/>
        <w:spacing w:after="100" w:line="300"/>
        <w:jc w:val="right"/>
      </w:pPr>
      <w:r>
        <w:rPr>
          <w:rFonts w:ascii="Arial" w:cs="Arial" w:eastAsia="Arial" w:hAnsi="Arial"/>
          <w:sz w:val="24"/>
          <w:szCs w:val="24"/>
          <w:rtl/>
        </w:rPr>
        <w:t xml:space="preserve">الإفصاح المسبق للجهات التنظيمية.</w:t>
      </w:r>
    </w:p>
    <w:p>
      <w:pPr>
        <w:pStyle w:val="Heading2"/>
        <w:bidi/>
        <w:spacing w:after="160" w:before="280"/>
        <w:jc w:val="right"/>
      </w:pPr>
      <w:r>
        <w:rPr>
          <w:rFonts w:ascii="Arial" w:cs="Arial" w:eastAsia="Arial" w:hAnsi="Arial"/>
          <w:b/>
          <w:bCs/>
          <w:color w:val="2E75B6"/>
          <w:sz w:val="30"/>
          <w:szCs w:val="30"/>
          <w:rtl/>
        </w:rPr>
        <w:t xml:space="preserve">2. الوثائق الموضوعية</w:t>
      </w:r>
    </w:p>
    <w:p>
      <w:pPr>
        <w:pStyle w:val="ListParagraph"/>
        <w:numPr>
          <w:ilvl w:val="0"/>
          <w:numId w:val="2"/>
        </w:numPr>
        <w:bidi/>
        <w:spacing w:after="100" w:line="300"/>
        <w:jc w:val="right"/>
      </w:pPr>
      <w:r>
        <w:rPr>
          <w:rFonts w:ascii="Arial" w:cs="Arial" w:eastAsia="Arial" w:hAnsi="Arial"/>
          <w:sz w:val="24"/>
          <w:szCs w:val="24"/>
          <w:rtl/>
        </w:rPr>
        <w:t xml:space="preserve">التقرير السنوي لمجلس الإدارة.</w:t>
      </w:r>
    </w:p>
    <w:p>
      <w:pPr>
        <w:pStyle w:val="ListParagraph"/>
        <w:numPr>
          <w:ilvl w:val="0"/>
          <w:numId w:val="2"/>
        </w:numPr>
        <w:bidi/>
        <w:spacing w:after="100" w:line="300"/>
        <w:jc w:val="right"/>
      </w:pPr>
      <w:r>
        <w:rPr>
          <w:rFonts w:ascii="Arial" w:cs="Arial" w:eastAsia="Arial" w:hAnsi="Arial"/>
          <w:sz w:val="24"/>
          <w:szCs w:val="24"/>
          <w:rtl/>
        </w:rPr>
        <w:t xml:space="preserve">القوائم المالية المدققة.</w:t>
      </w:r>
    </w:p>
    <w:p>
      <w:pPr>
        <w:pStyle w:val="ListParagraph"/>
        <w:numPr>
          <w:ilvl w:val="0"/>
          <w:numId w:val="2"/>
        </w:numPr>
        <w:bidi/>
        <w:spacing w:after="100" w:line="300"/>
        <w:jc w:val="right"/>
      </w:pPr>
      <w:r>
        <w:rPr>
          <w:rFonts w:ascii="Arial" w:cs="Arial" w:eastAsia="Arial" w:hAnsi="Arial"/>
          <w:sz w:val="24"/>
          <w:szCs w:val="24"/>
          <w:rtl/>
        </w:rPr>
        <w:t xml:space="preserve">تقرير مراجع الحسابات.</w:t>
      </w:r>
    </w:p>
    <w:p>
      <w:pPr>
        <w:pStyle w:val="ListParagraph"/>
        <w:numPr>
          <w:ilvl w:val="0"/>
          <w:numId w:val="2"/>
        </w:numPr>
        <w:bidi/>
        <w:spacing w:after="100" w:line="300"/>
        <w:jc w:val="right"/>
      </w:pPr>
      <w:r>
        <w:rPr>
          <w:rFonts w:ascii="Arial" w:cs="Arial" w:eastAsia="Arial" w:hAnsi="Arial"/>
          <w:sz w:val="24"/>
          <w:szCs w:val="24"/>
          <w:rtl/>
        </w:rPr>
        <w:t xml:space="preserve">تقرير لجنة المراجعة.</w:t>
      </w:r>
    </w:p>
    <w:p>
      <w:pPr>
        <w:pStyle w:val="ListParagraph"/>
        <w:numPr>
          <w:ilvl w:val="0"/>
          <w:numId w:val="2"/>
        </w:numPr>
        <w:bidi/>
        <w:spacing w:after="100" w:line="300"/>
        <w:jc w:val="right"/>
      </w:pPr>
      <w:r>
        <w:rPr>
          <w:rFonts w:ascii="Arial" w:cs="Arial" w:eastAsia="Arial" w:hAnsi="Arial"/>
          <w:sz w:val="24"/>
          <w:szCs w:val="24"/>
          <w:rtl/>
        </w:rPr>
        <w:t xml:space="preserve">تقرير الحوكمة.</w:t>
      </w:r>
    </w:p>
    <w:p>
      <w:pPr>
        <w:pStyle w:val="ListParagraph"/>
        <w:numPr>
          <w:ilvl w:val="0"/>
          <w:numId w:val="2"/>
        </w:numPr>
        <w:bidi/>
        <w:spacing w:after="100" w:line="300"/>
        <w:jc w:val="right"/>
      </w:pPr>
      <w:r>
        <w:rPr>
          <w:rFonts w:ascii="Arial" w:cs="Arial" w:eastAsia="Arial" w:hAnsi="Arial"/>
          <w:sz w:val="24"/>
          <w:szCs w:val="24"/>
          <w:rtl/>
        </w:rPr>
        <w:t xml:space="preserve">النظام الأساس المُحدّث (إن وُجدت تعديلات مقترحة).</w:t>
      </w:r>
    </w:p>
    <w:p>
      <w:pPr>
        <w:pStyle w:val="ListParagraph"/>
        <w:numPr>
          <w:ilvl w:val="0"/>
          <w:numId w:val="2"/>
        </w:numPr>
        <w:bidi/>
        <w:spacing w:after="100" w:line="300"/>
        <w:jc w:val="right"/>
      </w:pPr>
      <w:r>
        <w:rPr>
          <w:rFonts w:ascii="Arial" w:cs="Arial" w:eastAsia="Arial" w:hAnsi="Arial"/>
          <w:sz w:val="24"/>
          <w:szCs w:val="24"/>
          <w:rtl/>
        </w:rPr>
        <w:t xml:space="preserve">سياسات الشركة المعتمدة.</w:t>
      </w:r>
    </w:p>
    <w:p>
      <w:pPr>
        <w:pStyle w:val="Heading2"/>
        <w:bidi/>
        <w:spacing w:after="160" w:before="280"/>
        <w:jc w:val="right"/>
      </w:pPr>
      <w:r>
        <w:rPr>
          <w:rFonts w:ascii="Arial" w:cs="Arial" w:eastAsia="Arial" w:hAnsi="Arial"/>
          <w:b/>
          <w:bCs/>
          <w:color w:val="2E75B6"/>
          <w:sz w:val="30"/>
          <w:szCs w:val="30"/>
          <w:rtl/>
        </w:rPr>
        <w:t xml:space="preserve">3. الوثائق التفصيلية للقرارات</w:t>
      </w:r>
    </w:p>
    <w:p>
      <w:pPr>
        <w:pStyle w:val="ListParagraph"/>
        <w:numPr>
          <w:ilvl w:val="0"/>
          <w:numId w:val="2"/>
        </w:numPr>
        <w:bidi/>
        <w:spacing w:after="100" w:line="300"/>
        <w:jc w:val="right"/>
      </w:pPr>
      <w:r>
        <w:rPr>
          <w:rFonts w:ascii="Arial" w:cs="Arial" w:eastAsia="Arial" w:hAnsi="Arial"/>
          <w:sz w:val="24"/>
          <w:szCs w:val="24"/>
          <w:rtl/>
        </w:rPr>
        <w:t xml:space="preserve">توصية مجلس الإدارة بشأن توزيع الأرباح.</w:t>
      </w:r>
    </w:p>
    <w:p>
      <w:pPr>
        <w:pStyle w:val="ListParagraph"/>
        <w:numPr>
          <w:ilvl w:val="0"/>
          <w:numId w:val="2"/>
        </w:numPr>
        <w:bidi/>
        <w:spacing w:after="100" w:line="300"/>
        <w:jc w:val="right"/>
      </w:pPr>
      <w:r>
        <w:rPr>
          <w:rFonts w:ascii="Arial" w:cs="Arial" w:eastAsia="Arial" w:hAnsi="Arial"/>
          <w:sz w:val="24"/>
          <w:szCs w:val="24"/>
          <w:rtl/>
        </w:rPr>
        <w:t xml:space="preserve">سياسة المكافآت.</w:t>
      </w:r>
    </w:p>
    <w:p>
      <w:pPr>
        <w:pStyle w:val="ListParagraph"/>
        <w:numPr>
          <w:ilvl w:val="0"/>
          <w:numId w:val="2"/>
        </w:numPr>
        <w:bidi/>
        <w:spacing w:after="100" w:line="300"/>
        <w:jc w:val="right"/>
      </w:pPr>
      <w:r>
        <w:rPr>
          <w:rFonts w:ascii="Arial" w:cs="Arial" w:eastAsia="Arial" w:hAnsi="Arial"/>
          <w:sz w:val="24"/>
          <w:szCs w:val="24"/>
          <w:rtl/>
        </w:rPr>
        <w:t xml:space="preserve">السير الذاتية للمرشحين لعضوية المجلس (إن لزم).</w:t>
      </w:r>
    </w:p>
    <w:p>
      <w:pPr>
        <w:pStyle w:val="ListParagraph"/>
        <w:numPr>
          <w:ilvl w:val="0"/>
          <w:numId w:val="2"/>
        </w:numPr>
        <w:bidi/>
        <w:spacing w:after="100" w:line="300"/>
        <w:jc w:val="right"/>
      </w:pPr>
      <w:r>
        <w:rPr>
          <w:rFonts w:ascii="Arial" w:cs="Arial" w:eastAsia="Arial" w:hAnsi="Arial"/>
          <w:sz w:val="24"/>
          <w:szCs w:val="24"/>
          <w:rtl/>
        </w:rPr>
        <w:t xml:space="preserve">تفاصيل المعاملات مع الأطراف ذات العلاقة.</w:t>
      </w:r>
    </w:p>
    <w:p>
      <w:pPr>
        <w:pStyle w:val="ListParagraph"/>
        <w:numPr>
          <w:ilvl w:val="0"/>
          <w:numId w:val="2"/>
        </w:numPr>
        <w:bidi/>
        <w:spacing w:after="100" w:line="300"/>
        <w:jc w:val="right"/>
      </w:pPr>
      <w:r>
        <w:rPr>
          <w:rFonts w:ascii="Arial" w:cs="Arial" w:eastAsia="Arial" w:hAnsi="Arial"/>
          <w:sz w:val="24"/>
          <w:szCs w:val="24"/>
          <w:rtl/>
        </w:rPr>
        <w:t xml:space="preserve">دراسات الجدوى للقرارات الكبرى.</w:t>
      </w:r>
    </w:p>
    <w:p>
      <w:pPr>
        <w:pStyle w:val="Heading2"/>
        <w:bidi/>
        <w:spacing w:after="160" w:before="280"/>
        <w:jc w:val="right"/>
      </w:pPr>
      <w:r>
        <w:rPr>
          <w:rFonts w:ascii="Arial" w:cs="Arial" w:eastAsia="Arial" w:hAnsi="Arial"/>
          <w:b/>
          <w:bCs/>
          <w:color w:val="2E75B6"/>
          <w:sz w:val="30"/>
          <w:szCs w:val="30"/>
          <w:rtl/>
        </w:rPr>
        <w:t xml:space="preserve">4. وثائق الجلسة</w:t>
      </w:r>
    </w:p>
    <w:p>
      <w:pPr>
        <w:pStyle w:val="ListParagraph"/>
        <w:numPr>
          <w:ilvl w:val="0"/>
          <w:numId w:val="2"/>
        </w:numPr>
        <w:bidi/>
        <w:spacing w:after="100" w:line="300"/>
        <w:jc w:val="right"/>
      </w:pPr>
      <w:r>
        <w:rPr>
          <w:rFonts w:ascii="Arial" w:cs="Arial" w:eastAsia="Arial" w:hAnsi="Arial"/>
          <w:sz w:val="24"/>
          <w:szCs w:val="24"/>
          <w:rtl/>
        </w:rPr>
        <w:t xml:space="preserve">جدول الأعمال للحضور.</w:t>
      </w:r>
    </w:p>
    <w:p>
      <w:pPr>
        <w:pStyle w:val="ListParagraph"/>
        <w:numPr>
          <w:ilvl w:val="0"/>
          <w:numId w:val="2"/>
        </w:numPr>
        <w:bidi/>
        <w:spacing w:after="100" w:line="300"/>
        <w:jc w:val="right"/>
      </w:pPr>
      <w:r>
        <w:rPr>
          <w:rFonts w:ascii="Arial" w:cs="Arial" w:eastAsia="Arial" w:hAnsi="Arial"/>
          <w:sz w:val="24"/>
          <w:szCs w:val="24"/>
          <w:rtl/>
        </w:rPr>
        <w:t xml:space="preserve">قوائم التصويت.</w:t>
      </w:r>
    </w:p>
    <w:p>
      <w:pPr>
        <w:pStyle w:val="ListParagraph"/>
        <w:numPr>
          <w:ilvl w:val="0"/>
          <w:numId w:val="2"/>
        </w:numPr>
        <w:bidi/>
        <w:spacing w:after="100" w:line="300"/>
        <w:jc w:val="right"/>
      </w:pPr>
      <w:r>
        <w:rPr>
          <w:rFonts w:ascii="Arial" w:cs="Arial" w:eastAsia="Arial" w:hAnsi="Arial"/>
          <w:sz w:val="24"/>
          <w:szCs w:val="24"/>
          <w:rtl/>
        </w:rPr>
        <w:t xml:space="preserve">نماذج تسجيل الأسئلة.</w:t>
      </w:r>
    </w:p>
    <w:p>
      <w:pPr>
        <w:pStyle w:val="ListParagraph"/>
        <w:numPr>
          <w:ilvl w:val="0"/>
          <w:numId w:val="2"/>
        </w:numPr>
        <w:bidi/>
        <w:spacing w:after="100" w:line="300"/>
        <w:jc w:val="right"/>
      </w:pPr>
      <w:r>
        <w:rPr>
          <w:rFonts w:ascii="Arial" w:cs="Arial" w:eastAsia="Arial" w:hAnsi="Arial"/>
          <w:sz w:val="24"/>
          <w:szCs w:val="24"/>
          <w:rtl/>
        </w:rPr>
        <w:t xml:space="preserve">نماذج المحضر الأولية.</w:t>
      </w:r>
    </w:p>
    <w:p>
      <w:pPr>
        <w:pStyle w:val="ListParagraph"/>
        <w:numPr>
          <w:ilvl w:val="0"/>
          <w:numId w:val="2"/>
        </w:numPr>
        <w:bidi/>
        <w:spacing w:after="100" w:line="300"/>
        <w:jc w:val="right"/>
      </w:pPr>
      <w:r>
        <w:rPr>
          <w:rFonts w:ascii="Arial" w:cs="Arial" w:eastAsia="Arial" w:hAnsi="Arial"/>
          <w:sz w:val="24"/>
          <w:szCs w:val="24"/>
          <w:rtl/>
        </w:rPr>
        <w:t xml:space="preserve">قوائم الحضور.</w:t>
      </w:r>
    </w:p>
    <w:p>
      <w:pPr>
        <w:pStyle w:val="Heading2"/>
        <w:bidi/>
        <w:spacing w:after="160" w:before="280"/>
        <w:jc w:val="right"/>
      </w:pPr>
      <w:r>
        <w:rPr>
          <w:rFonts w:ascii="Arial" w:cs="Arial" w:eastAsia="Arial" w:hAnsi="Arial"/>
          <w:b/>
          <w:bCs/>
          <w:color w:val="2E75B6"/>
          <w:sz w:val="30"/>
          <w:szCs w:val="30"/>
          <w:rtl/>
        </w:rPr>
        <w:t xml:space="preserve">5. الوثائق التقنية</w:t>
      </w:r>
    </w:p>
    <w:p>
      <w:pPr>
        <w:pStyle w:val="ListParagraph"/>
        <w:numPr>
          <w:ilvl w:val="0"/>
          <w:numId w:val="2"/>
        </w:numPr>
        <w:bidi/>
        <w:spacing w:after="100" w:line="300"/>
        <w:jc w:val="right"/>
      </w:pPr>
      <w:r>
        <w:rPr>
          <w:rFonts w:ascii="Arial" w:cs="Arial" w:eastAsia="Arial" w:hAnsi="Arial"/>
          <w:sz w:val="24"/>
          <w:szCs w:val="24"/>
          <w:rtl/>
        </w:rPr>
        <w:t xml:space="preserve">دليل استخدام منظومة التصويت الإلكتروني.</w:t>
      </w:r>
    </w:p>
    <w:p>
      <w:pPr>
        <w:pStyle w:val="ListParagraph"/>
        <w:numPr>
          <w:ilvl w:val="0"/>
          <w:numId w:val="2"/>
        </w:numPr>
        <w:bidi/>
        <w:spacing w:after="100" w:line="300"/>
        <w:jc w:val="right"/>
      </w:pPr>
      <w:r>
        <w:rPr>
          <w:rFonts w:ascii="Arial" w:cs="Arial" w:eastAsia="Arial" w:hAnsi="Arial"/>
          <w:sz w:val="24"/>
          <w:szCs w:val="24"/>
          <w:rtl/>
        </w:rPr>
        <w:t xml:space="preserve">تعليمات الحضور الافتراضي.</w:t>
      </w:r>
    </w:p>
    <w:p>
      <w:pPr>
        <w:pStyle w:val="ListParagraph"/>
        <w:numPr>
          <w:ilvl w:val="0"/>
          <w:numId w:val="2"/>
        </w:numPr>
        <w:bidi/>
        <w:spacing w:after="100" w:line="300"/>
        <w:jc w:val="right"/>
      </w:pPr>
      <w:r>
        <w:rPr>
          <w:rFonts w:ascii="Arial" w:cs="Arial" w:eastAsia="Arial" w:hAnsi="Arial"/>
          <w:sz w:val="24"/>
          <w:szCs w:val="24"/>
          <w:rtl/>
        </w:rPr>
        <w:t xml:space="preserve">روابط المنصات الإلكترونية.</w:t>
      </w:r>
    </w:p>
    <w:p>
      <w:pPr>
        <w:pStyle w:val="ListParagraph"/>
        <w:numPr>
          <w:ilvl w:val="0"/>
          <w:numId w:val="2"/>
        </w:numPr>
        <w:bidi/>
        <w:spacing w:after="100" w:line="300"/>
        <w:jc w:val="right"/>
      </w:pPr>
      <w:r>
        <w:rPr>
          <w:rFonts w:ascii="Arial" w:cs="Arial" w:eastAsia="Arial" w:hAnsi="Arial"/>
          <w:sz w:val="24"/>
          <w:szCs w:val="24"/>
          <w:rtl/>
        </w:rPr>
        <w:t xml:space="preserve">بيانات الدخول للمساهمين.</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إدارة المخاطر في التخطيط</w:t>
      </w:r>
    </w:p>
    <w:p>
      <w:pPr>
        <w:bidi/>
        <w:spacing w:after="140" w:line="320"/>
        <w:jc w:val="both"/>
      </w:pPr>
      <w:r>
        <w:rPr>
          <w:rFonts w:ascii="Arial" w:cs="Arial" w:eastAsia="Arial" w:hAnsi="Arial"/>
          <w:sz w:val="24"/>
          <w:szCs w:val="24"/>
          <w:rtl/>
        </w:rPr>
        <w:t xml:space="preserve">التخطيط الجيد لا يُهمل المخاطر المحتملة، بل يستبقها بالتحضير للسيناريوهات المختلفة. وفيما يلي أبرز المخاطر التي يجب التحضير لها:</w:t>
      </w:r>
    </w:p>
    <w:p>
      <w:pPr>
        <w:pStyle w:val="Heading2"/>
        <w:bidi/>
        <w:spacing w:after="160" w:before="280"/>
        <w:jc w:val="right"/>
      </w:pPr>
      <w:r>
        <w:rPr>
          <w:rFonts w:ascii="Arial" w:cs="Arial" w:eastAsia="Arial" w:hAnsi="Arial"/>
          <w:b/>
          <w:bCs/>
          <w:color w:val="2E75B6"/>
          <w:sz w:val="30"/>
          <w:szCs w:val="30"/>
          <w:rtl/>
        </w:rPr>
        <w:t xml:space="preserve">1. مخاطر عدم اكتمال النصاب</w:t>
      </w:r>
    </w:p>
    <w:p>
      <w:pPr>
        <w:pStyle w:val="Heading3"/>
        <w:bidi/>
        <w:spacing w:after="120" w:before="200"/>
        <w:jc w:val="right"/>
      </w:pPr>
      <w:r>
        <w:rPr>
          <w:rFonts w:ascii="Arial" w:cs="Arial" w:eastAsia="Arial" w:hAnsi="Arial"/>
          <w:b/>
          <w:bCs/>
          <w:color w:val="1F4E79"/>
          <w:sz w:val="26"/>
          <w:szCs w:val="26"/>
          <w:rtl/>
        </w:rPr>
        <w:t xml:space="preserve">المخاطر</w:t>
      </w:r>
    </w:p>
    <w:p>
      <w:pPr>
        <w:pStyle w:val="ListParagraph"/>
        <w:numPr>
          <w:ilvl w:val="0"/>
          <w:numId w:val="2"/>
        </w:numPr>
        <w:bidi/>
        <w:spacing w:after="100" w:line="300"/>
        <w:jc w:val="right"/>
      </w:pPr>
      <w:r>
        <w:rPr>
          <w:rFonts w:ascii="Arial" w:cs="Arial" w:eastAsia="Arial" w:hAnsi="Arial"/>
          <w:sz w:val="24"/>
          <w:szCs w:val="24"/>
          <w:rtl/>
        </w:rPr>
        <w:t xml:space="preserve">عدم حضور ربع الأسهم (للجمعية العادية).</w:t>
      </w:r>
    </w:p>
    <w:p>
      <w:pPr>
        <w:pStyle w:val="ListParagraph"/>
        <w:numPr>
          <w:ilvl w:val="0"/>
          <w:numId w:val="2"/>
        </w:numPr>
        <w:bidi/>
        <w:spacing w:after="100" w:line="300"/>
        <w:jc w:val="right"/>
      </w:pPr>
      <w:r>
        <w:rPr>
          <w:rFonts w:ascii="Arial" w:cs="Arial" w:eastAsia="Arial" w:hAnsi="Arial"/>
          <w:sz w:val="24"/>
          <w:szCs w:val="24"/>
          <w:rtl/>
        </w:rPr>
        <w:t xml:space="preserve">عدم حضور نصف الأسهم (للجمعية غير العادية).</w:t>
      </w:r>
    </w:p>
    <w:p>
      <w:pPr>
        <w:pStyle w:val="ListParagraph"/>
        <w:numPr>
          <w:ilvl w:val="0"/>
          <w:numId w:val="2"/>
        </w:numPr>
        <w:bidi/>
        <w:spacing w:after="100" w:line="300"/>
        <w:jc w:val="right"/>
      </w:pPr>
      <w:r>
        <w:rPr>
          <w:rFonts w:ascii="Arial" w:cs="Arial" w:eastAsia="Arial" w:hAnsi="Arial"/>
          <w:sz w:val="24"/>
          <w:szCs w:val="24"/>
          <w:rtl/>
        </w:rPr>
        <w:t xml:space="preserve">اضطرار لتأجيل الجمعية وإعادة الإجراءات.</w:t>
      </w:r>
    </w:p>
    <w:p>
      <w:pPr>
        <w:pStyle w:val="Heading3"/>
        <w:bidi/>
        <w:spacing w:after="120" w:before="200"/>
        <w:jc w:val="right"/>
      </w:pPr>
      <w:r>
        <w:rPr>
          <w:rFonts w:ascii="Arial" w:cs="Arial" w:eastAsia="Arial" w:hAnsi="Arial"/>
          <w:b/>
          <w:bCs/>
          <w:color w:val="1F4E79"/>
          <w:sz w:val="26"/>
          <w:szCs w:val="26"/>
          <w:rtl/>
        </w:rPr>
        <w:t xml:space="preserve">الوقاية</w:t>
      </w:r>
    </w:p>
    <w:p>
      <w:pPr>
        <w:pStyle w:val="ListParagraph"/>
        <w:numPr>
          <w:ilvl w:val="0"/>
          <w:numId w:val="2"/>
        </w:numPr>
        <w:bidi/>
        <w:spacing w:after="100" w:line="300"/>
        <w:jc w:val="right"/>
      </w:pPr>
      <w:r>
        <w:rPr>
          <w:rFonts w:ascii="Arial" w:cs="Arial" w:eastAsia="Arial" w:hAnsi="Arial"/>
          <w:sz w:val="24"/>
          <w:szCs w:val="24"/>
          <w:rtl/>
        </w:rPr>
        <w:t xml:space="preserve">التواصل المسبق مع المساهمين الكبار.</w:t>
      </w:r>
    </w:p>
    <w:p>
      <w:pPr>
        <w:pStyle w:val="ListParagraph"/>
        <w:numPr>
          <w:ilvl w:val="0"/>
          <w:numId w:val="2"/>
        </w:numPr>
        <w:bidi/>
        <w:spacing w:after="100" w:line="300"/>
        <w:jc w:val="right"/>
      </w:pPr>
      <w:r>
        <w:rPr>
          <w:rFonts w:ascii="Arial" w:cs="Arial" w:eastAsia="Arial" w:hAnsi="Arial"/>
          <w:sz w:val="24"/>
          <w:szCs w:val="24"/>
          <w:rtl/>
        </w:rPr>
        <w:t xml:space="preserve">تيسير قنوات الحضور (الجسدي، الافتراضي، الوكالة).</w:t>
      </w:r>
    </w:p>
    <w:p>
      <w:pPr>
        <w:pStyle w:val="ListParagraph"/>
        <w:numPr>
          <w:ilvl w:val="0"/>
          <w:numId w:val="2"/>
        </w:numPr>
        <w:bidi/>
        <w:spacing w:after="100" w:line="300"/>
        <w:jc w:val="right"/>
      </w:pPr>
      <w:r>
        <w:rPr>
          <w:rFonts w:ascii="Arial" w:cs="Arial" w:eastAsia="Arial" w:hAnsi="Arial"/>
          <w:sz w:val="24"/>
          <w:szCs w:val="24"/>
          <w:rtl/>
        </w:rPr>
        <w:t xml:space="preserve">التصويت الإلكتروني المسبق.</w:t>
      </w:r>
    </w:p>
    <w:p>
      <w:pPr>
        <w:pStyle w:val="ListParagraph"/>
        <w:numPr>
          <w:ilvl w:val="0"/>
          <w:numId w:val="2"/>
        </w:numPr>
        <w:bidi/>
        <w:spacing w:after="100" w:line="300"/>
        <w:jc w:val="right"/>
      </w:pPr>
      <w:r>
        <w:rPr>
          <w:rFonts w:ascii="Arial" w:cs="Arial" w:eastAsia="Arial" w:hAnsi="Arial"/>
          <w:sz w:val="24"/>
          <w:szCs w:val="24"/>
          <w:rtl/>
        </w:rPr>
        <w:t xml:space="preserve">تذكيرات متعددة بمواعيد الجمعية.</w:t>
      </w:r>
    </w:p>
    <w:p>
      <w:pPr>
        <w:pStyle w:val="Heading2"/>
        <w:bidi/>
        <w:spacing w:after="160" w:before="280"/>
        <w:jc w:val="right"/>
      </w:pPr>
      <w:r>
        <w:rPr>
          <w:rFonts w:ascii="Arial" w:cs="Arial" w:eastAsia="Arial" w:hAnsi="Arial"/>
          <w:b/>
          <w:bCs/>
          <w:color w:val="2E75B6"/>
          <w:sz w:val="30"/>
          <w:szCs w:val="30"/>
          <w:rtl/>
        </w:rPr>
        <w:t xml:space="preserve">2. مخاطر تقنية</w:t>
      </w:r>
    </w:p>
    <w:p>
      <w:pPr>
        <w:pStyle w:val="Heading3"/>
        <w:bidi/>
        <w:spacing w:after="120" w:before="200"/>
        <w:jc w:val="right"/>
      </w:pPr>
      <w:r>
        <w:rPr>
          <w:rFonts w:ascii="Arial" w:cs="Arial" w:eastAsia="Arial" w:hAnsi="Arial"/>
          <w:b/>
          <w:bCs/>
          <w:color w:val="1F4E79"/>
          <w:sz w:val="26"/>
          <w:szCs w:val="26"/>
          <w:rtl/>
        </w:rPr>
        <w:t xml:space="preserve">المخاطر</w:t>
      </w:r>
    </w:p>
    <w:p>
      <w:pPr>
        <w:pStyle w:val="ListParagraph"/>
        <w:numPr>
          <w:ilvl w:val="0"/>
          <w:numId w:val="2"/>
        </w:numPr>
        <w:bidi/>
        <w:spacing w:after="100" w:line="300"/>
        <w:jc w:val="right"/>
      </w:pPr>
      <w:r>
        <w:rPr>
          <w:rFonts w:ascii="Arial" w:cs="Arial" w:eastAsia="Arial" w:hAnsi="Arial"/>
          <w:sz w:val="24"/>
          <w:szCs w:val="24"/>
          <w:rtl/>
        </w:rPr>
        <w:t xml:space="preserve">انقطاع الاتصال أو الإنترنت.</w:t>
      </w:r>
    </w:p>
    <w:p>
      <w:pPr>
        <w:pStyle w:val="ListParagraph"/>
        <w:numPr>
          <w:ilvl w:val="0"/>
          <w:numId w:val="2"/>
        </w:numPr>
        <w:bidi/>
        <w:spacing w:after="100" w:line="300"/>
        <w:jc w:val="right"/>
      </w:pPr>
      <w:r>
        <w:rPr>
          <w:rFonts w:ascii="Arial" w:cs="Arial" w:eastAsia="Arial" w:hAnsi="Arial"/>
          <w:sz w:val="24"/>
          <w:szCs w:val="24"/>
          <w:rtl/>
        </w:rPr>
        <w:t xml:space="preserve">أعطال في منظومة التصويت.</w:t>
      </w:r>
    </w:p>
    <w:p>
      <w:pPr>
        <w:pStyle w:val="ListParagraph"/>
        <w:numPr>
          <w:ilvl w:val="0"/>
          <w:numId w:val="2"/>
        </w:numPr>
        <w:bidi/>
        <w:spacing w:after="100" w:line="300"/>
        <w:jc w:val="right"/>
      </w:pPr>
      <w:r>
        <w:rPr>
          <w:rFonts w:ascii="Arial" w:cs="Arial" w:eastAsia="Arial" w:hAnsi="Arial"/>
          <w:sz w:val="24"/>
          <w:szCs w:val="24"/>
          <w:rtl/>
        </w:rPr>
        <w:t xml:space="preserve">اختراق سيبراني للمنصة.</w:t>
      </w:r>
    </w:p>
    <w:p>
      <w:pPr>
        <w:pStyle w:val="ListParagraph"/>
        <w:numPr>
          <w:ilvl w:val="0"/>
          <w:numId w:val="2"/>
        </w:numPr>
        <w:bidi/>
        <w:spacing w:after="100" w:line="300"/>
        <w:jc w:val="right"/>
      </w:pPr>
      <w:r>
        <w:rPr>
          <w:rFonts w:ascii="Arial" w:cs="Arial" w:eastAsia="Arial" w:hAnsi="Arial"/>
          <w:sz w:val="24"/>
          <w:szCs w:val="24"/>
          <w:rtl/>
        </w:rPr>
        <w:t xml:space="preserve">صعوبات في البث الافتراضي.</w:t>
      </w:r>
    </w:p>
    <w:p>
      <w:pPr>
        <w:pStyle w:val="Heading3"/>
        <w:bidi/>
        <w:spacing w:after="120" w:before="200"/>
        <w:jc w:val="right"/>
      </w:pPr>
      <w:r>
        <w:rPr>
          <w:rFonts w:ascii="Arial" w:cs="Arial" w:eastAsia="Arial" w:hAnsi="Arial"/>
          <w:b/>
          <w:bCs/>
          <w:color w:val="1F4E79"/>
          <w:sz w:val="26"/>
          <w:szCs w:val="26"/>
          <w:rtl/>
        </w:rPr>
        <w:t xml:space="preserve">الوقاية</w:t>
      </w:r>
    </w:p>
    <w:p>
      <w:pPr>
        <w:pStyle w:val="ListParagraph"/>
        <w:numPr>
          <w:ilvl w:val="0"/>
          <w:numId w:val="2"/>
        </w:numPr>
        <w:bidi/>
        <w:spacing w:after="100" w:line="300"/>
        <w:jc w:val="right"/>
      </w:pPr>
      <w:r>
        <w:rPr>
          <w:rFonts w:ascii="Arial" w:cs="Arial" w:eastAsia="Arial" w:hAnsi="Arial"/>
          <w:sz w:val="24"/>
          <w:szCs w:val="24"/>
          <w:rtl/>
        </w:rPr>
        <w:t xml:space="preserve">اختبار شامل للأنظمة قبل الجمعية.</w:t>
      </w:r>
    </w:p>
    <w:p>
      <w:pPr>
        <w:pStyle w:val="ListParagraph"/>
        <w:numPr>
          <w:ilvl w:val="0"/>
          <w:numId w:val="2"/>
        </w:numPr>
        <w:bidi/>
        <w:spacing w:after="100" w:line="300"/>
        <w:jc w:val="right"/>
      </w:pPr>
      <w:r>
        <w:rPr>
          <w:rFonts w:ascii="Arial" w:cs="Arial" w:eastAsia="Arial" w:hAnsi="Arial"/>
          <w:sz w:val="24"/>
          <w:szCs w:val="24"/>
          <w:rtl/>
        </w:rPr>
        <w:t xml:space="preserve">توفير أنظمة احتياطية (Backup).</w:t>
      </w:r>
    </w:p>
    <w:p>
      <w:pPr>
        <w:pStyle w:val="ListParagraph"/>
        <w:numPr>
          <w:ilvl w:val="0"/>
          <w:numId w:val="2"/>
        </w:numPr>
        <w:bidi/>
        <w:spacing w:after="100" w:line="300"/>
        <w:jc w:val="right"/>
      </w:pPr>
      <w:r>
        <w:rPr>
          <w:rFonts w:ascii="Arial" w:cs="Arial" w:eastAsia="Arial" w:hAnsi="Arial"/>
          <w:sz w:val="24"/>
          <w:szCs w:val="24"/>
          <w:rtl/>
        </w:rPr>
        <w:t xml:space="preserve">اتصالات احتياطية.</w:t>
      </w:r>
    </w:p>
    <w:p>
      <w:pPr>
        <w:pStyle w:val="ListParagraph"/>
        <w:numPr>
          <w:ilvl w:val="0"/>
          <w:numId w:val="2"/>
        </w:numPr>
        <w:bidi/>
        <w:spacing w:after="100" w:line="300"/>
        <w:jc w:val="right"/>
      </w:pPr>
      <w:r>
        <w:rPr>
          <w:rFonts w:ascii="Arial" w:cs="Arial" w:eastAsia="Arial" w:hAnsi="Arial"/>
          <w:sz w:val="24"/>
          <w:szCs w:val="24"/>
          <w:rtl/>
        </w:rPr>
        <w:t xml:space="preserve">فريق دعم تقني جاهز.</w:t>
      </w:r>
    </w:p>
    <w:p>
      <w:pPr>
        <w:pStyle w:val="ListParagraph"/>
        <w:numPr>
          <w:ilvl w:val="0"/>
          <w:numId w:val="2"/>
        </w:numPr>
        <w:bidi/>
        <w:spacing w:after="100" w:line="300"/>
        <w:jc w:val="right"/>
      </w:pPr>
      <w:r>
        <w:rPr>
          <w:rFonts w:ascii="Arial" w:cs="Arial" w:eastAsia="Arial" w:hAnsi="Arial"/>
          <w:sz w:val="24"/>
          <w:szCs w:val="24"/>
          <w:rtl/>
        </w:rPr>
        <w:t xml:space="preserve">خطة استمرارية واضحة.</w:t>
      </w:r>
    </w:p>
    <w:p>
      <w:pPr>
        <w:pStyle w:val="Heading2"/>
        <w:bidi/>
        <w:spacing w:after="160" w:before="280"/>
        <w:jc w:val="right"/>
      </w:pPr>
      <w:r>
        <w:rPr>
          <w:rFonts w:ascii="Arial" w:cs="Arial" w:eastAsia="Arial" w:hAnsi="Arial"/>
          <w:b/>
          <w:bCs/>
          <w:color w:val="2E75B6"/>
          <w:sz w:val="30"/>
          <w:szCs w:val="30"/>
          <w:rtl/>
        </w:rPr>
        <w:t xml:space="preserve">3. مخاطر قانونية وإجرائية</w:t>
      </w:r>
    </w:p>
    <w:p>
      <w:pPr>
        <w:pStyle w:val="Heading3"/>
        <w:bidi/>
        <w:spacing w:after="120" w:before="200"/>
        <w:jc w:val="right"/>
      </w:pPr>
      <w:r>
        <w:rPr>
          <w:rFonts w:ascii="Arial" w:cs="Arial" w:eastAsia="Arial" w:hAnsi="Arial"/>
          <w:b/>
          <w:bCs/>
          <w:color w:val="1F4E79"/>
          <w:sz w:val="26"/>
          <w:szCs w:val="26"/>
          <w:rtl/>
        </w:rPr>
        <w:t xml:space="preserve">المخاطر</w:t>
      </w:r>
    </w:p>
    <w:p>
      <w:pPr>
        <w:pStyle w:val="ListParagraph"/>
        <w:numPr>
          <w:ilvl w:val="0"/>
          <w:numId w:val="2"/>
        </w:numPr>
        <w:bidi/>
        <w:spacing w:after="100" w:line="300"/>
        <w:jc w:val="right"/>
      </w:pPr>
      <w:r>
        <w:rPr>
          <w:rFonts w:ascii="Arial" w:cs="Arial" w:eastAsia="Arial" w:hAnsi="Arial"/>
          <w:sz w:val="24"/>
          <w:szCs w:val="24"/>
          <w:rtl/>
        </w:rPr>
        <w:t xml:space="preserve">الطعن في صحة الإجراءات.</w:t>
      </w:r>
    </w:p>
    <w:p>
      <w:pPr>
        <w:pStyle w:val="ListParagraph"/>
        <w:numPr>
          <w:ilvl w:val="0"/>
          <w:numId w:val="2"/>
        </w:numPr>
        <w:bidi/>
        <w:spacing w:after="100" w:line="300"/>
        <w:jc w:val="right"/>
      </w:pPr>
      <w:r>
        <w:rPr>
          <w:rFonts w:ascii="Arial" w:cs="Arial" w:eastAsia="Arial" w:hAnsi="Arial"/>
          <w:sz w:val="24"/>
          <w:szCs w:val="24"/>
          <w:rtl/>
        </w:rPr>
        <w:t xml:space="preserve">اعتراضات على نتائج التصويت.</w:t>
      </w:r>
    </w:p>
    <w:p>
      <w:pPr>
        <w:pStyle w:val="ListParagraph"/>
        <w:numPr>
          <w:ilvl w:val="0"/>
          <w:numId w:val="2"/>
        </w:numPr>
        <w:bidi/>
        <w:spacing w:after="100" w:line="300"/>
        <w:jc w:val="right"/>
      </w:pPr>
      <w:r>
        <w:rPr>
          <w:rFonts w:ascii="Arial" w:cs="Arial" w:eastAsia="Arial" w:hAnsi="Arial"/>
          <w:sz w:val="24"/>
          <w:szCs w:val="24"/>
          <w:rtl/>
        </w:rPr>
        <w:t xml:space="preserve">شكاوى من المساهمين الأقلية.</w:t>
      </w:r>
    </w:p>
    <w:p>
      <w:pPr>
        <w:pStyle w:val="ListParagraph"/>
        <w:numPr>
          <w:ilvl w:val="0"/>
          <w:numId w:val="2"/>
        </w:numPr>
        <w:bidi/>
        <w:spacing w:after="100" w:line="300"/>
        <w:jc w:val="right"/>
      </w:pPr>
      <w:r>
        <w:rPr>
          <w:rFonts w:ascii="Arial" w:cs="Arial" w:eastAsia="Arial" w:hAnsi="Arial"/>
          <w:sz w:val="24"/>
          <w:szCs w:val="24"/>
          <w:rtl/>
        </w:rPr>
        <w:t xml:space="preserve">مخالفات للوائح التنظيمية.</w:t>
      </w:r>
    </w:p>
    <w:p>
      <w:pPr>
        <w:pStyle w:val="Heading3"/>
        <w:bidi/>
        <w:spacing w:after="120" w:before="200"/>
        <w:jc w:val="right"/>
      </w:pPr>
      <w:r>
        <w:rPr>
          <w:rFonts w:ascii="Arial" w:cs="Arial" w:eastAsia="Arial" w:hAnsi="Arial"/>
          <w:b/>
          <w:bCs/>
          <w:color w:val="1F4E79"/>
          <w:sz w:val="26"/>
          <w:szCs w:val="26"/>
          <w:rtl/>
        </w:rPr>
        <w:t xml:space="preserve">الوقاية</w:t>
      </w:r>
    </w:p>
    <w:p>
      <w:pPr>
        <w:pStyle w:val="ListParagraph"/>
        <w:numPr>
          <w:ilvl w:val="0"/>
          <w:numId w:val="2"/>
        </w:numPr>
        <w:bidi/>
        <w:spacing w:after="100" w:line="300"/>
        <w:jc w:val="right"/>
      </w:pPr>
      <w:r>
        <w:rPr>
          <w:rFonts w:ascii="Arial" w:cs="Arial" w:eastAsia="Arial" w:hAnsi="Arial"/>
          <w:sz w:val="24"/>
          <w:szCs w:val="24"/>
          <w:rtl/>
        </w:rPr>
        <w:t xml:space="preserve">المراجعة القانونية الدقيقة لكل خطوة.</w:t>
      </w:r>
    </w:p>
    <w:p>
      <w:pPr>
        <w:pStyle w:val="ListParagraph"/>
        <w:numPr>
          <w:ilvl w:val="0"/>
          <w:numId w:val="2"/>
        </w:numPr>
        <w:bidi/>
        <w:spacing w:after="100" w:line="300"/>
        <w:jc w:val="right"/>
      </w:pPr>
      <w:r>
        <w:rPr>
          <w:rFonts w:ascii="Arial" w:cs="Arial" w:eastAsia="Arial" w:hAnsi="Arial"/>
          <w:sz w:val="24"/>
          <w:szCs w:val="24"/>
          <w:rtl/>
        </w:rPr>
        <w:t xml:space="preserve">التوثيق الشامل لجميع الإجراءات.</w:t>
      </w:r>
    </w:p>
    <w:p>
      <w:pPr>
        <w:pStyle w:val="ListParagraph"/>
        <w:numPr>
          <w:ilvl w:val="0"/>
          <w:numId w:val="2"/>
        </w:numPr>
        <w:bidi/>
        <w:spacing w:after="100" w:line="300"/>
        <w:jc w:val="right"/>
      </w:pPr>
      <w:r>
        <w:rPr>
          <w:rFonts w:ascii="Arial" w:cs="Arial" w:eastAsia="Arial" w:hAnsi="Arial"/>
          <w:sz w:val="24"/>
          <w:szCs w:val="24"/>
          <w:rtl/>
        </w:rPr>
        <w:t xml:space="preserve">استشارة قانونية في القرارات الكبرى.</w:t>
      </w:r>
    </w:p>
    <w:p>
      <w:pPr>
        <w:pStyle w:val="ListParagraph"/>
        <w:numPr>
          <w:ilvl w:val="0"/>
          <w:numId w:val="2"/>
        </w:numPr>
        <w:bidi/>
        <w:spacing w:after="100" w:line="300"/>
        <w:jc w:val="right"/>
      </w:pPr>
      <w:r>
        <w:rPr>
          <w:rFonts w:ascii="Arial" w:cs="Arial" w:eastAsia="Arial" w:hAnsi="Arial"/>
          <w:sz w:val="24"/>
          <w:szCs w:val="24"/>
          <w:rtl/>
        </w:rPr>
        <w:t xml:space="preserve">الالتزام الصارم بالأنظمة واللوائح.</w:t>
      </w:r>
    </w:p>
    <w:p>
      <w:pPr>
        <w:pStyle w:val="Heading2"/>
        <w:bidi/>
        <w:spacing w:after="160" w:before="280"/>
        <w:jc w:val="right"/>
      </w:pPr>
      <w:r>
        <w:rPr>
          <w:rFonts w:ascii="Arial" w:cs="Arial" w:eastAsia="Arial" w:hAnsi="Arial"/>
          <w:b/>
          <w:bCs/>
          <w:color w:val="2E75B6"/>
          <w:sz w:val="30"/>
          <w:szCs w:val="30"/>
          <w:rtl/>
        </w:rPr>
        <w:t xml:space="preserve">4. مخاطر سمعة</w:t>
      </w:r>
    </w:p>
    <w:p>
      <w:pPr>
        <w:pStyle w:val="Heading3"/>
        <w:bidi/>
        <w:spacing w:after="120" w:before="200"/>
        <w:jc w:val="right"/>
      </w:pPr>
      <w:r>
        <w:rPr>
          <w:rFonts w:ascii="Arial" w:cs="Arial" w:eastAsia="Arial" w:hAnsi="Arial"/>
          <w:b/>
          <w:bCs/>
          <w:color w:val="1F4E79"/>
          <w:sz w:val="26"/>
          <w:szCs w:val="26"/>
          <w:rtl/>
        </w:rPr>
        <w:t xml:space="preserve">المخاطر</w:t>
      </w:r>
    </w:p>
    <w:p>
      <w:pPr>
        <w:pStyle w:val="ListParagraph"/>
        <w:numPr>
          <w:ilvl w:val="0"/>
          <w:numId w:val="2"/>
        </w:numPr>
        <w:bidi/>
        <w:spacing w:after="100" w:line="300"/>
        <w:jc w:val="right"/>
      </w:pPr>
      <w:r>
        <w:rPr>
          <w:rFonts w:ascii="Arial" w:cs="Arial" w:eastAsia="Arial" w:hAnsi="Arial"/>
          <w:sz w:val="24"/>
          <w:szCs w:val="24"/>
          <w:rtl/>
        </w:rPr>
        <w:t xml:space="preserve">تغطية إعلامية سلبية.</w:t>
      </w:r>
    </w:p>
    <w:p>
      <w:pPr>
        <w:pStyle w:val="ListParagraph"/>
        <w:numPr>
          <w:ilvl w:val="0"/>
          <w:numId w:val="2"/>
        </w:numPr>
        <w:bidi/>
        <w:spacing w:after="100" w:line="300"/>
        <w:jc w:val="right"/>
      </w:pPr>
      <w:r>
        <w:rPr>
          <w:rFonts w:ascii="Arial" w:cs="Arial" w:eastAsia="Arial" w:hAnsi="Arial"/>
          <w:sz w:val="24"/>
          <w:szCs w:val="24"/>
          <w:rtl/>
        </w:rPr>
        <w:t xml:space="preserve">تساؤلات حادة من المساهمين.</w:t>
      </w:r>
    </w:p>
    <w:p>
      <w:pPr>
        <w:pStyle w:val="ListParagraph"/>
        <w:numPr>
          <w:ilvl w:val="0"/>
          <w:numId w:val="2"/>
        </w:numPr>
        <w:bidi/>
        <w:spacing w:after="100" w:line="300"/>
        <w:jc w:val="right"/>
      </w:pPr>
      <w:r>
        <w:rPr>
          <w:rFonts w:ascii="Arial" w:cs="Arial" w:eastAsia="Arial" w:hAnsi="Arial"/>
          <w:sz w:val="24"/>
          <w:szCs w:val="24"/>
          <w:rtl/>
        </w:rPr>
        <w:t xml:space="preserve">شائعات أو تسريبات.</w:t>
      </w:r>
    </w:p>
    <w:p>
      <w:pPr>
        <w:pStyle w:val="ListParagraph"/>
        <w:numPr>
          <w:ilvl w:val="0"/>
          <w:numId w:val="2"/>
        </w:numPr>
        <w:bidi/>
        <w:spacing w:after="100" w:line="300"/>
        <w:jc w:val="right"/>
      </w:pPr>
      <w:r>
        <w:rPr>
          <w:rFonts w:ascii="Arial" w:cs="Arial" w:eastAsia="Arial" w:hAnsi="Arial"/>
          <w:sz w:val="24"/>
          <w:szCs w:val="24"/>
          <w:rtl/>
        </w:rPr>
        <w:t xml:space="preserve">ردود فعل سلبية في السوق.</w:t>
      </w:r>
    </w:p>
    <w:p>
      <w:pPr>
        <w:pStyle w:val="Heading3"/>
        <w:bidi/>
        <w:spacing w:after="120" w:before="200"/>
        <w:jc w:val="right"/>
      </w:pPr>
      <w:r>
        <w:rPr>
          <w:rFonts w:ascii="Arial" w:cs="Arial" w:eastAsia="Arial" w:hAnsi="Arial"/>
          <w:b/>
          <w:bCs/>
          <w:color w:val="1F4E79"/>
          <w:sz w:val="26"/>
          <w:szCs w:val="26"/>
          <w:rtl/>
        </w:rPr>
        <w:t xml:space="preserve">الوقاية</w:t>
      </w:r>
    </w:p>
    <w:p>
      <w:pPr>
        <w:pStyle w:val="ListParagraph"/>
        <w:numPr>
          <w:ilvl w:val="0"/>
          <w:numId w:val="2"/>
        </w:numPr>
        <w:bidi/>
        <w:spacing w:after="100" w:line="300"/>
        <w:jc w:val="right"/>
      </w:pPr>
      <w:r>
        <w:rPr>
          <w:rFonts w:ascii="Arial" w:cs="Arial" w:eastAsia="Arial" w:hAnsi="Arial"/>
          <w:sz w:val="24"/>
          <w:szCs w:val="24"/>
          <w:rtl/>
        </w:rPr>
        <w:t xml:space="preserve">التواصل الاستباقي.</w:t>
      </w:r>
    </w:p>
    <w:p>
      <w:pPr>
        <w:pStyle w:val="ListParagraph"/>
        <w:numPr>
          <w:ilvl w:val="0"/>
          <w:numId w:val="2"/>
        </w:numPr>
        <w:bidi/>
        <w:spacing w:after="100" w:line="300"/>
        <w:jc w:val="right"/>
      </w:pPr>
      <w:r>
        <w:rPr>
          <w:rFonts w:ascii="Arial" w:cs="Arial" w:eastAsia="Arial" w:hAnsi="Arial"/>
          <w:sz w:val="24"/>
          <w:szCs w:val="24"/>
          <w:rtl/>
        </w:rPr>
        <w:t xml:space="preserve">الشفافية في المعلومات.</w:t>
      </w:r>
    </w:p>
    <w:p>
      <w:pPr>
        <w:pStyle w:val="ListParagraph"/>
        <w:numPr>
          <w:ilvl w:val="0"/>
          <w:numId w:val="2"/>
        </w:numPr>
        <w:bidi/>
        <w:spacing w:after="100" w:line="300"/>
        <w:jc w:val="right"/>
      </w:pPr>
      <w:r>
        <w:rPr>
          <w:rFonts w:ascii="Arial" w:cs="Arial" w:eastAsia="Arial" w:hAnsi="Arial"/>
          <w:sz w:val="24"/>
          <w:szCs w:val="24"/>
          <w:rtl/>
        </w:rPr>
        <w:t xml:space="preserve">الإعداد لإجابات حازمة على الأسئلة الصعبة.</w:t>
      </w:r>
    </w:p>
    <w:p>
      <w:pPr>
        <w:pStyle w:val="ListParagraph"/>
        <w:numPr>
          <w:ilvl w:val="0"/>
          <w:numId w:val="2"/>
        </w:numPr>
        <w:bidi/>
        <w:spacing w:after="100" w:line="300"/>
        <w:jc w:val="right"/>
      </w:pPr>
      <w:r>
        <w:rPr>
          <w:rFonts w:ascii="Arial" w:cs="Arial" w:eastAsia="Arial" w:hAnsi="Arial"/>
          <w:sz w:val="24"/>
          <w:szCs w:val="24"/>
          <w:rtl/>
        </w:rPr>
        <w:t xml:space="preserve">التنسيق مع فريق العلاقات العامة.</w:t>
      </w:r>
    </w:p>
    <w:p>
      <w:pPr>
        <w:pStyle w:val="Heading2"/>
        <w:bidi/>
        <w:spacing w:after="160" w:before="280"/>
        <w:jc w:val="right"/>
      </w:pPr>
      <w:r>
        <w:rPr>
          <w:rFonts w:ascii="Arial" w:cs="Arial" w:eastAsia="Arial" w:hAnsi="Arial"/>
          <w:b/>
          <w:bCs/>
          <w:color w:val="2E75B6"/>
          <w:sz w:val="30"/>
          <w:szCs w:val="30"/>
          <w:rtl/>
        </w:rPr>
        <w:t xml:space="preserve">5. مخاطر لوجستية</w:t>
      </w:r>
    </w:p>
    <w:p>
      <w:pPr>
        <w:pStyle w:val="Heading3"/>
        <w:bidi/>
        <w:spacing w:after="120" w:before="200"/>
        <w:jc w:val="right"/>
      </w:pPr>
      <w:r>
        <w:rPr>
          <w:rFonts w:ascii="Arial" w:cs="Arial" w:eastAsia="Arial" w:hAnsi="Arial"/>
          <w:b/>
          <w:bCs/>
          <w:color w:val="1F4E79"/>
          <w:sz w:val="26"/>
          <w:szCs w:val="26"/>
          <w:rtl/>
        </w:rPr>
        <w:t xml:space="preserve">المخاطر</w:t>
      </w:r>
    </w:p>
    <w:p>
      <w:pPr>
        <w:pStyle w:val="ListParagraph"/>
        <w:numPr>
          <w:ilvl w:val="0"/>
          <w:numId w:val="2"/>
        </w:numPr>
        <w:bidi/>
        <w:spacing w:after="100" w:line="300"/>
        <w:jc w:val="right"/>
      </w:pPr>
      <w:r>
        <w:rPr>
          <w:rFonts w:ascii="Arial" w:cs="Arial" w:eastAsia="Arial" w:hAnsi="Arial"/>
          <w:sz w:val="24"/>
          <w:szCs w:val="24"/>
          <w:rtl/>
        </w:rPr>
        <w:t xml:space="preserve">مشاكل في مكان الانعقاد.</w:t>
      </w:r>
    </w:p>
    <w:p>
      <w:pPr>
        <w:pStyle w:val="ListParagraph"/>
        <w:numPr>
          <w:ilvl w:val="0"/>
          <w:numId w:val="2"/>
        </w:numPr>
        <w:bidi/>
        <w:spacing w:after="100" w:line="300"/>
        <w:jc w:val="right"/>
      </w:pPr>
      <w:r>
        <w:rPr>
          <w:rFonts w:ascii="Arial" w:cs="Arial" w:eastAsia="Arial" w:hAnsi="Arial"/>
          <w:sz w:val="24"/>
          <w:szCs w:val="24"/>
          <w:rtl/>
        </w:rPr>
        <w:t xml:space="preserve">صعوبات في الوصول.</w:t>
      </w:r>
    </w:p>
    <w:p>
      <w:pPr>
        <w:pStyle w:val="ListParagraph"/>
        <w:numPr>
          <w:ilvl w:val="0"/>
          <w:numId w:val="2"/>
        </w:numPr>
        <w:bidi/>
        <w:spacing w:after="100" w:line="300"/>
        <w:jc w:val="right"/>
      </w:pPr>
      <w:r>
        <w:rPr>
          <w:rFonts w:ascii="Arial" w:cs="Arial" w:eastAsia="Arial" w:hAnsi="Arial"/>
          <w:sz w:val="24"/>
          <w:szCs w:val="24"/>
          <w:rtl/>
        </w:rPr>
        <w:t xml:space="preserve">نقص في التجهيزات.</w:t>
      </w:r>
    </w:p>
    <w:p>
      <w:pPr>
        <w:pStyle w:val="ListParagraph"/>
        <w:numPr>
          <w:ilvl w:val="0"/>
          <w:numId w:val="2"/>
        </w:numPr>
        <w:bidi/>
        <w:spacing w:after="100" w:line="300"/>
        <w:jc w:val="right"/>
      </w:pPr>
      <w:r>
        <w:rPr>
          <w:rFonts w:ascii="Arial" w:cs="Arial" w:eastAsia="Arial" w:hAnsi="Arial"/>
          <w:sz w:val="24"/>
          <w:szCs w:val="24"/>
          <w:rtl/>
        </w:rPr>
        <w:t xml:space="preserve">مشاكل في الاستقبال.</w:t>
      </w:r>
    </w:p>
    <w:p>
      <w:pPr>
        <w:pStyle w:val="Heading3"/>
        <w:bidi/>
        <w:spacing w:after="120" w:before="200"/>
        <w:jc w:val="right"/>
      </w:pPr>
      <w:r>
        <w:rPr>
          <w:rFonts w:ascii="Arial" w:cs="Arial" w:eastAsia="Arial" w:hAnsi="Arial"/>
          <w:b/>
          <w:bCs/>
          <w:color w:val="1F4E79"/>
          <w:sz w:val="26"/>
          <w:szCs w:val="26"/>
          <w:rtl/>
        </w:rPr>
        <w:t xml:space="preserve">الوقاية</w:t>
      </w:r>
    </w:p>
    <w:p>
      <w:pPr>
        <w:pStyle w:val="ListParagraph"/>
        <w:numPr>
          <w:ilvl w:val="0"/>
          <w:numId w:val="2"/>
        </w:numPr>
        <w:bidi/>
        <w:spacing w:after="100" w:line="300"/>
        <w:jc w:val="right"/>
      </w:pPr>
      <w:r>
        <w:rPr>
          <w:rFonts w:ascii="Arial" w:cs="Arial" w:eastAsia="Arial" w:hAnsi="Arial"/>
          <w:sz w:val="24"/>
          <w:szCs w:val="24"/>
          <w:rtl/>
        </w:rPr>
        <w:t xml:space="preserve">الزيارات المسبقة للمكان.</w:t>
      </w:r>
    </w:p>
    <w:p>
      <w:pPr>
        <w:pStyle w:val="ListParagraph"/>
        <w:numPr>
          <w:ilvl w:val="0"/>
          <w:numId w:val="2"/>
        </w:numPr>
        <w:bidi/>
        <w:spacing w:after="100" w:line="300"/>
        <w:jc w:val="right"/>
      </w:pPr>
      <w:r>
        <w:rPr>
          <w:rFonts w:ascii="Arial" w:cs="Arial" w:eastAsia="Arial" w:hAnsi="Arial"/>
          <w:sz w:val="24"/>
          <w:szCs w:val="24"/>
          <w:rtl/>
        </w:rPr>
        <w:t xml:space="preserve">التنسيق مع مدير الموقع.</w:t>
      </w:r>
    </w:p>
    <w:p>
      <w:pPr>
        <w:pStyle w:val="ListParagraph"/>
        <w:numPr>
          <w:ilvl w:val="0"/>
          <w:numId w:val="2"/>
        </w:numPr>
        <w:bidi/>
        <w:spacing w:after="100" w:line="300"/>
        <w:jc w:val="right"/>
      </w:pPr>
      <w:r>
        <w:rPr>
          <w:rFonts w:ascii="Arial" w:cs="Arial" w:eastAsia="Arial" w:hAnsi="Arial"/>
          <w:sz w:val="24"/>
          <w:szCs w:val="24"/>
          <w:rtl/>
        </w:rPr>
        <w:t xml:space="preserve">التحضير لخطط بديلة.</w:t>
      </w:r>
    </w:p>
    <w:p>
      <w:pPr>
        <w:pStyle w:val="ListParagraph"/>
        <w:numPr>
          <w:ilvl w:val="0"/>
          <w:numId w:val="2"/>
        </w:numPr>
        <w:bidi/>
        <w:spacing w:after="100" w:line="300"/>
        <w:jc w:val="right"/>
      </w:pPr>
      <w:r>
        <w:rPr>
          <w:rFonts w:ascii="Arial" w:cs="Arial" w:eastAsia="Arial" w:hAnsi="Arial"/>
          <w:sz w:val="24"/>
          <w:szCs w:val="24"/>
          <w:rtl/>
        </w:rPr>
        <w:t xml:space="preserve">تكوين فريق لوجستي محترف.</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التنسيق مع الأطراف الخارجية</w:t>
      </w:r>
    </w:p>
    <w:p>
      <w:pPr>
        <w:bidi/>
        <w:spacing w:after="140" w:line="320"/>
        <w:jc w:val="both"/>
      </w:pPr>
      <w:r>
        <w:rPr>
          <w:rFonts w:ascii="Arial" w:cs="Arial" w:eastAsia="Arial" w:hAnsi="Arial"/>
          <w:sz w:val="24"/>
          <w:szCs w:val="24"/>
          <w:rtl/>
        </w:rPr>
        <w:t xml:space="preserve">الجمعية تستوجب تنسيقاً وثيقاً مع عدة أطراف خارجية، كل منها يلعب دوراً محورياً:</w:t>
      </w:r>
    </w:p>
    <w:p>
      <w:pPr>
        <w:pStyle w:val="Heading2"/>
        <w:bidi/>
        <w:spacing w:after="160" w:before="280"/>
        <w:jc w:val="right"/>
      </w:pPr>
      <w:r>
        <w:rPr>
          <w:rFonts w:ascii="Arial" w:cs="Arial" w:eastAsia="Arial" w:hAnsi="Arial"/>
          <w:b/>
          <w:bCs/>
          <w:color w:val="2E75B6"/>
          <w:sz w:val="30"/>
          <w:szCs w:val="30"/>
          <w:rtl/>
        </w:rPr>
        <w:t xml:space="preserve">1. مراجع الحسابات الخارجي</w:t>
      </w:r>
    </w:p>
    <w:p>
      <w:pPr>
        <w:pStyle w:val="Heading3"/>
        <w:bidi/>
        <w:spacing w:after="120" w:before="200"/>
        <w:jc w:val="right"/>
      </w:pPr>
      <w:r>
        <w:rPr>
          <w:rFonts w:ascii="Arial" w:cs="Arial" w:eastAsia="Arial" w:hAnsi="Arial"/>
          <w:b/>
          <w:bCs/>
          <w:color w:val="1F4E79"/>
          <w:sz w:val="26"/>
          <w:szCs w:val="26"/>
          <w:rtl/>
        </w:rPr>
        <w:t xml:space="preserve">النقاط الرئيسية للتنسيق</w:t>
      </w:r>
    </w:p>
    <w:p>
      <w:pPr>
        <w:pStyle w:val="ListParagraph"/>
        <w:numPr>
          <w:ilvl w:val="0"/>
          <w:numId w:val="2"/>
        </w:numPr>
        <w:bidi/>
        <w:spacing w:after="100" w:line="300"/>
        <w:jc w:val="right"/>
      </w:pPr>
      <w:r>
        <w:rPr>
          <w:rFonts w:ascii="Arial" w:cs="Arial" w:eastAsia="Arial" w:hAnsi="Arial"/>
          <w:sz w:val="24"/>
          <w:szCs w:val="24"/>
          <w:rtl/>
        </w:rPr>
        <w:t xml:space="preserve">جدول مراجعته للقوائم المالية.</w:t>
      </w:r>
    </w:p>
    <w:p>
      <w:pPr>
        <w:pStyle w:val="ListParagraph"/>
        <w:numPr>
          <w:ilvl w:val="0"/>
          <w:numId w:val="2"/>
        </w:numPr>
        <w:bidi/>
        <w:spacing w:after="100" w:line="300"/>
        <w:jc w:val="right"/>
      </w:pPr>
      <w:r>
        <w:rPr>
          <w:rFonts w:ascii="Arial" w:cs="Arial" w:eastAsia="Arial" w:hAnsi="Arial"/>
          <w:sz w:val="24"/>
          <w:szCs w:val="24"/>
          <w:rtl/>
        </w:rPr>
        <w:t xml:space="preserve">توقيت إصدار تقرير المراجعة.</w:t>
      </w:r>
    </w:p>
    <w:p>
      <w:pPr>
        <w:pStyle w:val="ListParagraph"/>
        <w:numPr>
          <w:ilvl w:val="0"/>
          <w:numId w:val="2"/>
        </w:numPr>
        <w:bidi/>
        <w:spacing w:after="100" w:line="300"/>
        <w:jc w:val="right"/>
      </w:pPr>
      <w:r>
        <w:rPr>
          <w:rFonts w:ascii="Arial" w:cs="Arial" w:eastAsia="Arial" w:hAnsi="Arial"/>
          <w:sz w:val="24"/>
          <w:szCs w:val="24"/>
          <w:rtl/>
        </w:rPr>
        <w:t xml:space="preserve">حضوره الجمعية للرد على الأسئلة.</w:t>
      </w:r>
    </w:p>
    <w:p>
      <w:pPr>
        <w:pStyle w:val="ListParagraph"/>
        <w:numPr>
          <w:ilvl w:val="0"/>
          <w:numId w:val="2"/>
        </w:numPr>
        <w:bidi/>
        <w:spacing w:after="100" w:line="300"/>
        <w:jc w:val="right"/>
      </w:pPr>
      <w:r>
        <w:rPr>
          <w:rFonts w:ascii="Arial" w:cs="Arial" w:eastAsia="Arial" w:hAnsi="Arial"/>
          <w:sz w:val="24"/>
          <w:szCs w:val="24"/>
          <w:rtl/>
        </w:rPr>
        <w:t xml:space="preserve">التنسيق على البيانات والإيضاحات.</w:t>
      </w:r>
    </w:p>
    <w:p>
      <w:pPr>
        <w:pStyle w:val="Heading2"/>
        <w:bidi/>
        <w:spacing w:after="160" w:before="280"/>
        <w:jc w:val="right"/>
      </w:pPr>
      <w:r>
        <w:rPr>
          <w:rFonts w:ascii="Arial" w:cs="Arial" w:eastAsia="Arial" w:hAnsi="Arial"/>
          <w:b/>
          <w:bCs/>
          <w:color w:val="2E75B6"/>
          <w:sz w:val="30"/>
          <w:szCs w:val="30"/>
          <w:rtl/>
        </w:rPr>
        <w:t xml:space="preserve">2. هيئة السوق المالية وتداول (للمدرجة)</w:t>
      </w:r>
    </w:p>
    <w:p>
      <w:pPr>
        <w:pStyle w:val="Heading3"/>
        <w:bidi/>
        <w:spacing w:after="120" w:before="200"/>
        <w:jc w:val="right"/>
      </w:pPr>
      <w:r>
        <w:rPr>
          <w:rFonts w:ascii="Arial" w:cs="Arial" w:eastAsia="Arial" w:hAnsi="Arial"/>
          <w:b/>
          <w:bCs/>
          <w:color w:val="1F4E79"/>
          <w:sz w:val="26"/>
          <w:szCs w:val="26"/>
          <w:rtl/>
        </w:rPr>
        <w:t xml:space="preserve">النقاط الرئيسية</w:t>
      </w:r>
    </w:p>
    <w:p>
      <w:pPr>
        <w:pStyle w:val="ListParagraph"/>
        <w:numPr>
          <w:ilvl w:val="0"/>
          <w:numId w:val="2"/>
        </w:numPr>
        <w:bidi/>
        <w:spacing w:after="100" w:line="300"/>
        <w:jc w:val="right"/>
      </w:pPr>
      <w:r>
        <w:rPr>
          <w:rFonts w:ascii="Arial" w:cs="Arial" w:eastAsia="Arial" w:hAnsi="Arial"/>
          <w:sz w:val="24"/>
          <w:szCs w:val="24"/>
          <w:rtl/>
        </w:rPr>
        <w:t xml:space="preserve">الإفصاحات المسبقة المطلوبة.</w:t>
      </w:r>
    </w:p>
    <w:p>
      <w:pPr>
        <w:pStyle w:val="ListParagraph"/>
        <w:numPr>
          <w:ilvl w:val="0"/>
          <w:numId w:val="2"/>
        </w:numPr>
        <w:bidi/>
        <w:spacing w:after="100" w:line="300"/>
        <w:jc w:val="right"/>
      </w:pPr>
      <w:r>
        <w:rPr>
          <w:rFonts w:ascii="Arial" w:cs="Arial" w:eastAsia="Arial" w:hAnsi="Arial"/>
          <w:sz w:val="24"/>
          <w:szCs w:val="24"/>
          <w:rtl/>
        </w:rPr>
        <w:t xml:space="preserve">جدولة النشر على منصة "تداول".</w:t>
      </w:r>
    </w:p>
    <w:p>
      <w:pPr>
        <w:pStyle w:val="ListParagraph"/>
        <w:numPr>
          <w:ilvl w:val="0"/>
          <w:numId w:val="2"/>
        </w:numPr>
        <w:bidi/>
        <w:spacing w:after="100" w:line="300"/>
        <w:jc w:val="right"/>
      </w:pPr>
      <w:r>
        <w:rPr>
          <w:rFonts w:ascii="Arial" w:cs="Arial" w:eastAsia="Arial" w:hAnsi="Arial"/>
          <w:sz w:val="24"/>
          <w:szCs w:val="24"/>
          <w:rtl/>
        </w:rPr>
        <w:t xml:space="preserve">التنسيق حول البث وإجراءات التصويت.</w:t>
      </w:r>
    </w:p>
    <w:p>
      <w:pPr>
        <w:pStyle w:val="ListParagraph"/>
        <w:numPr>
          <w:ilvl w:val="0"/>
          <w:numId w:val="2"/>
        </w:numPr>
        <w:bidi/>
        <w:spacing w:after="100" w:line="300"/>
        <w:jc w:val="right"/>
      </w:pPr>
      <w:r>
        <w:rPr>
          <w:rFonts w:ascii="Arial" w:cs="Arial" w:eastAsia="Arial" w:hAnsi="Arial"/>
          <w:sz w:val="24"/>
          <w:szCs w:val="24"/>
          <w:rtl/>
        </w:rPr>
        <w:t xml:space="preserve">متابعة أي ملاحظات أو استفسارات.</w:t>
      </w:r>
    </w:p>
    <w:p>
      <w:pPr>
        <w:pStyle w:val="Heading2"/>
        <w:bidi/>
        <w:spacing w:after="160" w:before="280"/>
        <w:jc w:val="right"/>
      </w:pPr>
      <w:r>
        <w:rPr>
          <w:rFonts w:ascii="Arial" w:cs="Arial" w:eastAsia="Arial" w:hAnsi="Arial"/>
          <w:b/>
          <w:bCs/>
          <w:color w:val="2E75B6"/>
          <w:sz w:val="30"/>
          <w:szCs w:val="30"/>
          <w:rtl/>
        </w:rPr>
        <w:t xml:space="preserve">3. مركز إيداع (للمدرجة)</w:t>
      </w:r>
    </w:p>
    <w:p>
      <w:pPr>
        <w:pStyle w:val="Heading3"/>
        <w:bidi/>
        <w:spacing w:after="120" w:before="200"/>
        <w:jc w:val="right"/>
      </w:pPr>
      <w:r>
        <w:rPr>
          <w:rFonts w:ascii="Arial" w:cs="Arial" w:eastAsia="Arial" w:hAnsi="Arial"/>
          <w:b/>
          <w:bCs/>
          <w:color w:val="1F4E79"/>
          <w:sz w:val="26"/>
          <w:szCs w:val="26"/>
          <w:rtl/>
        </w:rPr>
        <w:t xml:space="preserve">النقاط الرئيسية</w:t>
      </w:r>
    </w:p>
    <w:p>
      <w:pPr>
        <w:pStyle w:val="ListParagraph"/>
        <w:numPr>
          <w:ilvl w:val="0"/>
          <w:numId w:val="2"/>
        </w:numPr>
        <w:bidi/>
        <w:spacing w:after="100" w:line="300"/>
        <w:jc w:val="right"/>
      </w:pPr>
      <w:r>
        <w:rPr>
          <w:rFonts w:ascii="Arial" w:cs="Arial" w:eastAsia="Arial" w:hAnsi="Arial"/>
          <w:sz w:val="24"/>
          <w:szCs w:val="24"/>
          <w:rtl/>
        </w:rPr>
        <w:t xml:space="preserve">قائمة المساهمين المستحقين.</w:t>
      </w:r>
    </w:p>
    <w:p>
      <w:pPr>
        <w:pStyle w:val="ListParagraph"/>
        <w:numPr>
          <w:ilvl w:val="0"/>
          <w:numId w:val="2"/>
        </w:numPr>
        <w:bidi/>
        <w:spacing w:after="100" w:line="300"/>
        <w:jc w:val="right"/>
      </w:pPr>
      <w:r>
        <w:rPr>
          <w:rFonts w:ascii="Arial" w:cs="Arial" w:eastAsia="Arial" w:hAnsi="Arial"/>
          <w:sz w:val="24"/>
          <w:szCs w:val="24"/>
          <w:rtl/>
        </w:rPr>
        <w:t xml:space="preserve">منظومة التصويت الإلكتروني.</w:t>
      </w:r>
    </w:p>
    <w:p>
      <w:pPr>
        <w:pStyle w:val="ListParagraph"/>
        <w:numPr>
          <w:ilvl w:val="0"/>
          <w:numId w:val="2"/>
        </w:numPr>
        <w:bidi/>
        <w:spacing w:after="100" w:line="300"/>
        <w:jc w:val="right"/>
      </w:pPr>
      <w:r>
        <w:rPr>
          <w:rFonts w:ascii="Arial" w:cs="Arial" w:eastAsia="Arial" w:hAnsi="Arial"/>
          <w:sz w:val="24"/>
          <w:szCs w:val="24"/>
          <w:rtl/>
        </w:rPr>
        <w:t xml:space="preserve">تنفيذ القرارات (التوزيعات، التعيينات).</w:t>
      </w:r>
    </w:p>
    <w:p>
      <w:pPr>
        <w:pStyle w:val="ListParagraph"/>
        <w:numPr>
          <w:ilvl w:val="0"/>
          <w:numId w:val="2"/>
        </w:numPr>
        <w:bidi/>
        <w:spacing w:after="100" w:line="300"/>
        <w:jc w:val="right"/>
      </w:pPr>
      <w:r>
        <w:rPr>
          <w:rFonts w:ascii="Arial" w:cs="Arial" w:eastAsia="Arial" w:hAnsi="Arial"/>
          <w:sz w:val="24"/>
          <w:szCs w:val="24"/>
          <w:rtl/>
        </w:rPr>
        <w:t xml:space="preserve">التنسيق على البيانات اللوجستية.</w:t>
      </w:r>
    </w:p>
    <w:p>
      <w:pPr>
        <w:pStyle w:val="Heading2"/>
        <w:bidi/>
        <w:spacing w:after="160" w:before="280"/>
        <w:jc w:val="right"/>
      </w:pPr>
      <w:r>
        <w:rPr>
          <w:rFonts w:ascii="Arial" w:cs="Arial" w:eastAsia="Arial" w:hAnsi="Arial"/>
          <w:b/>
          <w:bCs/>
          <w:color w:val="2E75B6"/>
          <w:sz w:val="30"/>
          <w:szCs w:val="30"/>
          <w:rtl/>
        </w:rPr>
        <w:t xml:space="preserve">4. وزارة التجارة (للشركات غير المدرجة)</w:t>
      </w:r>
    </w:p>
    <w:p>
      <w:pPr>
        <w:pStyle w:val="Heading3"/>
        <w:bidi/>
        <w:spacing w:after="120" w:before="200"/>
        <w:jc w:val="right"/>
      </w:pPr>
      <w:r>
        <w:rPr>
          <w:rFonts w:ascii="Arial" w:cs="Arial" w:eastAsia="Arial" w:hAnsi="Arial"/>
          <w:b/>
          <w:bCs/>
          <w:color w:val="1F4E79"/>
          <w:sz w:val="26"/>
          <w:szCs w:val="26"/>
          <w:rtl/>
        </w:rPr>
        <w:t xml:space="preserve">النقاط الرئيسية</w:t>
      </w:r>
    </w:p>
    <w:p>
      <w:pPr>
        <w:pStyle w:val="ListParagraph"/>
        <w:numPr>
          <w:ilvl w:val="0"/>
          <w:numId w:val="2"/>
        </w:numPr>
        <w:bidi/>
        <w:spacing w:after="100" w:line="300"/>
        <w:jc w:val="right"/>
      </w:pPr>
      <w:r>
        <w:rPr>
          <w:rFonts w:ascii="Arial" w:cs="Arial" w:eastAsia="Arial" w:hAnsi="Arial"/>
          <w:sz w:val="24"/>
          <w:szCs w:val="24"/>
          <w:rtl/>
        </w:rPr>
        <w:t xml:space="preserve">تحديث سجل الشركة.</w:t>
      </w:r>
    </w:p>
    <w:p>
      <w:pPr>
        <w:pStyle w:val="ListParagraph"/>
        <w:numPr>
          <w:ilvl w:val="0"/>
          <w:numId w:val="2"/>
        </w:numPr>
        <w:bidi/>
        <w:spacing w:after="100" w:line="300"/>
        <w:jc w:val="right"/>
      </w:pPr>
      <w:r>
        <w:rPr>
          <w:rFonts w:ascii="Arial" w:cs="Arial" w:eastAsia="Arial" w:hAnsi="Arial"/>
          <w:sz w:val="24"/>
          <w:szCs w:val="24"/>
          <w:rtl/>
        </w:rPr>
        <w:t xml:space="preserve">اعتماد التعديلات في النظام الأساس.</w:t>
      </w:r>
    </w:p>
    <w:p>
      <w:pPr>
        <w:pStyle w:val="ListParagraph"/>
        <w:numPr>
          <w:ilvl w:val="0"/>
          <w:numId w:val="2"/>
        </w:numPr>
        <w:bidi/>
        <w:spacing w:after="100" w:line="300"/>
        <w:jc w:val="right"/>
      </w:pPr>
      <w:r>
        <w:rPr>
          <w:rFonts w:ascii="Arial" w:cs="Arial" w:eastAsia="Arial" w:hAnsi="Arial"/>
          <w:sz w:val="24"/>
          <w:szCs w:val="24"/>
          <w:rtl/>
        </w:rPr>
        <w:t xml:space="preserve">توثيق التغييرات في الإدارة.</w:t>
      </w:r>
    </w:p>
    <w:p>
      <w:pPr>
        <w:pStyle w:val="Heading2"/>
        <w:bidi/>
        <w:spacing w:after="160" w:before="280"/>
        <w:jc w:val="right"/>
      </w:pPr>
      <w:r>
        <w:rPr>
          <w:rFonts w:ascii="Arial" w:cs="Arial" w:eastAsia="Arial" w:hAnsi="Arial"/>
          <w:b/>
          <w:bCs/>
          <w:color w:val="2E75B6"/>
          <w:sz w:val="30"/>
          <w:szCs w:val="30"/>
          <w:rtl/>
        </w:rPr>
        <w:t xml:space="preserve">5. الجهات الإعلامية</w:t>
      </w:r>
    </w:p>
    <w:p>
      <w:pPr>
        <w:pStyle w:val="Heading3"/>
        <w:bidi/>
        <w:spacing w:after="120" w:before="200"/>
        <w:jc w:val="right"/>
      </w:pPr>
      <w:r>
        <w:rPr>
          <w:rFonts w:ascii="Arial" w:cs="Arial" w:eastAsia="Arial" w:hAnsi="Arial"/>
          <w:b/>
          <w:bCs/>
          <w:color w:val="1F4E79"/>
          <w:sz w:val="26"/>
          <w:szCs w:val="26"/>
          <w:rtl/>
        </w:rPr>
        <w:t xml:space="preserve">النقاط الرئيسية</w:t>
      </w:r>
    </w:p>
    <w:p>
      <w:pPr>
        <w:pStyle w:val="ListParagraph"/>
        <w:numPr>
          <w:ilvl w:val="0"/>
          <w:numId w:val="2"/>
        </w:numPr>
        <w:bidi/>
        <w:spacing w:after="100" w:line="300"/>
        <w:jc w:val="right"/>
      </w:pPr>
      <w:r>
        <w:rPr>
          <w:rFonts w:ascii="Arial" w:cs="Arial" w:eastAsia="Arial" w:hAnsi="Arial"/>
          <w:sz w:val="24"/>
          <w:szCs w:val="24"/>
          <w:rtl/>
        </w:rPr>
        <w:t xml:space="preserve">البيانات الصحفية.</w:t>
      </w:r>
    </w:p>
    <w:p>
      <w:pPr>
        <w:pStyle w:val="ListParagraph"/>
        <w:numPr>
          <w:ilvl w:val="0"/>
          <w:numId w:val="2"/>
        </w:numPr>
        <w:bidi/>
        <w:spacing w:after="100" w:line="300"/>
        <w:jc w:val="right"/>
      </w:pPr>
      <w:r>
        <w:rPr>
          <w:rFonts w:ascii="Arial" w:cs="Arial" w:eastAsia="Arial" w:hAnsi="Arial"/>
          <w:sz w:val="24"/>
          <w:szCs w:val="24"/>
          <w:rtl/>
        </w:rPr>
        <w:t xml:space="preserve">التغطية الإعلامية.</w:t>
      </w:r>
    </w:p>
    <w:p>
      <w:pPr>
        <w:pStyle w:val="ListParagraph"/>
        <w:numPr>
          <w:ilvl w:val="0"/>
          <w:numId w:val="2"/>
        </w:numPr>
        <w:bidi/>
        <w:spacing w:after="100" w:line="300"/>
        <w:jc w:val="right"/>
      </w:pPr>
      <w:r>
        <w:rPr>
          <w:rFonts w:ascii="Arial" w:cs="Arial" w:eastAsia="Arial" w:hAnsi="Arial"/>
          <w:sz w:val="24"/>
          <w:szCs w:val="24"/>
          <w:rtl/>
        </w:rPr>
        <w:t xml:space="preserve">المؤتمرات الصحفية (إن لزم).</w:t>
      </w:r>
    </w:p>
    <w:p>
      <w:pPr>
        <w:pStyle w:val="ListParagraph"/>
        <w:numPr>
          <w:ilvl w:val="0"/>
          <w:numId w:val="2"/>
        </w:numPr>
        <w:bidi/>
        <w:spacing w:after="100" w:line="300"/>
        <w:jc w:val="right"/>
      </w:pPr>
      <w:r>
        <w:rPr>
          <w:rFonts w:ascii="Arial" w:cs="Arial" w:eastAsia="Arial" w:hAnsi="Arial"/>
          <w:sz w:val="24"/>
          <w:szCs w:val="24"/>
          <w:rtl/>
        </w:rPr>
        <w:t xml:space="preserve">المقابلات بعد الجمعية.</w:t>
      </w:r>
    </w:p>
    <w:p>
      <w:pPr>
        <w:pStyle w:val="Heading2"/>
        <w:bidi/>
        <w:spacing w:after="160" w:before="280"/>
        <w:jc w:val="right"/>
      </w:pPr>
      <w:r>
        <w:rPr>
          <w:rFonts w:ascii="Arial" w:cs="Arial" w:eastAsia="Arial" w:hAnsi="Arial"/>
          <w:b/>
          <w:bCs/>
          <w:color w:val="2E75B6"/>
          <w:sz w:val="30"/>
          <w:szCs w:val="30"/>
          <w:rtl/>
        </w:rPr>
        <w:t xml:space="preserve">6. مزودي الخدمات التقنية</w:t>
      </w:r>
    </w:p>
    <w:p>
      <w:pPr>
        <w:pStyle w:val="Heading3"/>
        <w:bidi/>
        <w:spacing w:after="120" w:before="200"/>
        <w:jc w:val="right"/>
      </w:pPr>
      <w:r>
        <w:rPr>
          <w:rFonts w:ascii="Arial" w:cs="Arial" w:eastAsia="Arial" w:hAnsi="Arial"/>
          <w:b/>
          <w:bCs/>
          <w:color w:val="1F4E79"/>
          <w:sz w:val="26"/>
          <w:szCs w:val="26"/>
          <w:rtl/>
        </w:rPr>
        <w:t xml:space="preserve">النقاط الرئيسية</w:t>
      </w:r>
    </w:p>
    <w:p>
      <w:pPr>
        <w:pStyle w:val="ListParagraph"/>
        <w:numPr>
          <w:ilvl w:val="0"/>
          <w:numId w:val="2"/>
        </w:numPr>
        <w:bidi/>
        <w:spacing w:after="100" w:line="300"/>
        <w:jc w:val="right"/>
      </w:pPr>
      <w:r>
        <w:rPr>
          <w:rFonts w:ascii="Arial" w:cs="Arial" w:eastAsia="Arial" w:hAnsi="Arial"/>
          <w:sz w:val="24"/>
          <w:szCs w:val="24"/>
          <w:rtl/>
        </w:rPr>
        <w:t xml:space="preserve">اختبار الأنظمة.</w:t>
      </w:r>
    </w:p>
    <w:p>
      <w:pPr>
        <w:pStyle w:val="ListParagraph"/>
        <w:numPr>
          <w:ilvl w:val="0"/>
          <w:numId w:val="2"/>
        </w:numPr>
        <w:bidi/>
        <w:spacing w:after="100" w:line="300"/>
        <w:jc w:val="right"/>
      </w:pPr>
      <w:r>
        <w:rPr>
          <w:rFonts w:ascii="Arial" w:cs="Arial" w:eastAsia="Arial" w:hAnsi="Arial"/>
          <w:sz w:val="24"/>
          <w:szCs w:val="24"/>
          <w:rtl/>
        </w:rPr>
        <w:t xml:space="preserve">الدعم الفني يوم الجمعية.</w:t>
      </w:r>
    </w:p>
    <w:p>
      <w:pPr>
        <w:pStyle w:val="ListParagraph"/>
        <w:numPr>
          <w:ilvl w:val="0"/>
          <w:numId w:val="2"/>
        </w:numPr>
        <w:bidi/>
        <w:spacing w:after="100" w:line="300"/>
        <w:jc w:val="right"/>
      </w:pPr>
      <w:r>
        <w:rPr>
          <w:rFonts w:ascii="Arial" w:cs="Arial" w:eastAsia="Arial" w:hAnsi="Arial"/>
          <w:sz w:val="24"/>
          <w:szCs w:val="24"/>
          <w:rtl/>
        </w:rPr>
        <w:t xml:space="preserve">الأمن السيبراني.</w:t>
      </w:r>
    </w:p>
    <w:p>
      <w:pPr>
        <w:pStyle w:val="ListParagraph"/>
        <w:numPr>
          <w:ilvl w:val="0"/>
          <w:numId w:val="2"/>
        </w:numPr>
        <w:bidi/>
        <w:spacing w:after="100" w:line="300"/>
        <w:jc w:val="right"/>
      </w:pPr>
      <w:r>
        <w:rPr>
          <w:rFonts w:ascii="Arial" w:cs="Arial" w:eastAsia="Arial" w:hAnsi="Arial"/>
          <w:sz w:val="24"/>
          <w:szCs w:val="24"/>
          <w:rtl/>
        </w:rPr>
        <w:t xml:space="preserve">النسخ الاحتياطية والاستعادة.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اختيار التوقيت والمكان</w:t>
      </w:r>
    </w:p>
    <w:p>
      <w:pPr>
        <w:pStyle w:val="Heading2"/>
        <w:bidi/>
        <w:spacing w:after="160" w:before="280"/>
        <w:jc w:val="right"/>
      </w:pPr>
      <w:r>
        <w:rPr>
          <w:rFonts w:ascii="Arial" w:cs="Arial" w:eastAsia="Arial" w:hAnsi="Arial"/>
          <w:b/>
          <w:bCs/>
          <w:color w:val="2E75B6"/>
          <w:sz w:val="30"/>
          <w:szCs w:val="30"/>
          <w:rtl/>
        </w:rPr>
        <w:t xml:space="preserve">1. اعتبارات اختيار التوقيت</w:t>
      </w:r>
    </w:p>
    <w:p>
      <w:pPr>
        <w:pStyle w:val="Heading3"/>
        <w:bidi/>
        <w:spacing w:after="120" w:before="200"/>
        <w:jc w:val="right"/>
      </w:pPr>
      <w:r>
        <w:rPr>
          <w:rFonts w:ascii="Arial" w:cs="Arial" w:eastAsia="Arial" w:hAnsi="Arial"/>
          <w:b/>
          <w:bCs/>
          <w:color w:val="1F4E79"/>
          <w:sz w:val="26"/>
          <w:szCs w:val="26"/>
          <w:rtl/>
        </w:rPr>
        <w:t xml:space="preserve">الاعتبارات النظامية</w:t>
      </w:r>
    </w:p>
    <w:p>
      <w:pPr>
        <w:pStyle w:val="ListParagraph"/>
        <w:numPr>
          <w:ilvl w:val="0"/>
          <w:numId w:val="2"/>
        </w:numPr>
        <w:bidi/>
        <w:spacing w:after="100" w:line="300"/>
        <w:jc w:val="right"/>
      </w:pPr>
      <w:r>
        <w:rPr>
          <w:rFonts w:ascii="Arial" w:cs="Arial" w:eastAsia="Arial" w:hAnsi="Arial"/>
          <w:sz w:val="24"/>
          <w:szCs w:val="24"/>
          <w:rtl/>
        </w:rPr>
        <w:t xml:space="preserve">الالتزام بمهلة 6 أشهر بعد انتهاء السنة المالية (للجمعية السنوية).</w:t>
      </w:r>
    </w:p>
    <w:p>
      <w:pPr>
        <w:pStyle w:val="ListParagraph"/>
        <w:numPr>
          <w:ilvl w:val="0"/>
          <w:numId w:val="2"/>
        </w:numPr>
        <w:bidi/>
        <w:spacing w:after="100" w:line="300"/>
        <w:jc w:val="right"/>
      </w:pPr>
      <w:r>
        <w:rPr>
          <w:rFonts w:ascii="Arial" w:cs="Arial" w:eastAsia="Arial" w:hAnsi="Arial"/>
          <w:sz w:val="24"/>
          <w:szCs w:val="24"/>
          <w:rtl/>
        </w:rPr>
        <w:t xml:space="preserve">مراعاة مهلة 21 يوماً للدعوة (للشركات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مراعاة مواعيد الإفصاحات الدورية.</w:t>
      </w:r>
    </w:p>
    <w:p>
      <w:pPr>
        <w:pStyle w:val="Heading3"/>
        <w:bidi/>
        <w:spacing w:after="120" w:before="200"/>
        <w:jc w:val="right"/>
      </w:pPr>
      <w:r>
        <w:rPr>
          <w:rFonts w:ascii="Arial" w:cs="Arial" w:eastAsia="Arial" w:hAnsi="Arial"/>
          <w:b/>
          <w:bCs/>
          <w:color w:val="1F4E79"/>
          <w:sz w:val="26"/>
          <w:szCs w:val="26"/>
          <w:rtl/>
        </w:rPr>
        <w:t xml:space="preserve">الاعتبارات العملية</w:t>
      </w:r>
    </w:p>
    <w:p>
      <w:pPr>
        <w:pStyle w:val="ListParagraph"/>
        <w:numPr>
          <w:ilvl w:val="0"/>
          <w:numId w:val="2"/>
        </w:numPr>
        <w:bidi/>
        <w:spacing w:after="100" w:line="300"/>
        <w:jc w:val="right"/>
      </w:pPr>
      <w:r>
        <w:rPr>
          <w:rFonts w:ascii="Arial" w:cs="Arial" w:eastAsia="Arial" w:hAnsi="Arial"/>
          <w:sz w:val="24"/>
          <w:szCs w:val="24"/>
          <w:rtl/>
        </w:rPr>
        <w:t xml:space="preserve">توقيت يسمح بحضور أكبر عدد من المساهمين.</w:t>
      </w:r>
    </w:p>
    <w:p>
      <w:pPr>
        <w:pStyle w:val="ListParagraph"/>
        <w:numPr>
          <w:ilvl w:val="0"/>
          <w:numId w:val="2"/>
        </w:numPr>
        <w:bidi/>
        <w:spacing w:after="100" w:line="300"/>
        <w:jc w:val="right"/>
      </w:pPr>
      <w:r>
        <w:rPr>
          <w:rFonts w:ascii="Arial" w:cs="Arial" w:eastAsia="Arial" w:hAnsi="Arial"/>
          <w:sz w:val="24"/>
          <w:szCs w:val="24"/>
          <w:rtl/>
        </w:rPr>
        <w:t xml:space="preserve">تجنب المواسم والإجازات الرسمية.</w:t>
      </w:r>
    </w:p>
    <w:p>
      <w:pPr>
        <w:pStyle w:val="ListParagraph"/>
        <w:numPr>
          <w:ilvl w:val="0"/>
          <w:numId w:val="2"/>
        </w:numPr>
        <w:bidi/>
        <w:spacing w:after="100" w:line="300"/>
        <w:jc w:val="right"/>
      </w:pPr>
      <w:r>
        <w:rPr>
          <w:rFonts w:ascii="Arial" w:cs="Arial" w:eastAsia="Arial" w:hAnsi="Arial"/>
          <w:sz w:val="24"/>
          <w:szCs w:val="24"/>
          <w:rtl/>
        </w:rPr>
        <w:t xml:space="preserve">تجنب التزامن مع شركات منافسة كبرى.</w:t>
      </w:r>
    </w:p>
    <w:p>
      <w:pPr>
        <w:pStyle w:val="ListParagraph"/>
        <w:numPr>
          <w:ilvl w:val="0"/>
          <w:numId w:val="2"/>
        </w:numPr>
        <w:bidi/>
        <w:spacing w:after="100" w:line="300"/>
        <w:jc w:val="right"/>
      </w:pPr>
      <w:r>
        <w:rPr>
          <w:rFonts w:ascii="Arial" w:cs="Arial" w:eastAsia="Arial" w:hAnsi="Arial"/>
          <w:sz w:val="24"/>
          <w:szCs w:val="24"/>
          <w:rtl/>
        </w:rPr>
        <w:t xml:space="preserve">مراعاة تقاويم الأسواق الدولية للمساهمين الأجانب.</w:t>
      </w:r>
    </w:p>
    <w:p>
      <w:pPr>
        <w:pStyle w:val="Heading3"/>
        <w:bidi/>
        <w:spacing w:after="120" w:before="200"/>
        <w:jc w:val="right"/>
      </w:pPr>
      <w:r>
        <w:rPr>
          <w:rFonts w:ascii="Arial" w:cs="Arial" w:eastAsia="Arial" w:hAnsi="Arial"/>
          <w:b/>
          <w:bCs/>
          <w:color w:val="1F4E79"/>
          <w:sz w:val="26"/>
          <w:szCs w:val="26"/>
          <w:rtl/>
        </w:rPr>
        <w:t xml:space="preserve">الوقت من اليوم</w:t>
      </w:r>
    </w:p>
    <w:p>
      <w:pPr>
        <w:pStyle w:val="ListParagraph"/>
        <w:numPr>
          <w:ilvl w:val="0"/>
          <w:numId w:val="2"/>
        </w:numPr>
        <w:bidi/>
        <w:spacing w:after="100" w:line="300"/>
        <w:jc w:val="right"/>
      </w:pPr>
      <w:r>
        <w:rPr>
          <w:rFonts w:ascii="Arial" w:cs="Arial" w:eastAsia="Arial" w:hAnsi="Arial"/>
          <w:sz w:val="24"/>
          <w:szCs w:val="24"/>
          <w:rtl/>
        </w:rPr>
        <w:t xml:space="preserve">عادةً بين 10 صباحاً و 2 ظهراً.</w:t>
      </w:r>
    </w:p>
    <w:p>
      <w:pPr>
        <w:pStyle w:val="ListParagraph"/>
        <w:numPr>
          <w:ilvl w:val="0"/>
          <w:numId w:val="2"/>
        </w:numPr>
        <w:bidi/>
        <w:spacing w:after="100" w:line="300"/>
        <w:jc w:val="right"/>
      </w:pPr>
      <w:r>
        <w:rPr>
          <w:rFonts w:ascii="Arial" w:cs="Arial" w:eastAsia="Arial" w:hAnsi="Arial"/>
          <w:sz w:val="24"/>
          <w:szCs w:val="24"/>
          <w:rtl/>
        </w:rPr>
        <w:t xml:space="preserve">تجنب المواعيد المبكرة جداً أو المتأخرة.</w:t>
      </w:r>
    </w:p>
    <w:p>
      <w:pPr>
        <w:pStyle w:val="ListParagraph"/>
        <w:numPr>
          <w:ilvl w:val="0"/>
          <w:numId w:val="2"/>
        </w:numPr>
        <w:bidi/>
        <w:spacing w:after="100" w:line="300"/>
        <w:jc w:val="right"/>
      </w:pPr>
      <w:r>
        <w:rPr>
          <w:rFonts w:ascii="Arial" w:cs="Arial" w:eastAsia="Arial" w:hAnsi="Arial"/>
          <w:sz w:val="24"/>
          <w:szCs w:val="24"/>
          <w:rtl/>
        </w:rPr>
        <w:t xml:space="preserve">مراعاة فروق التوقيت للمساهمين الدوليين.</w:t>
      </w:r>
    </w:p>
    <w:p>
      <w:pPr>
        <w:pStyle w:val="Heading2"/>
        <w:bidi/>
        <w:spacing w:after="160" w:before="280"/>
        <w:jc w:val="right"/>
      </w:pPr>
      <w:r>
        <w:rPr>
          <w:rFonts w:ascii="Arial" w:cs="Arial" w:eastAsia="Arial" w:hAnsi="Arial"/>
          <w:b/>
          <w:bCs/>
          <w:color w:val="2E75B6"/>
          <w:sz w:val="30"/>
          <w:szCs w:val="30"/>
          <w:rtl/>
        </w:rPr>
        <w:t xml:space="preserve">2. اعتبارات اختيار المكان (للجمعيات الجسدية)</w:t>
      </w:r>
    </w:p>
    <w:p>
      <w:pPr>
        <w:pStyle w:val="Heading3"/>
        <w:bidi/>
        <w:spacing w:after="120" w:before="200"/>
        <w:jc w:val="right"/>
      </w:pPr>
      <w:r>
        <w:rPr>
          <w:rFonts w:ascii="Arial" w:cs="Arial" w:eastAsia="Arial" w:hAnsi="Arial"/>
          <w:b/>
          <w:bCs/>
          <w:color w:val="1F4E79"/>
          <w:sz w:val="26"/>
          <w:szCs w:val="26"/>
          <w:rtl/>
        </w:rPr>
        <w:t xml:space="preserve">الموقع</w:t>
      </w:r>
    </w:p>
    <w:p>
      <w:pPr>
        <w:pStyle w:val="ListParagraph"/>
        <w:numPr>
          <w:ilvl w:val="0"/>
          <w:numId w:val="2"/>
        </w:numPr>
        <w:bidi/>
        <w:spacing w:after="100" w:line="300"/>
        <w:jc w:val="right"/>
      </w:pPr>
      <w:r>
        <w:rPr>
          <w:rFonts w:ascii="Arial" w:cs="Arial" w:eastAsia="Arial" w:hAnsi="Arial"/>
          <w:sz w:val="24"/>
          <w:szCs w:val="24"/>
          <w:rtl/>
        </w:rPr>
        <w:t xml:space="preserve">مكان مركزي وسهل الوصول.</w:t>
      </w:r>
    </w:p>
    <w:p>
      <w:pPr>
        <w:pStyle w:val="ListParagraph"/>
        <w:numPr>
          <w:ilvl w:val="0"/>
          <w:numId w:val="2"/>
        </w:numPr>
        <w:bidi/>
        <w:spacing w:after="100" w:line="300"/>
        <w:jc w:val="right"/>
      </w:pPr>
      <w:r>
        <w:rPr>
          <w:rFonts w:ascii="Arial" w:cs="Arial" w:eastAsia="Arial" w:hAnsi="Arial"/>
          <w:sz w:val="24"/>
          <w:szCs w:val="24"/>
          <w:rtl/>
        </w:rPr>
        <w:t xml:space="preserve">توفر مواصلات عامة.</w:t>
      </w:r>
    </w:p>
    <w:p>
      <w:pPr>
        <w:pStyle w:val="ListParagraph"/>
        <w:numPr>
          <w:ilvl w:val="0"/>
          <w:numId w:val="2"/>
        </w:numPr>
        <w:bidi/>
        <w:spacing w:after="100" w:line="300"/>
        <w:jc w:val="right"/>
      </w:pPr>
      <w:r>
        <w:rPr>
          <w:rFonts w:ascii="Arial" w:cs="Arial" w:eastAsia="Arial" w:hAnsi="Arial"/>
          <w:sz w:val="24"/>
          <w:szCs w:val="24"/>
          <w:rtl/>
        </w:rPr>
        <w:t xml:space="preserve">مواقف سيارات كافية.</w:t>
      </w:r>
    </w:p>
    <w:p>
      <w:pPr>
        <w:pStyle w:val="ListParagraph"/>
        <w:numPr>
          <w:ilvl w:val="0"/>
          <w:numId w:val="2"/>
        </w:numPr>
        <w:bidi/>
        <w:spacing w:after="100" w:line="300"/>
        <w:jc w:val="right"/>
      </w:pPr>
      <w:r>
        <w:rPr>
          <w:rFonts w:ascii="Arial" w:cs="Arial" w:eastAsia="Arial" w:hAnsi="Arial"/>
          <w:sz w:val="24"/>
          <w:szCs w:val="24"/>
          <w:rtl/>
        </w:rPr>
        <w:t xml:space="preserve">قرب من فنادق ومرافق (للزوار).</w:t>
      </w:r>
    </w:p>
    <w:p>
      <w:pPr>
        <w:pStyle w:val="Heading3"/>
        <w:bidi/>
        <w:spacing w:after="120" w:before="200"/>
        <w:jc w:val="right"/>
      </w:pPr>
      <w:r>
        <w:rPr>
          <w:rFonts w:ascii="Arial" w:cs="Arial" w:eastAsia="Arial" w:hAnsi="Arial"/>
          <w:b/>
          <w:bCs/>
          <w:color w:val="1F4E79"/>
          <w:sz w:val="26"/>
          <w:szCs w:val="26"/>
          <w:rtl/>
        </w:rPr>
        <w:t xml:space="preserve">السعة</w:t>
      </w:r>
    </w:p>
    <w:p>
      <w:pPr>
        <w:pStyle w:val="ListParagraph"/>
        <w:numPr>
          <w:ilvl w:val="0"/>
          <w:numId w:val="2"/>
        </w:numPr>
        <w:bidi/>
        <w:spacing w:after="100" w:line="300"/>
        <w:jc w:val="right"/>
      </w:pPr>
      <w:r>
        <w:rPr>
          <w:rFonts w:ascii="Arial" w:cs="Arial" w:eastAsia="Arial" w:hAnsi="Arial"/>
          <w:sz w:val="24"/>
          <w:szCs w:val="24"/>
          <w:rtl/>
        </w:rPr>
        <w:t xml:space="preserve">سعة تفوق العدد المتوقع بنسبة 20-30%.</w:t>
      </w:r>
    </w:p>
    <w:p>
      <w:pPr>
        <w:pStyle w:val="ListParagraph"/>
        <w:numPr>
          <w:ilvl w:val="0"/>
          <w:numId w:val="2"/>
        </w:numPr>
        <w:bidi/>
        <w:spacing w:after="100" w:line="300"/>
        <w:jc w:val="right"/>
      </w:pPr>
      <w:r>
        <w:rPr>
          <w:rFonts w:ascii="Arial" w:cs="Arial" w:eastAsia="Arial" w:hAnsi="Arial"/>
          <w:sz w:val="24"/>
          <w:szCs w:val="24"/>
          <w:rtl/>
        </w:rPr>
        <w:t xml:space="preserve">مرونة في التوسعة عند الحاجة.</w:t>
      </w:r>
    </w:p>
    <w:p>
      <w:pPr>
        <w:pStyle w:val="ListParagraph"/>
        <w:numPr>
          <w:ilvl w:val="0"/>
          <w:numId w:val="2"/>
        </w:numPr>
        <w:bidi/>
        <w:spacing w:after="100" w:line="300"/>
        <w:jc w:val="right"/>
      </w:pPr>
      <w:r>
        <w:rPr>
          <w:rFonts w:ascii="Arial" w:cs="Arial" w:eastAsia="Arial" w:hAnsi="Arial"/>
          <w:sz w:val="24"/>
          <w:szCs w:val="24"/>
          <w:rtl/>
        </w:rPr>
        <w:t xml:space="preserve">جلوس مريح ومنظم.</w:t>
      </w:r>
    </w:p>
    <w:p>
      <w:pPr>
        <w:pStyle w:val="Heading3"/>
        <w:bidi/>
        <w:spacing w:after="120" w:before="200"/>
        <w:jc w:val="right"/>
      </w:pPr>
      <w:r>
        <w:rPr>
          <w:rFonts w:ascii="Arial" w:cs="Arial" w:eastAsia="Arial" w:hAnsi="Arial"/>
          <w:b/>
          <w:bCs/>
          <w:color w:val="1F4E79"/>
          <w:sz w:val="26"/>
          <w:szCs w:val="26"/>
          <w:rtl/>
        </w:rPr>
        <w:t xml:space="preserve">التجهيزات</w:t>
      </w:r>
    </w:p>
    <w:p>
      <w:pPr>
        <w:pStyle w:val="ListParagraph"/>
        <w:numPr>
          <w:ilvl w:val="0"/>
          <w:numId w:val="2"/>
        </w:numPr>
        <w:bidi/>
        <w:spacing w:after="100" w:line="300"/>
        <w:jc w:val="right"/>
      </w:pPr>
      <w:r>
        <w:rPr>
          <w:rFonts w:ascii="Arial" w:cs="Arial" w:eastAsia="Arial" w:hAnsi="Arial"/>
          <w:sz w:val="24"/>
          <w:szCs w:val="24"/>
          <w:rtl/>
        </w:rPr>
        <w:t xml:space="preserve">أنظمة صوتيات احترافية.</w:t>
      </w:r>
    </w:p>
    <w:p>
      <w:pPr>
        <w:pStyle w:val="ListParagraph"/>
        <w:numPr>
          <w:ilvl w:val="0"/>
          <w:numId w:val="2"/>
        </w:numPr>
        <w:bidi/>
        <w:spacing w:after="100" w:line="300"/>
        <w:jc w:val="right"/>
      </w:pPr>
      <w:r>
        <w:rPr>
          <w:rFonts w:ascii="Arial" w:cs="Arial" w:eastAsia="Arial" w:hAnsi="Arial"/>
          <w:sz w:val="24"/>
          <w:szCs w:val="24"/>
          <w:rtl/>
        </w:rPr>
        <w:t xml:space="preserve">شاشات عرض متعددة.</w:t>
      </w:r>
    </w:p>
    <w:p>
      <w:pPr>
        <w:pStyle w:val="ListParagraph"/>
        <w:numPr>
          <w:ilvl w:val="0"/>
          <w:numId w:val="2"/>
        </w:numPr>
        <w:bidi/>
        <w:spacing w:after="100" w:line="300"/>
        <w:jc w:val="right"/>
      </w:pPr>
      <w:r>
        <w:rPr>
          <w:rFonts w:ascii="Arial" w:cs="Arial" w:eastAsia="Arial" w:hAnsi="Arial"/>
          <w:sz w:val="24"/>
          <w:szCs w:val="24"/>
          <w:rtl/>
        </w:rPr>
        <w:t xml:space="preserve">إنترنت عالي السرعة.</w:t>
      </w:r>
    </w:p>
    <w:p>
      <w:pPr>
        <w:pStyle w:val="ListParagraph"/>
        <w:numPr>
          <w:ilvl w:val="0"/>
          <w:numId w:val="2"/>
        </w:numPr>
        <w:bidi/>
        <w:spacing w:after="100" w:line="300"/>
        <w:jc w:val="right"/>
      </w:pPr>
      <w:r>
        <w:rPr>
          <w:rFonts w:ascii="Arial" w:cs="Arial" w:eastAsia="Arial" w:hAnsi="Arial"/>
          <w:sz w:val="24"/>
          <w:szCs w:val="24"/>
          <w:rtl/>
        </w:rPr>
        <w:t xml:space="preserve">بث مباشر مهيأ.</w:t>
      </w:r>
    </w:p>
    <w:p>
      <w:pPr>
        <w:pStyle w:val="ListParagraph"/>
        <w:numPr>
          <w:ilvl w:val="0"/>
          <w:numId w:val="2"/>
        </w:numPr>
        <w:bidi/>
        <w:spacing w:after="100" w:line="300"/>
        <w:jc w:val="right"/>
      </w:pPr>
      <w:r>
        <w:rPr>
          <w:rFonts w:ascii="Arial" w:cs="Arial" w:eastAsia="Arial" w:hAnsi="Arial"/>
          <w:sz w:val="24"/>
          <w:szCs w:val="24"/>
          <w:rtl/>
        </w:rPr>
        <w:t xml:space="preserve">ترجمة فورية (إن لزم).</w:t>
      </w:r>
    </w:p>
    <w:p>
      <w:pPr>
        <w:pStyle w:val="Heading3"/>
        <w:bidi/>
        <w:spacing w:after="120" w:before="200"/>
        <w:jc w:val="right"/>
      </w:pPr>
      <w:r>
        <w:rPr>
          <w:rFonts w:ascii="Arial" w:cs="Arial" w:eastAsia="Arial" w:hAnsi="Arial"/>
          <w:b/>
          <w:bCs/>
          <w:color w:val="1F4E79"/>
          <w:sz w:val="26"/>
          <w:szCs w:val="26"/>
          <w:rtl/>
        </w:rPr>
        <w:t xml:space="preserve">الضيافة والخدمات</w:t>
      </w:r>
    </w:p>
    <w:p>
      <w:pPr>
        <w:pStyle w:val="ListParagraph"/>
        <w:numPr>
          <w:ilvl w:val="0"/>
          <w:numId w:val="2"/>
        </w:numPr>
        <w:bidi/>
        <w:spacing w:after="100" w:line="300"/>
        <w:jc w:val="right"/>
      </w:pPr>
      <w:r>
        <w:rPr>
          <w:rFonts w:ascii="Arial" w:cs="Arial" w:eastAsia="Arial" w:hAnsi="Arial"/>
          <w:sz w:val="24"/>
          <w:szCs w:val="24"/>
          <w:rtl/>
        </w:rPr>
        <w:t xml:space="preserve">مناطق استقبال مريحة.</w:t>
      </w:r>
    </w:p>
    <w:p>
      <w:pPr>
        <w:pStyle w:val="ListParagraph"/>
        <w:numPr>
          <w:ilvl w:val="0"/>
          <w:numId w:val="2"/>
        </w:numPr>
        <w:bidi/>
        <w:spacing w:after="100" w:line="300"/>
        <w:jc w:val="right"/>
      </w:pPr>
      <w:r>
        <w:rPr>
          <w:rFonts w:ascii="Arial" w:cs="Arial" w:eastAsia="Arial" w:hAnsi="Arial"/>
          <w:sz w:val="24"/>
          <w:szCs w:val="24"/>
          <w:rtl/>
        </w:rPr>
        <w:t xml:space="preserve">ضيافة متنوعة.</w:t>
      </w:r>
    </w:p>
    <w:p>
      <w:pPr>
        <w:pStyle w:val="ListParagraph"/>
        <w:numPr>
          <w:ilvl w:val="0"/>
          <w:numId w:val="2"/>
        </w:numPr>
        <w:bidi/>
        <w:spacing w:after="100" w:line="300"/>
        <w:jc w:val="right"/>
      </w:pPr>
      <w:r>
        <w:rPr>
          <w:rFonts w:ascii="Arial" w:cs="Arial" w:eastAsia="Arial" w:hAnsi="Arial"/>
          <w:sz w:val="24"/>
          <w:szCs w:val="24"/>
          <w:rtl/>
        </w:rPr>
        <w:t xml:space="preserve">خدمات لذوي الاحتياجات الخاصة.</w:t>
      </w:r>
    </w:p>
    <w:p>
      <w:pPr>
        <w:pStyle w:val="ListParagraph"/>
        <w:numPr>
          <w:ilvl w:val="0"/>
          <w:numId w:val="2"/>
        </w:numPr>
        <w:bidi/>
        <w:spacing w:after="100" w:line="300"/>
        <w:jc w:val="right"/>
      </w:pPr>
      <w:r>
        <w:rPr>
          <w:rFonts w:ascii="Arial" w:cs="Arial" w:eastAsia="Arial" w:hAnsi="Arial"/>
          <w:sz w:val="24"/>
          <w:szCs w:val="24"/>
          <w:rtl/>
        </w:rPr>
        <w:t xml:space="preserve">مرافق صحية كافية.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قائمة مراجعة التخطيط الشامل</w:t>
      </w:r>
    </w:p>
    <w:p>
      <w:pPr>
        <w:pStyle w:val="Heading3"/>
        <w:bidi/>
        <w:spacing w:after="120" w:before="200"/>
        <w:jc w:val="right"/>
      </w:pPr>
      <w:r>
        <w:rPr>
          <w:rFonts w:ascii="Arial" w:cs="Arial" w:eastAsia="Arial" w:hAnsi="Arial"/>
          <w:b/>
          <w:bCs/>
          <w:color w:val="1F4E79"/>
          <w:sz w:val="26"/>
          <w:szCs w:val="26"/>
          <w:rtl/>
        </w:rPr>
        <w:t xml:space="preserve">10-12 أسبوعاً قبل الجمعية</w:t>
      </w:r>
    </w:p>
    <w:p>
      <w:pPr>
        <w:pStyle w:val="ListParagraph"/>
        <w:numPr>
          <w:ilvl w:val="0"/>
          <w:numId w:val="2"/>
        </w:numPr>
        <w:bidi/>
        <w:spacing w:after="100" w:line="300"/>
        <w:jc w:val="right"/>
      </w:pPr>
      <w:r>
        <w:rPr>
          <w:rFonts w:ascii="Arial" w:cs="Arial" w:eastAsia="Arial" w:hAnsi="Arial"/>
          <w:sz w:val="24"/>
          <w:szCs w:val="24"/>
          <w:rtl/>
        </w:rPr>
        <w:t xml:space="preserve">تشكيل فريق العمل.</w:t>
      </w:r>
    </w:p>
    <w:p>
      <w:pPr>
        <w:pStyle w:val="ListParagraph"/>
        <w:numPr>
          <w:ilvl w:val="0"/>
          <w:numId w:val="2"/>
        </w:numPr>
        <w:bidi/>
        <w:spacing w:after="100" w:line="300"/>
        <w:jc w:val="right"/>
      </w:pPr>
      <w:r>
        <w:rPr>
          <w:rFonts w:ascii="Arial" w:cs="Arial" w:eastAsia="Arial" w:hAnsi="Arial"/>
          <w:sz w:val="24"/>
          <w:szCs w:val="24"/>
          <w:rtl/>
        </w:rPr>
        <w:t xml:space="preserve">تحديد التوقيت المبدئي.</w:t>
      </w:r>
    </w:p>
    <w:p>
      <w:pPr>
        <w:pStyle w:val="ListParagraph"/>
        <w:numPr>
          <w:ilvl w:val="0"/>
          <w:numId w:val="2"/>
        </w:numPr>
        <w:bidi/>
        <w:spacing w:after="100" w:line="300"/>
        <w:jc w:val="right"/>
      </w:pPr>
      <w:r>
        <w:rPr>
          <w:rFonts w:ascii="Arial" w:cs="Arial" w:eastAsia="Arial" w:hAnsi="Arial"/>
          <w:sz w:val="24"/>
          <w:szCs w:val="24"/>
          <w:rtl/>
        </w:rPr>
        <w:t xml:space="preserve">مراجعة دروس الجمعية السابقة.</w:t>
      </w:r>
    </w:p>
    <w:p>
      <w:pPr>
        <w:pStyle w:val="ListParagraph"/>
        <w:numPr>
          <w:ilvl w:val="0"/>
          <w:numId w:val="2"/>
        </w:numPr>
        <w:bidi/>
        <w:spacing w:after="100" w:line="300"/>
        <w:jc w:val="right"/>
      </w:pPr>
      <w:r>
        <w:rPr>
          <w:rFonts w:ascii="Arial" w:cs="Arial" w:eastAsia="Arial" w:hAnsi="Arial"/>
          <w:sz w:val="24"/>
          <w:szCs w:val="24"/>
          <w:rtl/>
        </w:rPr>
        <w:t xml:space="preserve">التنسيق المبدئي مع المراجع الخارجي.</w:t>
      </w:r>
    </w:p>
    <w:p>
      <w:pPr>
        <w:pStyle w:val="Heading3"/>
        <w:bidi/>
        <w:spacing w:after="120" w:before="200"/>
        <w:jc w:val="right"/>
      </w:pPr>
      <w:r>
        <w:rPr>
          <w:rFonts w:ascii="Arial" w:cs="Arial" w:eastAsia="Arial" w:hAnsi="Arial"/>
          <w:b/>
          <w:bCs/>
          <w:color w:val="1F4E79"/>
          <w:sz w:val="26"/>
          <w:szCs w:val="26"/>
          <w:rtl/>
        </w:rPr>
        <w:t xml:space="preserve">6-10 أسابيع قبل الجمعية</w:t>
      </w:r>
    </w:p>
    <w:p>
      <w:pPr>
        <w:pStyle w:val="ListParagraph"/>
        <w:numPr>
          <w:ilvl w:val="0"/>
          <w:numId w:val="2"/>
        </w:numPr>
        <w:bidi/>
        <w:spacing w:after="100" w:line="300"/>
        <w:jc w:val="right"/>
      </w:pPr>
      <w:r>
        <w:rPr>
          <w:rFonts w:ascii="Arial" w:cs="Arial" w:eastAsia="Arial" w:hAnsi="Arial"/>
          <w:sz w:val="24"/>
          <w:szCs w:val="24"/>
          <w:rtl/>
        </w:rPr>
        <w:t xml:space="preserve">صياغة جدول الأعمال الأولي.</w:t>
      </w:r>
    </w:p>
    <w:p>
      <w:pPr>
        <w:pStyle w:val="ListParagraph"/>
        <w:numPr>
          <w:ilvl w:val="0"/>
          <w:numId w:val="2"/>
        </w:numPr>
        <w:bidi/>
        <w:spacing w:after="100" w:line="300"/>
        <w:jc w:val="right"/>
      </w:pPr>
      <w:r>
        <w:rPr>
          <w:rFonts w:ascii="Arial" w:cs="Arial" w:eastAsia="Arial" w:hAnsi="Arial"/>
          <w:sz w:val="24"/>
          <w:szCs w:val="24"/>
          <w:rtl/>
        </w:rPr>
        <w:t xml:space="preserve">بدء إعداد الوثائق الأساسية.</w:t>
      </w:r>
    </w:p>
    <w:p>
      <w:pPr>
        <w:pStyle w:val="ListParagraph"/>
        <w:numPr>
          <w:ilvl w:val="0"/>
          <w:numId w:val="2"/>
        </w:numPr>
        <w:bidi/>
        <w:spacing w:after="100" w:line="300"/>
        <w:jc w:val="right"/>
      </w:pPr>
      <w:r>
        <w:rPr>
          <w:rFonts w:ascii="Arial" w:cs="Arial" w:eastAsia="Arial" w:hAnsi="Arial"/>
          <w:sz w:val="24"/>
          <w:szCs w:val="24"/>
          <w:rtl/>
        </w:rPr>
        <w:t xml:space="preserve">تحديد المكان واحتجازه.</w:t>
      </w:r>
    </w:p>
    <w:p>
      <w:pPr>
        <w:pStyle w:val="ListParagraph"/>
        <w:numPr>
          <w:ilvl w:val="0"/>
          <w:numId w:val="2"/>
        </w:numPr>
        <w:bidi/>
        <w:spacing w:after="100" w:line="300"/>
        <w:jc w:val="right"/>
      </w:pPr>
      <w:r>
        <w:rPr>
          <w:rFonts w:ascii="Arial" w:cs="Arial" w:eastAsia="Arial" w:hAnsi="Arial"/>
          <w:sz w:val="24"/>
          <w:szCs w:val="24"/>
          <w:rtl/>
        </w:rPr>
        <w:t xml:space="preserve">التعاقد مع موردي الخدمات.</w:t>
      </w:r>
    </w:p>
    <w:p>
      <w:pPr>
        <w:pStyle w:val="ListParagraph"/>
        <w:numPr>
          <w:ilvl w:val="0"/>
          <w:numId w:val="2"/>
        </w:numPr>
        <w:bidi/>
        <w:spacing w:after="100" w:line="300"/>
        <w:jc w:val="right"/>
      </w:pPr>
      <w:r>
        <w:rPr>
          <w:rFonts w:ascii="Arial" w:cs="Arial" w:eastAsia="Arial" w:hAnsi="Arial"/>
          <w:sz w:val="24"/>
          <w:szCs w:val="24"/>
          <w:rtl/>
        </w:rPr>
        <w:t xml:space="preserve">إعداد الميزانية التشغيلية.</w:t>
      </w:r>
    </w:p>
    <w:p>
      <w:pPr>
        <w:pStyle w:val="Heading3"/>
        <w:bidi/>
        <w:spacing w:after="120" w:before="200"/>
        <w:jc w:val="right"/>
      </w:pPr>
      <w:r>
        <w:rPr>
          <w:rFonts w:ascii="Arial" w:cs="Arial" w:eastAsia="Arial" w:hAnsi="Arial"/>
          <w:b/>
          <w:bCs/>
          <w:color w:val="1F4E79"/>
          <w:sz w:val="26"/>
          <w:szCs w:val="26"/>
          <w:rtl/>
        </w:rPr>
        <w:t xml:space="preserve">4-6 أسابيع قبل الجمعية</w:t>
      </w:r>
    </w:p>
    <w:p>
      <w:pPr>
        <w:pStyle w:val="ListParagraph"/>
        <w:numPr>
          <w:ilvl w:val="0"/>
          <w:numId w:val="2"/>
        </w:numPr>
        <w:bidi/>
        <w:spacing w:after="100" w:line="300"/>
        <w:jc w:val="right"/>
      </w:pPr>
      <w:r>
        <w:rPr>
          <w:rFonts w:ascii="Arial" w:cs="Arial" w:eastAsia="Arial" w:hAnsi="Arial"/>
          <w:sz w:val="24"/>
          <w:szCs w:val="24"/>
          <w:rtl/>
        </w:rPr>
        <w:t xml:space="preserve">اعتماد جدول الأعمال النهائي.</w:t>
      </w:r>
    </w:p>
    <w:p>
      <w:pPr>
        <w:pStyle w:val="ListParagraph"/>
        <w:numPr>
          <w:ilvl w:val="0"/>
          <w:numId w:val="2"/>
        </w:numPr>
        <w:bidi/>
        <w:spacing w:after="100" w:line="300"/>
        <w:jc w:val="right"/>
      </w:pPr>
      <w:r>
        <w:rPr>
          <w:rFonts w:ascii="Arial" w:cs="Arial" w:eastAsia="Arial" w:hAnsi="Arial"/>
          <w:sz w:val="24"/>
          <w:szCs w:val="24"/>
          <w:rtl/>
        </w:rPr>
        <w:t xml:space="preserve">اعتماد القوائم المالية.</w:t>
      </w:r>
    </w:p>
    <w:p>
      <w:pPr>
        <w:pStyle w:val="ListParagraph"/>
        <w:numPr>
          <w:ilvl w:val="0"/>
          <w:numId w:val="2"/>
        </w:numPr>
        <w:bidi/>
        <w:spacing w:after="100" w:line="300"/>
        <w:jc w:val="right"/>
      </w:pPr>
      <w:r>
        <w:rPr>
          <w:rFonts w:ascii="Arial" w:cs="Arial" w:eastAsia="Arial" w:hAnsi="Arial"/>
          <w:sz w:val="24"/>
          <w:szCs w:val="24"/>
          <w:rtl/>
        </w:rPr>
        <w:t xml:space="preserve">مراجعة قانونية شاملة.</w:t>
      </w:r>
    </w:p>
    <w:p>
      <w:pPr>
        <w:pStyle w:val="ListParagraph"/>
        <w:numPr>
          <w:ilvl w:val="0"/>
          <w:numId w:val="2"/>
        </w:numPr>
        <w:bidi/>
        <w:spacing w:after="100" w:line="300"/>
        <w:jc w:val="right"/>
      </w:pPr>
      <w:r>
        <w:rPr>
          <w:rFonts w:ascii="Arial" w:cs="Arial" w:eastAsia="Arial" w:hAnsi="Arial"/>
          <w:sz w:val="24"/>
          <w:szCs w:val="24"/>
          <w:rtl/>
        </w:rPr>
        <w:t xml:space="preserve">التنسيق مع الجهات التنظيمية.</w:t>
      </w:r>
    </w:p>
    <w:p>
      <w:pPr>
        <w:pStyle w:val="ListParagraph"/>
        <w:numPr>
          <w:ilvl w:val="0"/>
          <w:numId w:val="2"/>
        </w:numPr>
        <w:bidi/>
        <w:spacing w:after="100" w:line="300"/>
        <w:jc w:val="right"/>
      </w:pPr>
      <w:r>
        <w:rPr>
          <w:rFonts w:ascii="Arial" w:cs="Arial" w:eastAsia="Arial" w:hAnsi="Arial"/>
          <w:sz w:val="24"/>
          <w:szCs w:val="24"/>
          <w:rtl/>
        </w:rPr>
        <w:t xml:space="preserve">إعداد سيناريوهات الأسئلة.</w:t>
      </w:r>
    </w:p>
    <w:p>
      <w:pPr>
        <w:pStyle w:val="Heading3"/>
        <w:bidi/>
        <w:spacing w:after="120" w:before="200"/>
        <w:jc w:val="right"/>
      </w:pPr>
      <w:r>
        <w:rPr>
          <w:rFonts w:ascii="Arial" w:cs="Arial" w:eastAsia="Arial" w:hAnsi="Arial"/>
          <w:b/>
          <w:bCs/>
          <w:color w:val="1F4E79"/>
          <w:sz w:val="26"/>
          <w:szCs w:val="26"/>
          <w:rtl/>
        </w:rPr>
        <w:t xml:space="preserve">3 أسابيع قبل الجمعية</w:t>
      </w:r>
    </w:p>
    <w:p>
      <w:pPr>
        <w:pStyle w:val="ListParagraph"/>
        <w:numPr>
          <w:ilvl w:val="0"/>
          <w:numId w:val="2"/>
        </w:numPr>
        <w:bidi/>
        <w:spacing w:after="100" w:line="300"/>
        <w:jc w:val="right"/>
      </w:pPr>
      <w:r>
        <w:rPr>
          <w:rFonts w:ascii="Arial" w:cs="Arial" w:eastAsia="Arial" w:hAnsi="Arial"/>
          <w:sz w:val="24"/>
          <w:szCs w:val="24"/>
          <w:rtl/>
        </w:rPr>
        <w:t xml:space="preserve">نشر الدعوة الرسمية.</w:t>
      </w:r>
    </w:p>
    <w:p>
      <w:pPr>
        <w:pStyle w:val="ListParagraph"/>
        <w:numPr>
          <w:ilvl w:val="0"/>
          <w:numId w:val="2"/>
        </w:numPr>
        <w:bidi/>
        <w:spacing w:after="100" w:line="300"/>
        <w:jc w:val="right"/>
      </w:pPr>
      <w:r>
        <w:rPr>
          <w:rFonts w:ascii="Arial" w:cs="Arial" w:eastAsia="Arial" w:hAnsi="Arial"/>
          <w:sz w:val="24"/>
          <w:szCs w:val="24"/>
          <w:rtl/>
        </w:rPr>
        <w:t xml:space="preserve">نشر الوثائق ذات العلاقة.</w:t>
      </w:r>
    </w:p>
    <w:p>
      <w:pPr>
        <w:pStyle w:val="ListParagraph"/>
        <w:numPr>
          <w:ilvl w:val="0"/>
          <w:numId w:val="2"/>
        </w:numPr>
        <w:bidi/>
        <w:spacing w:after="100" w:line="300"/>
        <w:jc w:val="right"/>
      </w:pPr>
      <w:r>
        <w:rPr>
          <w:rFonts w:ascii="Arial" w:cs="Arial" w:eastAsia="Arial" w:hAnsi="Arial"/>
          <w:sz w:val="24"/>
          <w:szCs w:val="24"/>
          <w:rtl/>
        </w:rPr>
        <w:t xml:space="preserve">إرسال الإشعارات للمساهمين.</w:t>
      </w:r>
    </w:p>
    <w:p>
      <w:pPr>
        <w:pStyle w:val="ListParagraph"/>
        <w:numPr>
          <w:ilvl w:val="0"/>
          <w:numId w:val="2"/>
        </w:numPr>
        <w:bidi/>
        <w:spacing w:after="100" w:line="300"/>
        <w:jc w:val="right"/>
      </w:pPr>
      <w:r>
        <w:rPr>
          <w:rFonts w:ascii="Arial" w:cs="Arial" w:eastAsia="Arial" w:hAnsi="Arial"/>
          <w:sz w:val="24"/>
          <w:szCs w:val="24"/>
          <w:rtl/>
        </w:rPr>
        <w:t xml:space="preserve">بدء التصويت الإلكتروني المسبق.</w:t>
      </w:r>
    </w:p>
    <w:p>
      <w:pPr>
        <w:pStyle w:val="Heading3"/>
        <w:bidi/>
        <w:spacing w:after="120" w:before="200"/>
        <w:jc w:val="right"/>
      </w:pPr>
      <w:r>
        <w:rPr>
          <w:rFonts w:ascii="Arial" w:cs="Arial" w:eastAsia="Arial" w:hAnsi="Arial"/>
          <w:b/>
          <w:bCs/>
          <w:color w:val="1F4E79"/>
          <w:sz w:val="26"/>
          <w:szCs w:val="26"/>
          <w:rtl/>
        </w:rPr>
        <w:t xml:space="preserve">1-2 أسبوع قبل الجمعية</w:t>
      </w:r>
    </w:p>
    <w:p>
      <w:pPr>
        <w:pStyle w:val="ListParagraph"/>
        <w:numPr>
          <w:ilvl w:val="0"/>
          <w:numId w:val="2"/>
        </w:numPr>
        <w:bidi/>
        <w:spacing w:after="100" w:line="300"/>
        <w:jc w:val="right"/>
      </w:pPr>
      <w:r>
        <w:rPr>
          <w:rFonts w:ascii="Arial" w:cs="Arial" w:eastAsia="Arial" w:hAnsi="Arial"/>
          <w:sz w:val="24"/>
          <w:szCs w:val="24"/>
          <w:rtl/>
        </w:rPr>
        <w:t xml:space="preserve">اختبار الأنظمة التقنية.</w:t>
      </w:r>
    </w:p>
    <w:p>
      <w:pPr>
        <w:pStyle w:val="ListParagraph"/>
        <w:numPr>
          <w:ilvl w:val="0"/>
          <w:numId w:val="2"/>
        </w:numPr>
        <w:bidi/>
        <w:spacing w:after="100" w:line="300"/>
        <w:jc w:val="right"/>
      </w:pPr>
      <w:r>
        <w:rPr>
          <w:rFonts w:ascii="Arial" w:cs="Arial" w:eastAsia="Arial" w:hAnsi="Arial"/>
          <w:sz w:val="24"/>
          <w:szCs w:val="24"/>
          <w:rtl/>
        </w:rPr>
        <w:t xml:space="preserve">التواصل مع المساهمين الكبار.</w:t>
      </w:r>
    </w:p>
    <w:p>
      <w:pPr>
        <w:pStyle w:val="ListParagraph"/>
        <w:numPr>
          <w:ilvl w:val="0"/>
          <w:numId w:val="2"/>
        </w:numPr>
        <w:bidi/>
        <w:spacing w:after="100" w:line="300"/>
        <w:jc w:val="right"/>
      </w:pPr>
      <w:r>
        <w:rPr>
          <w:rFonts w:ascii="Arial" w:cs="Arial" w:eastAsia="Arial" w:hAnsi="Arial"/>
          <w:sz w:val="24"/>
          <w:szCs w:val="24"/>
          <w:rtl/>
        </w:rPr>
        <w:t xml:space="preserve">التحضيرات اللوجستية النهائية.</w:t>
      </w:r>
    </w:p>
    <w:p>
      <w:pPr>
        <w:pStyle w:val="ListParagraph"/>
        <w:numPr>
          <w:ilvl w:val="0"/>
          <w:numId w:val="2"/>
        </w:numPr>
        <w:bidi/>
        <w:spacing w:after="100" w:line="300"/>
        <w:jc w:val="right"/>
      </w:pPr>
      <w:r>
        <w:rPr>
          <w:rFonts w:ascii="Arial" w:cs="Arial" w:eastAsia="Arial" w:hAnsi="Arial"/>
          <w:sz w:val="24"/>
          <w:szCs w:val="24"/>
          <w:rtl/>
        </w:rPr>
        <w:t xml:space="preserve">تدريب فريق العمل.</w:t>
      </w:r>
    </w:p>
    <w:p>
      <w:pPr>
        <w:pStyle w:val="Heading3"/>
        <w:bidi/>
        <w:spacing w:after="120" w:before="200"/>
        <w:jc w:val="right"/>
      </w:pPr>
      <w:r>
        <w:rPr>
          <w:rFonts w:ascii="Arial" w:cs="Arial" w:eastAsia="Arial" w:hAnsi="Arial"/>
          <w:b/>
          <w:bCs/>
          <w:color w:val="1F4E79"/>
          <w:sz w:val="26"/>
          <w:szCs w:val="26"/>
          <w:rtl/>
        </w:rPr>
        <w:t xml:space="preserve">3-5 أيام قبل الجمعية</w:t>
      </w:r>
    </w:p>
    <w:p>
      <w:pPr>
        <w:pStyle w:val="ListParagraph"/>
        <w:numPr>
          <w:ilvl w:val="0"/>
          <w:numId w:val="2"/>
        </w:numPr>
        <w:bidi/>
        <w:spacing w:after="100" w:line="300"/>
        <w:jc w:val="right"/>
      </w:pPr>
      <w:r>
        <w:rPr>
          <w:rFonts w:ascii="Arial" w:cs="Arial" w:eastAsia="Arial" w:hAnsi="Arial"/>
          <w:sz w:val="24"/>
          <w:szCs w:val="24"/>
          <w:rtl/>
        </w:rPr>
        <w:t xml:space="preserve">بروفة فنية شاملة.</w:t>
      </w:r>
    </w:p>
    <w:p>
      <w:pPr>
        <w:pStyle w:val="ListParagraph"/>
        <w:numPr>
          <w:ilvl w:val="0"/>
          <w:numId w:val="2"/>
        </w:numPr>
        <w:bidi/>
        <w:spacing w:after="100" w:line="300"/>
        <w:jc w:val="right"/>
      </w:pPr>
      <w:r>
        <w:rPr>
          <w:rFonts w:ascii="Arial" w:cs="Arial" w:eastAsia="Arial" w:hAnsi="Arial"/>
          <w:sz w:val="24"/>
          <w:szCs w:val="24"/>
          <w:rtl/>
        </w:rPr>
        <w:t xml:space="preserve">استكمال قائمة المستحقين.</w:t>
      </w:r>
    </w:p>
    <w:p>
      <w:pPr>
        <w:pStyle w:val="ListParagraph"/>
        <w:numPr>
          <w:ilvl w:val="0"/>
          <w:numId w:val="2"/>
        </w:numPr>
        <w:bidi/>
        <w:spacing w:after="100" w:line="300"/>
        <w:jc w:val="right"/>
      </w:pPr>
      <w:r>
        <w:rPr>
          <w:rFonts w:ascii="Arial" w:cs="Arial" w:eastAsia="Arial" w:hAnsi="Arial"/>
          <w:sz w:val="24"/>
          <w:szCs w:val="24"/>
          <w:rtl/>
        </w:rPr>
        <w:t xml:space="preserve">طباعة المواد المطلوبة.</w:t>
      </w:r>
    </w:p>
    <w:p>
      <w:pPr>
        <w:pStyle w:val="ListParagraph"/>
        <w:numPr>
          <w:ilvl w:val="0"/>
          <w:numId w:val="2"/>
        </w:numPr>
        <w:bidi/>
        <w:spacing w:after="100" w:line="300"/>
        <w:jc w:val="right"/>
      </w:pPr>
      <w:r>
        <w:rPr>
          <w:rFonts w:ascii="Arial" w:cs="Arial" w:eastAsia="Arial" w:hAnsi="Arial"/>
          <w:sz w:val="24"/>
          <w:szCs w:val="24"/>
          <w:rtl/>
        </w:rPr>
        <w:t xml:space="preserve">التأكيد النهائي مع مقدمي الخدمات.</w:t>
      </w:r>
    </w:p>
    <w:p>
      <w:pPr>
        <w:pStyle w:val="Heading3"/>
        <w:bidi/>
        <w:spacing w:after="120" w:before="200"/>
        <w:jc w:val="right"/>
      </w:pPr>
      <w:r>
        <w:rPr>
          <w:rFonts w:ascii="Arial" w:cs="Arial" w:eastAsia="Arial" w:hAnsi="Arial"/>
          <w:b/>
          <w:bCs/>
          <w:color w:val="1F4E79"/>
          <w:sz w:val="26"/>
          <w:szCs w:val="26"/>
          <w:rtl/>
        </w:rPr>
        <w:t xml:space="preserve">يوم الجمعية</w:t>
      </w:r>
    </w:p>
    <w:p>
      <w:pPr>
        <w:pStyle w:val="ListParagraph"/>
        <w:numPr>
          <w:ilvl w:val="0"/>
          <w:numId w:val="2"/>
        </w:numPr>
        <w:bidi/>
        <w:spacing w:after="100" w:line="300"/>
        <w:jc w:val="right"/>
      </w:pPr>
      <w:r>
        <w:rPr>
          <w:rFonts w:ascii="Arial" w:cs="Arial" w:eastAsia="Arial" w:hAnsi="Arial"/>
          <w:sz w:val="24"/>
          <w:szCs w:val="24"/>
          <w:rtl/>
        </w:rPr>
        <w:t xml:space="preserve">الوصول المبكر للفريق.</w:t>
      </w:r>
    </w:p>
    <w:p>
      <w:pPr>
        <w:pStyle w:val="ListParagraph"/>
        <w:numPr>
          <w:ilvl w:val="0"/>
          <w:numId w:val="2"/>
        </w:numPr>
        <w:bidi/>
        <w:spacing w:after="100" w:line="300"/>
        <w:jc w:val="right"/>
      </w:pPr>
      <w:r>
        <w:rPr>
          <w:rFonts w:ascii="Arial" w:cs="Arial" w:eastAsia="Arial" w:hAnsi="Arial"/>
          <w:sz w:val="24"/>
          <w:szCs w:val="24"/>
          <w:rtl/>
        </w:rPr>
        <w:t xml:space="preserve">الاختبارات النهائية.</w:t>
      </w:r>
    </w:p>
    <w:p>
      <w:pPr>
        <w:pStyle w:val="ListParagraph"/>
        <w:numPr>
          <w:ilvl w:val="0"/>
          <w:numId w:val="2"/>
        </w:numPr>
        <w:bidi/>
        <w:spacing w:after="100" w:line="300"/>
        <w:jc w:val="right"/>
      </w:pPr>
      <w:r>
        <w:rPr>
          <w:rFonts w:ascii="Arial" w:cs="Arial" w:eastAsia="Arial" w:hAnsi="Arial"/>
          <w:sz w:val="24"/>
          <w:szCs w:val="24"/>
          <w:rtl/>
        </w:rPr>
        <w:t xml:space="preserve">استقبال المساهمين.</w:t>
      </w:r>
    </w:p>
    <w:p>
      <w:pPr>
        <w:pStyle w:val="ListParagraph"/>
        <w:numPr>
          <w:ilvl w:val="0"/>
          <w:numId w:val="2"/>
        </w:numPr>
        <w:bidi/>
        <w:spacing w:after="100" w:line="300"/>
        <w:jc w:val="right"/>
      </w:pPr>
      <w:r>
        <w:rPr>
          <w:rFonts w:ascii="Arial" w:cs="Arial" w:eastAsia="Arial" w:hAnsi="Arial"/>
          <w:sz w:val="24"/>
          <w:szCs w:val="24"/>
          <w:rtl/>
        </w:rPr>
        <w:t xml:space="preserve">إدارة الجمعية وفق الخطة.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التخطيط الناجح للجمعية العمومية ليس عملاً يُنجز في أسبوع، بل مسار منهجي يبدأ قبل الجمعية بأسابيع أو أشهر، ويتطلب تنسيقاً بين أطراف متعددة، واهتماماً بأدق التفاصيل. والشركات الرائدة تنظر إلى التخطيط للجمعية كاستثمار استراتيجي يُؤتي ثماره في صورة جمعية ناجحة، تُعزز ثقة المساهمين وتدفع الشركة نحو أهدافها.</w:t>
      </w:r>
    </w:p>
    <w:p>
      <w:pPr>
        <w:bidi/>
        <w:spacing w:after="140" w:line="320"/>
        <w:jc w:val="both"/>
      </w:pPr>
      <w:r>
        <w:rPr>
          <w:rFonts w:ascii="Arial" w:cs="Arial" w:eastAsia="Arial" w:hAnsi="Arial"/>
          <w:sz w:val="24"/>
          <w:szCs w:val="24"/>
          <w:rtl/>
        </w:rPr>
        <w:t xml:space="preserve">في النظام السعودي الجديد، أصبحت التوقعات أعلى والمتطلبات أدق. والشركات التي تستثمر في تطوير منهجيات تخطيط متقدمة، وتُكوّن فرق عمل مؤهلة، وتُطبّق أفضل الممارسات الدولية، هي التي تتميز وتُبرز كمعيار للحوكمة الرشيدة في السوق السعودي.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ابدأ التخطيط قبل الجمعية بـ 10-12 أسبوعاً (للسنوية). 2) شكّل فريق عمل متكاملاً يجمع: أمين السر، علاقات المستثمرين، المالية، القانونية، التقنية. 3) المراحل السبع للتخطيط: التحضير الأولي، الإعداد المعمق، المراجعة والاعتماد، الإعلان، التحضيرات النهائية، يوم الجمعية، المتابعة. 4) جدول الأعمال يجب أن يكون شاملاً ومنطقياً ومرتباً. 5) إدارة المخاطر تشمل: النصاب، التقنية، القانونية، السمعة، اللوجستية. 6) التنسيق مع الأطراف الخارجية محوري: المراجع، الهيئة، تداول، إيداع، الإعلام. 7) كل خطوة يجب أن تُوثّق بدقة لاستخدامها كمرجع في الجمعيات القادمة.</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ولائحته التنفيذية.</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الخاصة بشركات المساهمة المدرجة،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2"/>
        </w:numPr>
        <w:bidi/>
        <w:spacing w:after="100" w:line="300"/>
        <w:jc w:val="right"/>
      </w:pPr>
      <w:r>
        <w:rPr>
          <w:rFonts w:ascii="Arial" w:cs="Arial" w:eastAsia="Arial" w:hAnsi="Arial"/>
          <w:sz w:val="24"/>
          <w:szCs w:val="24"/>
          <w:rtl/>
        </w:rPr>
        <w:t xml:space="preserve">دليل الجمعيات العامة، السوق المالية السعودية (تداول).</w:t>
      </w:r>
    </w:p>
    <w:p>
      <w:pPr>
        <w:pStyle w:val="ListParagraph"/>
        <w:numPr>
          <w:ilvl w:val="0"/>
          <w:numId w:val="2"/>
        </w:numPr>
        <w:bidi/>
        <w:spacing w:after="100" w:line="300"/>
        <w:jc w:val="right"/>
      </w:pPr>
      <w:r>
        <w:rPr>
          <w:rFonts w:ascii="Arial" w:cs="Arial" w:eastAsia="Arial" w:hAnsi="Arial"/>
          <w:sz w:val="24"/>
          <w:szCs w:val="24"/>
          <w:rtl/>
        </w:rPr>
        <w:t xml:space="preserve">منهجية إدارة المشاريع - معهد إدارة المشاريع (PMI).</w:t>
      </w:r>
    </w:p>
    <w:p>
      <w:pPr>
        <w:pStyle w:val="ListParagraph"/>
        <w:numPr>
          <w:ilvl w:val="0"/>
          <w:numId w:val="2"/>
        </w:numPr>
        <w:bidi/>
        <w:spacing w:after="100" w:line="300"/>
        <w:jc w:val="right"/>
      </w:pPr>
      <w:r>
        <w:rPr>
          <w:rFonts w:ascii="Arial" w:cs="Arial" w:eastAsia="Arial" w:hAnsi="Arial"/>
          <w:sz w:val="24"/>
          <w:szCs w:val="24"/>
          <w:rtl/>
        </w:rPr>
        <w:t xml:space="preserve">ICSA Best Practice Guides on AGM Planning (المعهد الدولي لأمناء سر الشركات).</w:t>
      </w:r>
    </w:p>
    <w:p>
      <w:pPr>
        <w:pStyle w:val="ListParagraph"/>
        <w:numPr>
          <w:ilvl w:val="0"/>
          <w:numId w:val="2"/>
        </w:numPr>
        <w:bidi/>
        <w:spacing w:after="100" w:line="300"/>
        <w:jc w:val="right"/>
      </w:pPr>
      <w:r>
        <w:rPr>
          <w:rFonts w:ascii="Arial" w:cs="Arial" w:eastAsia="Arial" w:hAnsi="Arial"/>
          <w:sz w:val="24"/>
          <w:szCs w:val="24"/>
          <w:rtl/>
        </w:rPr>
        <w:t xml:space="preserve">OECD Principles of Corporate Governance - Shareholder Meetings.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التخطيط للجمعية العمومية | المحور الثاني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التخطيط للجمعية العمومية</dc:title>
  <dc:creator>Corporate Governance Knowledge Base</dc:creator>
  <cp:lastModifiedBy>Un-named</cp:lastModifiedBy>
  <cp:revision>1</cp:revision>
  <dcterms:created xsi:type="dcterms:W3CDTF">2026-05-16T08:06:13.512Z</dcterms:created>
  <dcterms:modified xsi:type="dcterms:W3CDTF">2026-05-16T08:06:13.512Z</dcterms:modified>
</cp:coreProperties>
</file>

<file path=docProps/custom.xml><?xml version="1.0" encoding="utf-8"?>
<Properties xmlns="http://schemas.openxmlformats.org/officeDocument/2006/custom-properties" xmlns:vt="http://schemas.openxmlformats.org/officeDocument/2006/docPropsVTypes"/>
</file>