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الدعوة لانعقاد الجمعية العمومية</w:t>
      </w:r>
    </w:p>
    <w:p>
      <w:pPr>
        <w:bidi/>
        <w:spacing w:after="400"/>
        <w:jc w:val="center"/>
      </w:pPr>
      <w:r>
        <w:rPr>
          <w:rFonts w:ascii="Arial" w:cs="Arial" w:eastAsia="Arial" w:hAnsi="Arial"/>
          <w:i/>
          <w:iCs/>
          <w:color w:val="2E75B6"/>
          <w:sz w:val="26"/>
          <w:szCs w:val="26"/>
          <w:rtl/>
        </w:rPr>
        <w:t xml:space="preserve">المتطلبات النظامية، القنوات المعتمدة، والمحتوى التفصيلي</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الدعوة لانعقاد الجمعية العمومية ليست مجرد إخطار للمساهمين بموعد الاجتماع، بل ركن أساسي من أركان صحة انعقاد الجمعية وشرعية قراراتها. فالدعوة المعيبة - سواء من حيث المضمون، أو القناة، أو التوقيت - تُعرّض الجمعية للبطلان، وتُمكّن المساهمين المتضررين من الطعن في قراراتها وإلغائها. ومن منظور حوكمي، فإن الدعوة هي الجسر الذي يربط الشركة بمساهميها، ويمنحهم الفرصة الحقيقية للمشاركة في صناعة قرار الشركة.</w:t>
      </w:r>
    </w:p>
    <w:p>
      <w:pPr>
        <w:bidi/>
        <w:spacing w:after="140" w:line="320"/>
        <w:jc w:val="both"/>
      </w:pPr>
      <w:r>
        <w:rPr>
          <w:rFonts w:ascii="Arial" w:cs="Arial" w:eastAsia="Arial" w:hAnsi="Arial"/>
          <w:sz w:val="24"/>
          <w:szCs w:val="24"/>
          <w:rtl/>
        </w:rPr>
        <w:t xml:space="preserve">في النظام السعودي الجديد، شهدت أحكام الدعوة تطوراً جوهرياً يعكس التحول الرقمي والانفتاح على الممارسات الدولية. فقد أصبح بالإمكان توجيه الدعوة عبر وسائل التقنية الحديثة، مع الحفاظ على معايير صارمة لضمان وصولها لجميع المساهمين بشكل عادل ومتساوٍ. كما تطورت متطلبات المحتوى لتشمل مزيداً من الشفافية والمعلومات التي يحتاجها المساهم لاتخاذ قرار مدروس.</w:t>
      </w:r>
    </w:p>
    <w:p>
      <w:pPr>
        <w:bidi/>
        <w:spacing w:after="140" w:line="320"/>
        <w:jc w:val="both"/>
      </w:pPr>
      <w:r>
        <w:rPr>
          <w:rFonts w:ascii="Arial" w:cs="Arial" w:eastAsia="Arial" w:hAnsi="Arial"/>
          <w:sz w:val="24"/>
          <w:szCs w:val="24"/>
          <w:rtl/>
        </w:rPr>
        <w:t xml:space="preserve">في هذا المقال، نستعرض كل ما يتعلق بالدعوة للجمعية العمومية: من تحديد الجهة المخولة بالدعوة، إلى المهل النظامية الواجب احترامها، إلى القنوات المعتمدة لنشرها، إلى المحتوى الإلزامي والاختياري الذي يجب أن تتضمنه، إلى التعامل مع الحالات الاستثنائية.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الأهمية القانونية والعملية للدعوة</w:t>
      </w:r>
    </w:p>
    <w:p>
      <w:pPr>
        <w:bidi/>
        <w:spacing w:after="140" w:line="320"/>
        <w:jc w:val="both"/>
      </w:pPr>
      <w:r>
        <w:rPr>
          <w:rFonts w:ascii="Arial" w:cs="Arial" w:eastAsia="Arial" w:hAnsi="Arial"/>
          <w:sz w:val="24"/>
          <w:szCs w:val="24"/>
          <w:rtl/>
        </w:rPr>
        <w:t xml:space="preserve">قبل الخوض في تفاصيل الإجراءات، من المهم استيعاب الأهمية المتعددة الأبعاد للدعوة:</w:t>
      </w:r>
    </w:p>
    <w:p>
      <w:pPr>
        <w:pStyle w:val="Heading2"/>
        <w:bidi/>
        <w:spacing w:after="160" w:before="280"/>
        <w:jc w:val="right"/>
      </w:pPr>
      <w:r>
        <w:rPr>
          <w:rFonts w:ascii="Arial" w:cs="Arial" w:eastAsia="Arial" w:hAnsi="Arial"/>
          <w:b/>
          <w:bCs/>
          <w:color w:val="2E75B6"/>
          <w:sz w:val="30"/>
          <w:szCs w:val="30"/>
          <w:rtl/>
        </w:rPr>
        <w:t xml:space="preserve">1. الأهمية القانونية</w:t>
      </w:r>
    </w:p>
    <w:p>
      <w:pPr>
        <w:pStyle w:val="ListParagraph"/>
        <w:numPr>
          <w:ilvl w:val="0"/>
          <w:numId w:val="2"/>
        </w:numPr>
        <w:bidi/>
        <w:spacing w:after="100" w:line="300"/>
        <w:jc w:val="right"/>
      </w:pPr>
      <w:r>
        <w:rPr>
          <w:rFonts w:ascii="Arial" w:cs="Arial" w:eastAsia="Arial" w:hAnsi="Arial"/>
          <w:sz w:val="24"/>
          <w:szCs w:val="24"/>
          <w:rtl/>
        </w:rPr>
        <w:t xml:space="preserve">شرط لصحة انعقاد الجمعية: لا تنعقد جمعية صحيحة بدون دعوة سليمة.</w:t>
      </w:r>
    </w:p>
    <w:p>
      <w:pPr>
        <w:pStyle w:val="ListParagraph"/>
        <w:numPr>
          <w:ilvl w:val="0"/>
          <w:numId w:val="2"/>
        </w:numPr>
        <w:bidi/>
        <w:spacing w:after="100" w:line="300"/>
        <w:jc w:val="right"/>
      </w:pPr>
      <w:r>
        <w:rPr>
          <w:rFonts w:ascii="Arial" w:cs="Arial" w:eastAsia="Arial" w:hAnsi="Arial"/>
          <w:sz w:val="24"/>
          <w:szCs w:val="24"/>
          <w:rtl/>
        </w:rPr>
        <w:t xml:space="preserve">ضمان لحقوق المساهمين: حماية حقهم في الحضور والمشاركة.</w:t>
      </w:r>
    </w:p>
    <w:p>
      <w:pPr>
        <w:pStyle w:val="ListParagraph"/>
        <w:numPr>
          <w:ilvl w:val="0"/>
          <w:numId w:val="2"/>
        </w:numPr>
        <w:bidi/>
        <w:spacing w:after="100" w:line="300"/>
        <w:jc w:val="right"/>
      </w:pPr>
      <w:r>
        <w:rPr>
          <w:rFonts w:ascii="Arial" w:cs="Arial" w:eastAsia="Arial" w:hAnsi="Arial"/>
          <w:sz w:val="24"/>
          <w:szCs w:val="24"/>
          <w:rtl/>
        </w:rPr>
        <w:t xml:space="preserve">توثيق المسؤولية: إثبات أن الشركة قامت بواجبها في إبلاغ المساهمين.</w:t>
      </w:r>
    </w:p>
    <w:p>
      <w:pPr>
        <w:pStyle w:val="ListParagraph"/>
        <w:numPr>
          <w:ilvl w:val="0"/>
          <w:numId w:val="2"/>
        </w:numPr>
        <w:bidi/>
        <w:spacing w:after="100" w:line="300"/>
        <w:jc w:val="right"/>
      </w:pPr>
      <w:r>
        <w:rPr>
          <w:rFonts w:ascii="Arial" w:cs="Arial" w:eastAsia="Arial" w:hAnsi="Arial"/>
          <w:sz w:val="24"/>
          <w:szCs w:val="24"/>
          <w:rtl/>
        </w:rPr>
        <w:t xml:space="preserve">أساس للطعن: أي إخلال جوهري بالدعوة يُمكّن من الطعن في القرارات.</w:t>
      </w:r>
    </w:p>
    <w:p>
      <w:pPr>
        <w:pStyle w:val="Heading2"/>
        <w:bidi/>
        <w:spacing w:after="160" w:before="280"/>
        <w:jc w:val="right"/>
      </w:pPr>
      <w:r>
        <w:rPr>
          <w:rFonts w:ascii="Arial" w:cs="Arial" w:eastAsia="Arial" w:hAnsi="Arial"/>
          <w:b/>
          <w:bCs/>
          <w:color w:val="2E75B6"/>
          <w:sz w:val="30"/>
          <w:szCs w:val="30"/>
          <w:rtl/>
        </w:rPr>
        <w:t xml:space="preserve">2. الأهمية الحوكمية</w:t>
      </w:r>
    </w:p>
    <w:p>
      <w:pPr>
        <w:pStyle w:val="ListParagraph"/>
        <w:numPr>
          <w:ilvl w:val="0"/>
          <w:numId w:val="2"/>
        </w:numPr>
        <w:bidi/>
        <w:spacing w:after="100" w:line="300"/>
        <w:jc w:val="right"/>
      </w:pPr>
      <w:r>
        <w:rPr>
          <w:rFonts w:ascii="Arial" w:cs="Arial" w:eastAsia="Arial" w:hAnsi="Arial"/>
          <w:sz w:val="24"/>
          <w:szCs w:val="24"/>
          <w:rtl/>
        </w:rPr>
        <w:t xml:space="preserve">تجسيد للشفافية: إعلان مبكر وواضح بالموضوعات المطروحة.</w:t>
      </w:r>
    </w:p>
    <w:p>
      <w:pPr>
        <w:pStyle w:val="ListParagraph"/>
        <w:numPr>
          <w:ilvl w:val="0"/>
          <w:numId w:val="2"/>
        </w:numPr>
        <w:bidi/>
        <w:spacing w:after="100" w:line="300"/>
        <w:jc w:val="right"/>
      </w:pPr>
      <w:r>
        <w:rPr>
          <w:rFonts w:ascii="Arial" w:cs="Arial" w:eastAsia="Arial" w:hAnsi="Arial"/>
          <w:sz w:val="24"/>
          <w:szCs w:val="24"/>
          <w:rtl/>
        </w:rPr>
        <w:t xml:space="preserve">تعزيز المشاركة: تمكين المساهمين من التحضير والمشاركة الفعّالة.</w:t>
      </w:r>
    </w:p>
    <w:p>
      <w:pPr>
        <w:pStyle w:val="ListParagraph"/>
        <w:numPr>
          <w:ilvl w:val="0"/>
          <w:numId w:val="2"/>
        </w:numPr>
        <w:bidi/>
        <w:spacing w:after="100" w:line="300"/>
        <w:jc w:val="right"/>
      </w:pPr>
      <w:r>
        <w:rPr>
          <w:rFonts w:ascii="Arial" w:cs="Arial" w:eastAsia="Arial" w:hAnsi="Arial"/>
          <w:sz w:val="24"/>
          <w:szCs w:val="24"/>
          <w:rtl/>
        </w:rPr>
        <w:t xml:space="preserve">احترام حقوق الأقلية: تيسير وصول المعلومات لجميع المساهمين بالتساوي.</w:t>
      </w:r>
    </w:p>
    <w:p>
      <w:pPr>
        <w:pStyle w:val="ListParagraph"/>
        <w:numPr>
          <w:ilvl w:val="0"/>
          <w:numId w:val="2"/>
        </w:numPr>
        <w:bidi/>
        <w:spacing w:after="100" w:line="300"/>
        <w:jc w:val="right"/>
      </w:pPr>
      <w:r>
        <w:rPr>
          <w:rFonts w:ascii="Arial" w:cs="Arial" w:eastAsia="Arial" w:hAnsi="Arial"/>
          <w:sz w:val="24"/>
          <w:szCs w:val="24"/>
          <w:rtl/>
        </w:rPr>
        <w:t xml:space="preserve">بناء الثقة: شفافية الدعوة تعكس ثقافة الشركة.</w:t>
      </w:r>
    </w:p>
    <w:p>
      <w:pPr>
        <w:pStyle w:val="Heading2"/>
        <w:bidi/>
        <w:spacing w:after="160" w:before="280"/>
        <w:jc w:val="right"/>
      </w:pPr>
      <w:r>
        <w:rPr>
          <w:rFonts w:ascii="Arial" w:cs="Arial" w:eastAsia="Arial" w:hAnsi="Arial"/>
          <w:b/>
          <w:bCs/>
          <w:color w:val="2E75B6"/>
          <w:sz w:val="30"/>
          <w:szCs w:val="30"/>
          <w:rtl/>
        </w:rPr>
        <w:t xml:space="preserve">3. الأهمية العملية</w:t>
      </w:r>
    </w:p>
    <w:p>
      <w:pPr>
        <w:pStyle w:val="ListParagraph"/>
        <w:numPr>
          <w:ilvl w:val="0"/>
          <w:numId w:val="2"/>
        </w:numPr>
        <w:bidi/>
        <w:spacing w:after="100" w:line="300"/>
        <w:jc w:val="right"/>
      </w:pPr>
      <w:r>
        <w:rPr>
          <w:rFonts w:ascii="Arial" w:cs="Arial" w:eastAsia="Arial" w:hAnsi="Arial"/>
          <w:sz w:val="24"/>
          <w:szCs w:val="24"/>
          <w:rtl/>
        </w:rPr>
        <w:t xml:space="preserve">التخطيط: تتيح للمساهمين التخطيط لحضور الجمعية.</w:t>
      </w:r>
    </w:p>
    <w:p>
      <w:pPr>
        <w:pStyle w:val="ListParagraph"/>
        <w:numPr>
          <w:ilvl w:val="0"/>
          <w:numId w:val="2"/>
        </w:numPr>
        <w:bidi/>
        <w:spacing w:after="100" w:line="300"/>
        <w:jc w:val="right"/>
      </w:pPr>
      <w:r>
        <w:rPr>
          <w:rFonts w:ascii="Arial" w:cs="Arial" w:eastAsia="Arial" w:hAnsi="Arial"/>
          <w:sz w:val="24"/>
          <w:szCs w:val="24"/>
          <w:rtl/>
        </w:rPr>
        <w:t xml:space="preserve">التحضير: توفير الوقت الكافي للاطلاع على الوثائق.</w:t>
      </w:r>
    </w:p>
    <w:p>
      <w:pPr>
        <w:pStyle w:val="ListParagraph"/>
        <w:numPr>
          <w:ilvl w:val="0"/>
          <w:numId w:val="2"/>
        </w:numPr>
        <w:bidi/>
        <w:spacing w:after="100" w:line="300"/>
        <w:jc w:val="right"/>
      </w:pPr>
      <w:r>
        <w:rPr>
          <w:rFonts w:ascii="Arial" w:cs="Arial" w:eastAsia="Arial" w:hAnsi="Arial"/>
          <w:sz w:val="24"/>
          <w:szCs w:val="24"/>
          <w:rtl/>
        </w:rPr>
        <w:t xml:space="preserve">التوكيل: إمكانية ترتيب التوكيلات إذا تعذّر الحضور الشخصي.</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 المشاركة عن بُعد دون الحضور الفعلي.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الجهة المخولة بتوجيه الدعوة</w:t>
      </w:r>
    </w:p>
    <w:p>
      <w:pPr>
        <w:bidi/>
        <w:spacing w:after="140" w:line="320"/>
        <w:jc w:val="both"/>
      </w:pPr>
      <w:r>
        <w:rPr>
          <w:rFonts w:ascii="Arial" w:cs="Arial" w:eastAsia="Arial" w:hAnsi="Arial"/>
          <w:sz w:val="24"/>
          <w:szCs w:val="24"/>
          <w:rtl/>
        </w:rPr>
        <w:t xml:space="preserve">الأصل أن مجلس الإدارة هو المختص بتوجيه الدعوة لانعقاد الجمعيات. غير أن النظام السعودي منح هذا الحق لعدة جهات في حالات محددة، لضمان عدم إيقاف عجلة الحوكمة في حالة تعطل المجلس أو امتناعه.</w:t>
      </w:r>
    </w:p>
    <w:p>
      <w:pPr>
        <w:pStyle w:val="Heading2"/>
        <w:bidi/>
        <w:spacing w:after="160" w:before="280"/>
        <w:jc w:val="right"/>
      </w:pPr>
      <w:r>
        <w:rPr>
          <w:rFonts w:ascii="Arial" w:cs="Arial" w:eastAsia="Arial" w:hAnsi="Arial"/>
          <w:b/>
          <w:bCs/>
          <w:color w:val="2E75B6"/>
          <w:sz w:val="30"/>
          <w:szCs w:val="30"/>
          <w:rtl/>
        </w:rPr>
        <w:t xml:space="preserve">1. مجلس الإدارة (الأصل)</w:t>
      </w:r>
    </w:p>
    <w:p>
      <w:pPr>
        <w:pStyle w:val="Heading3"/>
        <w:bidi/>
        <w:spacing w:after="120" w:before="200"/>
        <w:jc w:val="right"/>
      </w:pPr>
      <w:r>
        <w:rPr>
          <w:rFonts w:ascii="Arial" w:cs="Arial" w:eastAsia="Arial" w:hAnsi="Arial"/>
          <w:b/>
          <w:bCs/>
          <w:color w:val="1F4E79"/>
          <w:sz w:val="26"/>
          <w:szCs w:val="26"/>
          <w:rtl/>
        </w:rPr>
        <w:t xml:space="preserve">الحالات الإلزامية</w:t>
      </w:r>
    </w:p>
    <w:p>
      <w:pPr>
        <w:pStyle w:val="ListParagraph"/>
        <w:numPr>
          <w:ilvl w:val="0"/>
          <w:numId w:val="2"/>
        </w:numPr>
        <w:bidi/>
        <w:spacing w:after="100" w:line="300"/>
        <w:jc w:val="right"/>
      </w:pPr>
      <w:r>
        <w:rPr>
          <w:rFonts w:ascii="Arial" w:cs="Arial" w:eastAsia="Arial" w:hAnsi="Arial"/>
          <w:sz w:val="24"/>
          <w:szCs w:val="24"/>
          <w:rtl/>
        </w:rPr>
        <w:t xml:space="preserve">الجمعية السنوية: مرة على الأقل سنوياً خلال 6 أشهر بعد انتهاء السنة المالية.</w:t>
      </w:r>
    </w:p>
    <w:p>
      <w:pPr>
        <w:pStyle w:val="ListParagraph"/>
        <w:numPr>
          <w:ilvl w:val="0"/>
          <w:numId w:val="2"/>
        </w:numPr>
        <w:bidi/>
        <w:spacing w:after="100" w:line="300"/>
        <w:jc w:val="right"/>
      </w:pPr>
      <w:r>
        <w:rPr>
          <w:rFonts w:ascii="Arial" w:cs="Arial" w:eastAsia="Arial" w:hAnsi="Arial"/>
          <w:sz w:val="24"/>
          <w:szCs w:val="24"/>
          <w:rtl/>
        </w:rPr>
        <w:t xml:space="preserve">الجمعيات بناءً على طلب مراجع الحسابات أو المساهمين.</w:t>
      </w:r>
    </w:p>
    <w:p>
      <w:pPr>
        <w:pStyle w:val="ListParagraph"/>
        <w:numPr>
          <w:ilvl w:val="0"/>
          <w:numId w:val="2"/>
        </w:numPr>
        <w:bidi/>
        <w:spacing w:after="100" w:line="300"/>
        <w:jc w:val="right"/>
      </w:pPr>
      <w:r>
        <w:rPr>
          <w:rFonts w:ascii="Arial" w:cs="Arial" w:eastAsia="Arial" w:hAnsi="Arial"/>
          <w:sz w:val="24"/>
          <w:szCs w:val="24"/>
          <w:rtl/>
        </w:rPr>
        <w:t xml:space="preserve">الجمعيات المرتبطة بقرارات استثنائية (الاندماج، التصفية، إلخ).</w:t>
      </w:r>
    </w:p>
    <w:p>
      <w:pPr>
        <w:pStyle w:val="Heading3"/>
        <w:bidi/>
        <w:spacing w:after="120" w:before="200"/>
        <w:jc w:val="right"/>
      </w:pPr>
      <w:r>
        <w:rPr>
          <w:rFonts w:ascii="Arial" w:cs="Arial" w:eastAsia="Arial" w:hAnsi="Arial"/>
          <w:b/>
          <w:bCs/>
          <w:color w:val="1F4E79"/>
          <w:sz w:val="26"/>
          <w:szCs w:val="26"/>
          <w:rtl/>
        </w:rPr>
        <w:t xml:space="preserve">الحالات الجوازية</w:t>
      </w:r>
    </w:p>
    <w:p>
      <w:pPr>
        <w:pStyle w:val="ListParagraph"/>
        <w:numPr>
          <w:ilvl w:val="0"/>
          <w:numId w:val="2"/>
        </w:numPr>
        <w:bidi/>
        <w:spacing w:after="100" w:line="300"/>
        <w:jc w:val="right"/>
      </w:pPr>
      <w:r>
        <w:rPr>
          <w:rFonts w:ascii="Arial" w:cs="Arial" w:eastAsia="Arial" w:hAnsi="Arial"/>
          <w:sz w:val="24"/>
          <w:szCs w:val="24"/>
          <w:rtl/>
        </w:rPr>
        <w:t xml:space="preserve">الجمعيات الإضافية حسب الحاجة.</w:t>
      </w:r>
    </w:p>
    <w:p>
      <w:pPr>
        <w:pStyle w:val="ListParagraph"/>
        <w:numPr>
          <w:ilvl w:val="0"/>
          <w:numId w:val="2"/>
        </w:numPr>
        <w:bidi/>
        <w:spacing w:after="100" w:line="300"/>
        <w:jc w:val="right"/>
      </w:pPr>
      <w:r>
        <w:rPr>
          <w:rFonts w:ascii="Arial" w:cs="Arial" w:eastAsia="Arial" w:hAnsi="Arial"/>
          <w:sz w:val="24"/>
          <w:szCs w:val="24"/>
          <w:rtl/>
        </w:rPr>
        <w:t xml:space="preserve">الجمعيات الخاصة بفئات الأسهم.</w:t>
      </w:r>
    </w:p>
    <w:p>
      <w:pPr>
        <w:pStyle w:val="ListParagraph"/>
        <w:numPr>
          <w:ilvl w:val="0"/>
          <w:numId w:val="2"/>
        </w:numPr>
        <w:bidi/>
        <w:spacing w:after="100" w:line="300"/>
        <w:jc w:val="right"/>
      </w:pPr>
      <w:r>
        <w:rPr>
          <w:rFonts w:ascii="Arial" w:cs="Arial" w:eastAsia="Arial" w:hAnsi="Arial"/>
          <w:sz w:val="24"/>
          <w:szCs w:val="24"/>
          <w:rtl/>
        </w:rPr>
        <w:t xml:space="preserve">الجمعيات في حالات الخسائر الجسيمة.</w:t>
      </w:r>
    </w:p>
    <w:p>
      <w:pPr>
        <w:pStyle w:val="Heading3"/>
        <w:bidi/>
        <w:spacing w:after="120" w:before="200"/>
        <w:jc w:val="right"/>
      </w:pPr>
      <w:r>
        <w:rPr>
          <w:rFonts w:ascii="Arial" w:cs="Arial" w:eastAsia="Arial" w:hAnsi="Arial"/>
          <w:b/>
          <w:bCs/>
          <w:color w:val="1F4E79"/>
          <w:sz w:val="26"/>
          <w:szCs w:val="26"/>
          <w:rtl/>
        </w:rPr>
        <w:t xml:space="preserve">آلية اتخاذ قرار الدعوة</w:t>
      </w:r>
    </w:p>
    <w:p>
      <w:pPr>
        <w:pStyle w:val="ListParagraph"/>
        <w:numPr>
          <w:ilvl w:val="0"/>
          <w:numId w:val="2"/>
        </w:numPr>
        <w:bidi/>
        <w:spacing w:after="100" w:line="300"/>
        <w:jc w:val="right"/>
      </w:pPr>
      <w:r>
        <w:rPr>
          <w:rFonts w:ascii="Arial" w:cs="Arial" w:eastAsia="Arial" w:hAnsi="Arial"/>
          <w:sz w:val="24"/>
          <w:szCs w:val="24"/>
          <w:rtl/>
        </w:rPr>
        <w:t xml:space="preserve">اجتماع مجلس الإدارة المعتاد.</w:t>
      </w:r>
    </w:p>
    <w:p>
      <w:pPr>
        <w:pStyle w:val="ListParagraph"/>
        <w:numPr>
          <w:ilvl w:val="0"/>
          <w:numId w:val="2"/>
        </w:numPr>
        <w:bidi/>
        <w:spacing w:after="100" w:line="300"/>
        <w:jc w:val="right"/>
      </w:pPr>
      <w:r>
        <w:rPr>
          <w:rFonts w:ascii="Arial" w:cs="Arial" w:eastAsia="Arial" w:hAnsi="Arial"/>
          <w:sz w:val="24"/>
          <w:szCs w:val="24"/>
          <w:rtl/>
        </w:rPr>
        <w:t xml:space="preserve">قرار مكتوب موثق.</w:t>
      </w:r>
    </w:p>
    <w:p>
      <w:pPr>
        <w:pStyle w:val="ListParagraph"/>
        <w:numPr>
          <w:ilvl w:val="0"/>
          <w:numId w:val="2"/>
        </w:numPr>
        <w:bidi/>
        <w:spacing w:after="100" w:line="300"/>
        <w:jc w:val="right"/>
      </w:pPr>
      <w:r>
        <w:rPr>
          <w:rFonts w:ascii="Arial" w:cs="Arial" w:eastAsia="Arial" w:hAnsi="Arial"/>
          <w:sz w:val="24"/>
          <w:szCs w:val="24"/>
          <w:rtl/>
        </w:rPr>
        <w:t xml:space="preserve">التفويض لرئيس المجلس أو من ينوب عنه بالتوقيع على الدعوة.</w:t>
      </w:r>
    </w:p>
    <w:p>
      <w:pPr>
        <w:pStyle w:val="ListParagraph"/>
        <w:numPr>
          <w:ilvl w:val="0"/>
          <w:numId w:val="2"/>
        </w:numPr>
        <w:bidi/>
        <w:spacing w:after="100" w:line="300"/>
        <w:jc w:val="right"/>
      </w:pPr>
      <w:r>
        <w:rPr>
          <w:rFonts w:ascii="Arial" w:cs="Arial" w:eastAsia="Arial" w:hAnsi="Arial"/>
          <w:sz w:val="24"/>
          <w:szCs w:val="24"/>
          <w:rtl/>
        </w:rPr>
        <w:t xml:space="preserve">تكليف أمين السر بتنفيذ إجراءات النشر والتنفيذ.</w:t>
      </w:r>
    </w:p>
    <w:p>
      <w:pPr>
        <w:pStyle w:val="Heading2"/>
        <w:bidi/>
        <w:spacing w:after="160" w:before="280"/>
        <w:jc w:val="right"/>
      </w:pPr>
      <w:r>
        <w:rPr>
          <w:rFonts w:ascii="Arial" w:cs="Arial" w:eastAsia="Arial" w:hAnsi="Arial"/>
          <w:b/>
          <w:bCs/>
          <w:color w:val="2E75B6"/>
          <w:sz w:val="30"/>
          <w:szCs w:val="30"/>
          <w:rtl/>
        </w:rPr>
        <w:t xml:space="preserve">2. مراجع الحسابات</w:t>
      </w:r>
    </w:p>
    <w:p>
      <w:pPr>
        <w:bidi/>
        <w:spacing w:after="140" w:line="320"/>
        <w:jc w:val="both"/>
      </w:pPr>
      <w:r>
        <w:rPr>
          <w:rFonts w:ascii="Arial" w:cs="Arial" w:eastAsia="Arial" w:hAnsi="Arial"/>
          <w:sz w:val="24"/>
          <w:szCs w:val="24"/>
          <w:rtl/>
        </w:rPr>
        <w:t xml:space="preserve">بحسب نظام الشركات الجديد (المادة 90)، يحق لمراجع الحسابات توجيه الدعوة إذا:</w:t>
      </w:r>
    </w:p>
    <w:p>
      <w:pPr>
        <w:pStyle w:val="ListParagraph"/>
        <w:numPr>
          <w:ilvl w:val="0"/>
          <w:numId w:val="2"/>
        </w:numPr>
        <w:bidi/>
        <w:spacing w:after="100" w:line="300"/>
        <w:jc w:val="right"/>
      </w:pPr>
      <w:r>
        <w:rPr>
          <w:rFonts w:ascii="Arial" w:cs="Arial" w:eastAsia="Arial" w:hAnsi="Arial"/>
          <w:sz w:val="24"/>
          <w:szCs w:val="24"/>
          <w:rtl/>
        </w:rPr>
        <w:t xml:space="preserve">طلب من مجلس الإدارة دعوة الجمعية.</w:t>
      </w:r>
    </w:p>
    <w:p>
      <w:pPr>
        <w:pStyle w:val="ListParagraph"/>
        <w:numPr>
          <w:ilvl w:val="0"/>
          <w:numId w:val="2"/>
        </w:numPr>
        <w:bidi/>
        <w:spacing w:after="100" w:line="300"/>
        <w:jc w:val="right"/>
      </w:pPr>
      <w:r>
        <w:rPr>
          <w:rFonts w:ascii="Arial" w:cs="Arial" w:eastAsia="Arial" w:hAnsi="Arial"/>
          <w:sz w:val="24"/>
          <w:szCs w:val="24"/>
          <w:rtl/>
        </w:rPr>
        <w:t xml:space="preserve">ولم يقم المجلس بالدعوة خلال 30 يوماً من تاريخ الطلب.</w:t>
      </w:r>
    </w:p>
    <w:p>
      <w:pPr>
        <w:bidi/>
        <w:spacing w:after="140" w:line="320"/>
        <w:jc w:val="both"/>
      </w:pPr>
      <w:r>
        <w:rPr>
          <w:rFonts w:ascii="Arial" w:cs="Arial" w:eastAsia="Arial" w:hAnsi="Arial"/>
          <w:sz w:val="24"/>
          <w:szCs w:val="24"/>
          <w:rtl/>
        </w:rPr>
        <w:t xml:space="preserve">هذا الحق يهدف إلى منع تعطيل الجمعيات بسبب امتناع المجلس، وحماية مصالح الشركة في حال اكتشاف المراجع أمراً جوهرياً يستوجب اطلاع الجمعية عليه.</w:t>
      </w:r>
    </w:p>
    <w:p>
      <w:pPr>
        <w:pStyle w:val="Heading2"/>
        <w:bidi/>
        <w:spacing w:after="160" w:before="280"/>
        <w:jc w:val="right"/>
      </w:pPr>
      <w:r>
        <w:rPr>
          <w:rFonts w:ascii="Arial" w:cs="Arial" w:eastAsia="Arial" w:hAnsi="Arial"/>
          <w:b/>
          <w:bCs/>
          <w:color w:val="2E75B6"/>
          <w:sz w:val="30"/>
          <w:szCs w:val="30"/>
          <w:rtl/>
        </w:rPr>
        <w:t xml:space="preserve">3. مساهمو الأقلية</w:t>
      </w:r>
    </w:p>
    <w:p>
      <w:pPr>
        <w:bidi/>
        <w:spacing w:after="140" w:line="320"/>
        <w:jc w:val="both"/>
      </w:pPr>
      <w:r>
        <w:rPr>
          <w:rFonts w:ascii="Arial" w:cs="Arial" w:eastAsia="Arial" w:hAnsi="Arial"/>
          <w:sz w:val="24"/>
          <w:szCs w:val="24"/>
          <w:rtl/>
        </w:rPr>
        <w:t xml:space="preserve">يحق للمساهمين الذين يملكون 10% من الأسهم ذات حقوق التصويت على الأقل طلب دعوة الجمعية، ضمن الضوابط التالية:</w:t>
      </w:r>
    </w:p>
    <w:p>
      <w:pPr>
        <w:pStyle w:val="ListParagraph"/>
        <w:numPr>
          <w:ilvl w:val="0"/>
          <w:numId w:val="3"/>
        </w:numPr>
        <w:bidi/>
        <w:spacing w:after="100" w:line="300"/>
        <w:jc w:val="right"/>
      </w:pPr>
      <w:r>
        <w:rPr>
          <w:rFonts w:ascii="Arial" w:cs="Arial" w:eastAsia="Arial" w:hAnsi="Arial"/>
          <w:sz w:val="24"/>
          <w:szCs w:val="24"/>
          <w:rtl/>
        </w:rPr>
        <w:t xml:space="preserve">تقديم طلب مكتوب لمجلس الإدارة.</w:t>
      </w:r>
    </w:p>
    <w:p>
      <w:pPr>
        <w:pStyle w:val="ListParagraph"/>
        <w:numPr>
          <w:ilvl w:val="0"/>
          <w:numId w:val="3"/>
        </w:numPr>
        <w:bidi/>
        <w:spacing w:after="100" w:line="300"/>
        <w:jc w:val="right"/>
      </w:pPr>
      <w:r>
        <w:rPr>
          <w:rFonts w:ascii="Arial" w:cs="Arial" w:eastAsia="Arial" w:hAnsi="Arial"/>
          <w:sz w:val="24"/>
          <w:szCs w:val="24"/>
          <w:rtl/>
        </w:rPr>
        <w:t xml:space="preserve">تحديد جدول الأعمال المقترح.</w:t>
      </w:r>
    </w:p>
    <w:p>
      <w:pPr>
        <w:pStyle w:val="ListParagraph"/>
        <w:numPr>
          <w:ilvl w:val="0"/>
          <w:numId w:val="3"/>
        </w:numPr>
        <w:bidi/>
        <w:spacing w:after="100" w:line="300"/>
        <w:jc w:val="right"/>
      </w:pPr>
      <w:r>
        <w:rPr>
          <w:rFonts w:ascii="Arial" w:cs="Arial" w:eastAsia="Arial" w:hAnsi="Arial"/>
          <w:sz w:val="24"/>
          <w:szCs w:val="24"/>
          <w:rtl/>
        </w:rPr>
        <w:t xml:space="preserve">توضيح المبررات.</w:t>
      </w:r>
    </w:p>
    <w:p>
      <w:pPr>
        <w:pStyle w:val="ListParagraph"/>
        <w:numPr>
          <w:ilvl w:val="0"/>
          <w:numId w:val="3"/>
        </w:numPr>
        <w:bidi/>
        <w:spacing w:after="100" w:line="300"/>
        <w:jc w:val="right"/>
      </w:pPr>
      <w:r>
        <w:rPr>
          <w:rFonts w:ascii="Arial" w:cs="Arial" w:eastAsia="Arial" w:hAnsi="Arial"/>
          <w:sz w:val="24"/>
          <w:szCs w:val="24"/>
          <w:rtl/>
        </w:rPr>
        <w:t xml:space="preserve">على المجلس الدعوة خلال 30 يوماً من الطلب.</w:t>
      </w:r>
    </w:p>
    <w:p>
      <w:pPr>
        <w:pStyle w:val="ListParagraph"/>
        <w:numPr>
          <w:ilvl w:val="0"/>
          <w:numId w:val="3"/>
        </w:numPr>
        <w:bidi/>
        <w:spacing w:after="100" w:line="300"/>
        <w:jc w:val="right"/>
      </w:pPr>
      <w:r>
        <w:rPr>
          <w:rFonts w:ascii="Arial" w:cs="Arial" w:eastAsia="Arial" w:hAnsi="Arial"/>
          <w:sz w:val="24"/>
          <w:szCs w:val="24"/>
          <w:rtl/>
        </w:rPr>
        <w:t xml:space="preserve">في حال الامتناع، يحق لهم اللجوء للجهات المختصة.</w:t>
      </w:r>
    </w:p>
    <w:p>
      <w:pPr>
        <w:pStyle w:val="Heading2"/>
        <w:bidi/>
        <w:spacing w:after="160" w:before="280"/>
        <w:jc w:val="right"/>
      </w:pPr>
      <w:r>
        <w:rPr>
          <w:rFonts w:ascii="Arial" w:cs="Arial" w:eastAsia="Arial" w:hAnsi="Arial"/>
          <w:b/>
          <w:bCs/>
          <w:color w:val="2E75B6"/>
          <w:sz w:val="30"/>
          <w:szCs w:val="30"/>
          <w:rtl/>
        </w:rPr>
        <w:t xml:space="preserve">4. الهيئات التنظيمية</w:t>
      </w:r>
    </w:p>
    <w:p>
      <w:pPr>
        <w:bidi/>
        <w:spacing w:after="140" w:line="320"/>
        <w:jc w:val="both"/>
      </w:pPr>
      <w:r>
        <w:rPr>
          <w:rFonts w:ascii="Arial" w:cs="Arial" w:eastAsia="Arial" w:hAnsi="Arial"/>
          <w:sz w:val="24"/>
          <w:szCs w:val="24"/>
          <w:rtl/>
        </w:rPr>
        <w:t xml:space="preserve">في حالات استثنائية، يحق للهيئات التنظيمية - كهيئة السوق المالية - توجيه الدعوة لانعقاد الجمعية:</w:t>
      </w:r>
    </w:p>
    <w:p>
      <w:pPr>
        <w:pStyle w:val="ListParagraph"/>
        <w:numPr>
          <w:ilvl w:val="0"/>
          <w:numId w:val="2"/>
        </w:numPr>
        <w:bidi/>
        <w:spacing w:after="100" w:line="300"/>
        <w:jc w:val="right"/>
      </w:pPr>
      <w:r>
        <w:rPr>
          <w:rFonts w:ascii="Arial" w:cs="Arial" w:eastAsia="Arial" w:hAnsi="Arial"/>
          <w:sz w:val="24"/>
          <w:szCs w:val="24"/>
          <w:rtl/>
        </w:rPr>
        <w:t xml:space="preserve">في حالات الإخلال الجسيم بالأنظمة.</w:t>
      </w:r>
    </w:p>
    <w:p>
      <w:pPr>
        <w:pStyle w:val="ListParagraph"/>
        <w:numPr>
          <w:ilvl w:val="0"/>
          <w:numId w:val="2"/>
        </w:numPr>
        <w:bidi/>
        <w:spacing w:after="100" w:line="300"/>
        <w:jc w:val="right"/>
      </w:pPr>
      <w:r>
        <w:rPr>
          <w:rFonts w:ascii="Arial" w:cs="Arial" w:eastAsia="Arial" w:hAnsi="Arial"/>
          <w:sz w:val="24"/>
          <w:szCs w:val="24"/>
          <w:rtl/>
        </w:rPr>
        <w:t xml:space="preserve">في حالات الشكاوى المؤكدة من المساهمين.</w:t>
      </w:r>
    </w:p>
    <w:p>
      <w:pPr>
        <w:pStyle w:val="ListParagraph"/>
        <w:numPr>
          <w:ilvl w:val="0"/>
          <w:numId w:val="2"/>
        </w:numPr>
        <w:bidi/>
        <w:spacing w:after="100" w:line="300"/>
        <w:jc w:val="right"/>
      </w:pPr>
      <w:r>
        <w:rPr>
          <w:rFonts w:ascii="Arial" w:cs="Arial" w:eastAsia="Arial" w:hAnsi="Arial"/>
          <w:sz w:val="24"/>
          <w:szCs w:val="24"/>
          <w:rtl/>
        </w:rPr>
        <w:t xml:space="preserve">لمعالجة مخالفات تنظيمية.</w:t>
      </w:r>
    </w:p>
    <w:p>
      <w:pPr>
        <w:pStyle w:val="ListParagraph"/>
        <w:numPr>
          <w:ilvl w:val="0"/>
          <w:numId w:val="2"/>
        </w:numPr>
        <w:bidi/>
        <w:spacing w:after="100" w:line="300"/>
        <w:jc w:val="right"/>
      </w:pPr>
      <w:r>
        <w:rPr>
          <w:rFonts w:ascii="Arial" w:cs="Arial" w:eastAsia="Arial" w:hAnsi="Arial"/>
          <w:sz w:val="24"/>
          <w:szCs w:val="24"/>
          <w:rtl/>
        </w:rPr>
        <w:t xml:space="preserve">في حالات التحقيق في تجاوزات الإدارة.</w:t>
      </w:r>
    </w:p>
    <w:p>
      <w:pPr>
        <w:pStyle w:val="Heading2"/>
        <w:bidi/>
        <w:spacing w:after="160" w:before="280"/>
        <w:jc w:val="right"/>
      </w:pPr>
      <w:r>
        <w:rPr>
          <w:rFonts w:ascii="Arial" w:cs="Arial" w:eastAsia="Arial" w:hAnsi="Arial"/>
          <w:b/>
          <w:bCs/>
          <w:color w:val="2E75B6"/>
          <w:sz w:val="30"/>
          <w:szCs w:val="30"/>
          <w:rtl/>
        </w:rPr>
        <w:t xml:space="preserve">5. القضاء</w:t>
      </w:r>
    </w:p>
    <w:p>
      <w:pPr>
        <w:bidi/>
        <w:spacing w:after="140" w:line="320"/>
        <w:jc w:val="both"/>
      </w:pPr>
      <w:r>
        <w:rPr>
          <w:rFonts w:ascii="Arial" w:cs="Arial" w:eastAsia="Arial" w:hAnsi="Arial"/>
          <w:sz w:val="24"/>
          <w:szCs w:val="24"/>
          <w:rtl/>
        </w:rPr>
        <w:t xml:space="preserve">بحكم قضائي، يمكن للمحكمة المختصة أن تأمر بدعوة الجمعية في حالات معينة:</w:t>
      </w:r>
    </w:p>
    <w:p>
      <w:pPr>
        <w:pStyle w:val="ListParagraph"/>
        <w:numPr>
          <w:ilvl w:val="0"/>
          <w:numId w:val="2"/>
        </w:numPr>
        <w:bidi/>
        <w:spacing w:after="100" w:line="300"/>
        <w:jc w:val="right"/>
      </w:pPr>
      <w:r>
        <w:rPr>
          <w:rFonts w:ascii="Arial" w:cs="Arial" w:eastAsia="Arial" w:hAnsi="Arial"/>
          <w:sz w:val="24"/>
          <w:szCs w:val="24"/>
          <w:rtl/>
        </w:rPr>
        <w:t xml:space="preserve">في حالات النزاعات بين المساهمين والإدارة.</w:t>
      </w:r>
    </w:p>
    <w:p>
      <w:pPr>
        <w:pStyle w:val="ListParagraph"/>
        <w:numPr>
          <w:ilvl w:val="0"/>
          <w:numId w:val="2"/>
        </w:numPr>
        <w:bidi/>
        <w:spacing w:after="100" w:line="300"/>
        <w:jc w:val="right"/>
      </w:pPr>
      <w:r>
        <w:rPr>
          <w:rFonts w:ascii="Arial" w:cs="Arial" w:eastAsia="Arial" w:hAnsi="Arial"/>
          <w:sz w:val="24"/>
          <w:szCs w:val="24"/>
          <w:rtl/>
        </w:rPr>
        <w:t xml:space="preserve">لتنفيذ أحكام قضائية.</w:t>
      </w:r>
    </w:p>
    <w:p>
      <w:pPr>
        <w:pStyle w:val="ListParagraph"/>
        <w:numPr>
          <w:ilvl w:val="0"/>
          <w:numId w:val="2"/>
        </w:numPr>
        <w:bidi/>
        <w:spacing w:after="100" w:line="300"/>
        <w:jc w:val="right"/>
      </w:pPr>
      <w:r>
        <w:rPr>
          <w:rFonts w:ascii="Arial" w:cs="Arial" w:eastAsia="Arial" w:hAnsi="Arial"/>
          <w:sz w:val="24"/>
          <w:szCs w:val="24"/>
          <w:rtl/>
        </w:rPr>
        <w:t xml:space="preserve">في حالات التصفية الإجبارية.</w:t>
      </w:r>
    </w:p>
    <w:p>
      <w:pPr>
        <w:pStyle w:val="ListParagraph"/>
        <w:numPr>
          <w:ilvl w:val="0"/>
          <w:numId w:val="2"/>
        </w:numPr>
        <w:bidi/>
        <w:spacing w:after="100" w:line="300"/>
        <w:jc w:val="right"/>
      </w:pPr>
      <w:r>
        <w:rPr>
          <w:rFonts w:ascii="Arial" w:cs="Arial" w:eastAsia="Arial" w:hAnsi="Arial"/>
          <w:sz w:val="24"/>
          <w:szCs w:val="24"/>
          <w:rtl/>
        </w:rPr>
        <w:t xml:space="preserve">لحماية حقوق المساهمين المضارين.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قانونية</w:t>
            </w:r>
          </w:p>
          <w:p>
            <w:pPr>
              <w:bidi/>
              <w:spacing w:line="300"/>
              <w:jc w:val="both"/>
            </w:pPr>
            <w:r>
              <w:rPr>
                <w:rFonts w:ascii="Arial" w:cs="Arial" w:eastAsia="Arial" w:hAnsi="Arial"/>
                <w:sz w:val="24"/>
                <w:szCs w:val="24"/>
                <w:rtl/>
              </w:rPr>
              <w:t xml:space="preserve">تخفيض النسبة المطلوبة من المساهمين لطلب دعوة الجمعية - من 11% في النظام القديم إلى 10% في النظام الجديد - هو من أبرز إصلاحات نظام الشركات الجديد، ويعكس التزام المنظم السعودي بتعزيز حقوق المساهمين الأقلية وتيسير ممارستهم لها.</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التوقيت والمهل النظامية</w:t>
      </w:r>
    </w:p>
    <w:p>
      <w:pPr>
        <w:bidi/>
        <w:spacing w:after="140" w:line="320"/>
        <w:jc w:val="both"/>
      </w:pPr>
      <w:r>
        <w:rPr>
          <w:rFonts w:ascii="Arial" w:cs="Arial" w:eastAsia="Arial" w:hAnsi="Arial"/>
          <w:sz w:val="24"/>
          <w:szCs w:val="24"/>
          <w:rtl/>
        </w:rPr>
        <w:t xml:space="preserve">التوقيت من العناصر الجوهرية في صحة الدعوة. والإخلال بالمهل النظامية قد يُؤدي إلى بطلان الجمعية. يجب التمييز بين عدة مفاهيم زمنية:</w:t>
      </w:r>
    </w:p>
    <w:p>
      <w:pPr>
        <w:pStyle w:val="Heading2"/>
        <w:bidi/>
        <w:spacing w:after="160" w:before="280"/>
        <w:jc w:val="right"/>
      </w:pPr>
      <w:r>
        <w:rPr>
          <w:rFonts w:ascii="Arial" w:cs="Arial" w:eastAsia="Arial" w:hAnsi="Arial"/>
          <w:b/>
          <w:bCs/>
          <w:color w:val="2E75B6"/>
          <w:sz w:val="30"/>
          <w:szCs w:val="30"/>
          <w:rtl/>
        </w:rPr>
        <w:t xml:space="preserve">1. توقيت قرار الدعوة</w:t>
      </w:r>
    </w:p>
    <w:p>
      <w:pPr>
        <w:bidi/>
        <w:spacing w:after="140" w:line="320"/>
        <w:jc w:val="both"/>
      </w:pPr>
      <w:r>
        <w:rPr>
          <w:rFonts w:ascii="Arial" w:cs="Arial" w:eastAsia="Arial" w:hAnsi="Arial"/>
          <w:sz w:val="24"/>
          <w:szCs w:val="24"/>
          <w:rtl/>
        </w:rPr>
        <w:t xml:space="preserve">قرار مجلس الإدارة بدعوة الجمعية يجب أن يكون قبل موعد الجمعية بفترة تسمح بإكمال جميع الإجراءات. عادةً يصدر القرار قبل 4-6 أسابيع من الجمعية، لإتاحة:</w:t>
      </w:r>
    </w:p>
    <w:p>
      <w:pPr>
        <w:pStyle w:val="ListParagraph"/>
        <w:numPr>
          <w:ilvl w:val="0"/>
          <w:numId w:val="2"/>
        </w:numPr>
        <w:bidi/>
        <w:spacing w:after="100" w:line="300"/>
        <w:jc w:val="right"/>
      </w:pPr>
      <w:r>
        <w:rPr>
          <w:rFonts w:ascii="Arial" w:cs="Arial" w:eastAsia="Arial" w:hAnsi="Arial"/>
          <w:sz w:val="24"/>
          <w:szCs w:val="24"/>
          <w:rtl/>
        </w:rPr>
        <w:t xml:space="preserve">الوقت لإعداد المستندات النهائية.</w:t>
      </w:r>
    </w:p>
    <w:p>
      <w:pPr>
        <w:pStyle w:val="ListParagraph"/>
        <w:numPr>
          <w:ilvl w:val="0"/>
          <w:numId w:val="2"/>
        </w:numPr>
        <w:bidi/>
        <w:spacing w:after="100" w:line="300"/>
        <w:jc w:val="right"/>
      </w:pPr>
      <w:r>
        <w:rPr>
          <w:rFonts w:ascii="Arial" w:cs="Arial" w:eastAsia="Arial" w:hAnsi="Arial"/>
          <w:sz w:val="24"/>
          <w:szCs w:val="24"/>
          <w:rtl/>
        </w:rPr>
        <w:t xml:space="preserve">التنسيق مع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نشر الدعوة في الوقت المناسب.</w:t>
      </w:r>
    </w:p>
    <w:p>
      <w:pPr>
        <w:pStyle w:val="ListParagraph"/>
        <w:numPr>
          <w:ilvl w:val="0"/>
          <w:numId w:val="2"/>
        </w:numPr>
        <w:bidi/>
        <w:spacing w:after="100" w:line="300"/>
        <w:jc w:val="right"/>
      </w:pPr>
      <w:r>
        <w:rPr>
          <w:rFonts w:ascii="Arial" w:cs="Arial" w:eastAsia="Arial" w:hAnsi="Arial"/>
          <w:sz w:val="24"/>
          <w:szCs w:val="24"/>
          <w:rtl/>
        </w:rPr>
        <w:t xml:space="preserve">فتح باب التصويت الإلكتروني المسبق.</w:t>
      </w:r>
    </w:p>
    <w:p>
      <w:pPr>
        <w:pStyle w:val="Heading2"/>
        <w:bidi/>
        <w:spacing w:after="160" w:before="280"/>
        <w:jc w:val="right"/>
      </w:pPr>
      <w:r>
        <w:rPr>
          <w:rFonts w:ascii="Arial" w:cs="Arial" w:eastAsia="Arial" w:hAnsi="Arial"/>
          <w:b/>
          <w:bCs/>
          <w:color w:val="2E75B6"/>
          <w:sz w:val="30"/>
          <w:szCs w:val="30"/>
          <w:rtl/>
        </w:rPr>
        <w:t xml:space="preserve">2. مهلة الإعلان عن الدعوة</w:t>
      </w:r>
    </w:p>
    <w:p>
      <w:pPr>
        <w:pStyle w:val="Heading3"/>
        <w:bidi/>
        <w:spacing w:after="120" w:before="200"/>
        <w:jc w:val="right"/>
      </w:pPr>
      <w:r>
        <w:rPr>
          <w:rFonts w:ascii="Arial" w:cs="Arial" w:eastAsia="Arial" w:hAnsi="Arial"/>
          <w:b/>
          <w:bCs/>
          <w:color w:val="1F4E79"/>
          <w:sz w:val="26"/>
          <w:szCs w:val="26"/>
          <w:rtl/>
        </w:rPr>
        <w:t xml:space="preserve">للشركات المدرجة</w:t>
      </w:r>
    </w:p>
    <w:p>
      <w:pPr>
        <w:bidi/>
        <w:spacing w:after="140" w:line="320"/>
        <w:jc w:val="both"/>
      </w:pPr>
      <w:r>
        <w:rPr>
          <w:rFonts w:ascii="Arial" w:cs="Arial" w:eastAsia="Arial" w:hAnsi="Arial"/>
          <w:sz w:val="24"/>
          <w:szCs w:val="24"/>
          <w:rtl/>
        </w:rPr>
        <w:t xml:space="preserve">بحسب اللائحة التنفيذية لنظام الشركات الخاصة بشركات المساهمة المدرجة، يجب نشر الدعوة قبل (21) يوماً على الأقل من تاريخ انعقاد الجمعية. هذه المهلة تُتيح:</w:t>
      </w:r>
    </w:p>
    <w:p>
      <w:pPr>
        <w:pStyle w:val="ListParagraph"/>
        <w:numPr>
          <w:ilvl w:val="0"/>
          <w:numId w:val="2"/>
        </w:numPr>
        <w:bidi/>
        <w:spacing w:after="100" w:line="300"/>
        <w:jc w:val="right"/>
      </w:pPr>
      <w:r>
        <w:rPr>
          <w:rFonts w:ascii="Arial" w:cs="Arial" w:eastAsia="Arial" w:hAnsi="Arial"/>
          <w:sz w:val="24"/>
          <w:szCs w:val="24"/>
          <w:rtl/>
        </w:rPr>
        <w:t xml:space="preserve">3 أيام لفتح باب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18 يوماً للمساهمين للاطلاع على الوثائق والتحضير.</w:t>
      </w:r>
    </w:p>
    <w:p>
      <w:pPr>
        <w:pStyle w:val="ListParagraph"/>
        <w:numPr>
          <w:ilvl w:val="0"/>
          <w:numId w:val="2"/>
        </w:numPr>
        <w:bidi/>
        <w:spacing w:after="100" w:line="300"/>
        <w:jc w:val="right"/>
      </w:pPr>
      <w:r>
        <w:rPr>
          <w:rFonts w:ascii="Arial" w:cs="Arial" w:eastAsia="Arial" w:hAnsi="Arial"/>
          <w:sz w:val="24"/>
          <w:szCs w:val="24"/>
          <w:rtl/>
        </w:rPr>
        <w:t xml:space="preserve">إتاحة وقت كافٍ لترتيب التوكيلات.</w:t>
      </w:r>
    </w:p>
    <w:p>
      <w:pPr>
        <w:pStyle w:val="Heading3"/>
        <w:bidi/>
        <w:spacing w:after="120" w:before="200"/>
        <w:jc w:val="right"/>
      </w:pPr>
      <w:r>
        <w:rPr>
          <w:rFonts w:ascii="Arial" w:cs="Arial" w:eastAsia="Arial" w:hAnsi="Arial"/>
          <w:b/>
          <w:bCs/>
          <w:color w:val="1F4E79"/>
          <w:sz w:val="26"/>
          <w:szCs w:val="26"/>
          <w:rtl/>
        </w:rPr>
        <w:t xml:space="preserve">للشركات غير المدرجة</w:t>
      </w:r>
    </w:p>
    <w:p>
      <w:pPr>
        <w:bidi/>
        <w:spacing w:after="140" w:line="320"/>
        <w:jc w:val="both"/>
      </w:pPr>
      <w:r>
        <w:rPr>
          <w:rFonts w:ascii="Arial" w:cs="Arial" w:eastAsia="Arial" w:hAnsi="Arial"/>
          <w:sz w:val="24"/>
          <w:szCs w:val="24"/>
          <w:rtl/>
        </w:rPr>
        <w:t xml:space="preserve">يحدد النظام الأساس للشركة المهلة، شريطة ألا تقل عن (10) أيام. وفي حال عدم تحديد المهلة، تُطبَّق المدد المنصوص عليها في النظام واللائحة التنفيذية.</w:t>
      </w:r>
    </w:p>
    <w:p>
      <w:pPr>
        <w:pStyle w:val="Heading2"/>
        <w:bidi/>
        <w:spacing w:after="160" w:before="280"/>
        <w:jc w:val="right"/>
      </w:pPr>
      <w:r>
        <w:rPr>
          <w:rFonts w:ascii="Arial" w:cs="Arial" w:eastAsia="Arial" w:hAnsi="Arial"/>
          <w:b/>
          <w:bCs/>
          <w:color w:val="2E75B6"/>
          <w:sz w:val="30"/>
          <w:szCs w:val="30"/>
          <w:rtl/>
        </w:rPr>
        <w:t xml:space="preserve">3. آلية حساب المهلة</w:t>
      </w:r>
    </w:p>
    <w:p>
      <w:pPr>
        <w:pStyle w:val="Heading3"/>
        <w:bidi/>
        <w:spacing w:after="120" w:before="200"/>
        <w:jc w:val="right"/>
      </w:pPr>
      <w:r>
        <w:rPr>
          <w:rFonts w:ascii="Arial" w:cs="Arial" w:eastAsia="Arial" w:hAnsi="Arial"/>
          <w:b/>
          <w:bCs/>
          <w:color w:val="1F4E79"/>
          <w:sz w:val="26"/>
          <w:szCs w:val="26"/>
          <w:rtl/>
        </w:rPr>
        <w:t xml:space="preserve">بداية المهلة</w:t>
      </w:r>
    </w:p>
    <w:p>
      <w:pPr>
        <w:bidi/>
        <w:spacing w:after="140" w:line="320"/>
        <w:jc w:val="both"/>
      </w:pPr>
      <w:r>
        <w:rPr>
          <w:rFonts w:ascii="Arial" w:cs="Arial" w:eastAsia="Arial" w:hAnsi="Arial"/>
          <w:sz w:val="24"/>
          <w:szCs w:val="24"/>
          <w:rtl/>
        </w:rPr>
        <w:t xml:space="preserve">تُحسب المهلة من تاريخ نشر الدعوة في القنوات المعتمدة، وليس من تاريخ قرار مجلس الإدارة بالدعوة. وعند احتساب المدة:</w:t>
      </w:r>
    </w:p>
    <w:p>
      <w:pPr>
        <w:pStyle w:val="ListParagraph"/>
        <w:numPr>
          <w:ilvl w:val="0"/>
          <w:numId w:val="2"/>
        </w:numPr>
        <w:bidi/>
        <w:spacing w:after="100" w:line="300"/>
        <w:jc w:val="right"/>
      </w:pPr>
      <w:r>
        <w:rPr>
          <w:rFonts w:ascii="Arial" w:cs="Arial" w:eastAsia="Arial" w:hAnsi="Arial"/>
          <w:sz w:val="24"/>
          <w:szCs w:val="24"/>
          <w:rtl/>
        </w:rPr>
        <w:t xml:space="preserve">يوم نشر الدعوة لا يُحسب ضمن المهلة.</w:t>
      </w:r>
    </w:p>
    <w:p>
      <w:pPr>
        <w:pStyle w:val="ListParagraph"/>
        <w:numPr>
          <w:ilvl w:val="0"/>
          <w:numId w:val="2"/>
        </w:numPr>
        <w:bidi/>
        <w:spacing w:after="100" w:line="300"/>
        <w:jc w:val="right"/>
      </w:pPr>
      <w:r>
        <w:rPr>
          <w:rFonts w:ascii="Arial" w:cs="Arial" w:eastAsia="Arial" w:hAnsi="Arial"/>
          <w:sz w:val="24"/>
          <w:szCs w:val="24"/>
          <w:rtl/>
        </w:rPr>
        <w:t xml:space="preserve">يوم انعقاد الجمعية لا يُحسب ضمن المهلة.</w:t>
      </w:r>
    </w:p>
    <w:p>
      <w:pPr>
        <w:pStyle w:val="ListParagraph"/>
        <w:numPr>
          <w:ilvl w:val="0"/>
          <w:numId w:val="2"/>
        </w:numPr>
        <w:bidi/>
        <w:spacing w:after="100" w:line="300"/>
        <w:jc w:val="right"/>
      </w:pPr>
      <w:r>
        <w:rPr>
          <w:rFonts w:ascii="Arial" w:cs="Arial" w:eastAsia="Arial" w:hAnsi="Arial"/>
          <w:sz w:val="24"/>
          <w:szCs w:val="24"/>
          <w:rtl/>
        </w:rPr>
        <w:t xml:space="preserve">الإجازات الرسمية تُحسب ضمن المدة.</w:t>
      </w:r>
    </w:p>
    <w:p>
      <w:pPr>
        <w:pStyle w:val="ListParagraph"/>
        <w:numPr>
          <w:ilvl w:val="0"/>
          <w:numId w:val="2"/>
        </w:numPr>
        <w:bidi/>
        <w:spacing w:after="100" w:line="300"/>
        <w:jc w:val="right"/>
      </w:pPr>
      <w:r>
        <w:rPr>
          <w:rFonts w:ascii="Arial" w:cs="Arial" w:eastAsia="Arial" w:hAnsi="Arial"/>
          <w:sz w:val="24"/>
          <w:szCs w:val="24"/>
          <w:rtl/>
        </w:rPr>
        <w:t xml:space="preserve">المدة تتم بأيام تقويمية لا أيام عمل.</w:t>
      </w:r>
    </w:p>
    <w:p>
      <w:pPr>
        <w:pStyle w:val="Heading2"/>
        <w:bidi/>
        <w:spacing w:after="160" w:before="280"/>
        <w:jc w:val="right"/>
      </w:pPr>
      <w:r>
        <w:rPr>
          <w:rFonts w:ascii="Arial" w:cs="Arial" w:eastAsia="Arial" w:hAnsi="Arial"/>
          <w:b/>
          <w:bCs/>
          <w:color w:val="2E75B6"/>
          <w:sz w:val="30"/>
          <w:szCs w:val="30"/>
          <w:rtl/>
        </w:rPr>
        <w:t xml:space="preserve">4. مهل الاجتماعات اللاحقة</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31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الاجتماع</w:t>
            </w:r>
          </w:p>
        </w:tc>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المهلة</w:t>
            </w:r>
          </w:p>
        </w:tc>
        <w:tc>
          <w:tcPr>
            <w:tcW w:type="dxa" w:w="31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ملاحظات</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الأول (العادية)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21 يوماً قبل الانعقاد</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للشركات المدرجة</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الثاني (العادية)</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ساعة من نهاية الأول</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إذا ذُكر في الدعوة الأولى</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الأول (غير العادية)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21 يوماً قبل الانعقاد</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للشركات المدرجة</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الثاني (غير العادية)</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ساعة من نهاية الأول</w:t>
            </w:r>
          </w:p>
        </w:tc>
        <w:tc>
          <w:tcPr>
            <w:tcW w:type="dxa" w:w="31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نصاب ربع الأسهم</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الاجتماع الثالث (غير العادية)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21 يوماً</w:t>
            </w:r>
          </w:p>
        </w:tc>
        <w:tc>
          <w:tcPr>
            <w:tcW w:type="dxa" w:w="31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بدعوة جديدة منفصلة</w:t>
            </w:r>
          </w:p>
        </w:tc>
      </w:tr>
    </w:tbl>
    <w:p>
      <w:pPr>
        <w:pStyle w:val="Heading2"/>
        <w:bidi/>
        <w:spacing w:after="160" w:before="280"/>
        <w:jc w:val="right"/>
      </w:pPr>
      <w:r>
        <w:rPr>
          <w:rFonts w:ascii="Arial" w:cs="Arial" w:eastAsia="Arial" w:hAnsi="Arial"/>
          <w:b/>
          <w:bCs/>
          <w:color w:val="2E75B6"/>
          <w:sz w:val="30"/>
          <w:szCs w:val="30"/>
          <w:rtl/>
        </w:rPr>
        <w:t xml:space="preserve">5. توقيت الجمعية السنوية</w:t>
      </w:r>
    </w:p>
    <w:p>
      <w:pPr>
        <w:bidi/>
        <w:spacing w:after="140" w:line="320"/>
        <w:jc w:val="both"/>
      </w:pPr>
      <w:r>
        <w:rPr>
          <w:rFonts w:ascii="Arial" w:cs="Arial" w:eastAsia="Arial" w:hAnsi="Arial"/>
          <w:sz w:val="24"/>
          <w:szCs w:val="24"/>
          <w:rtl/>
        </w:rPr>
        <w:t xml:space="preserve">الجمعية العامة العادية السنوية لها إطار زمني محدد:</w:t>
      </w:r>
    </w:p>
    <w:p>
      <w:pPr>
        <w:pStyle w:val="ListParagraph"/>
        <w:numPr>
          <w:ilvl w:val="0"/>
          <w:numId w:val="2"/>
        </w:numPr>
        <w:bidi/>
        <w:spacing w:after="100" w:line="300"/>
        <w:jc w:val="right"/>
      </w:pPr>
      <w:r>
        <w:rPr>
          <w:rFonts w:ascii="Arial" w:cs="Arial" w:eastAsia="Arial" w:hAnsi="Arial"/>
          <w:sz w:val="24"/>
          <w:szCs w:val="24"/>
          <w:rtl/>
        </w:rPr>
        <w:t xml:space="preserve">يجب أن تُعقد خلال 6 أشهر من نهاية السنة المالية.</w:t>
      </w:r>
    </w:p>
    <w:p>
      <w:pPr>
        <w:pStyle w:val="ListParagraph"/>
        <w:numPr>
          <w:ilvl w:val="0"/>
          <w:numId w:val="2"/>
        </w:numPr>
        <w:bidi/>
        <w:spacing w:after="100" w:line="300"/>
        <w:jc w:val="right"/>
      </w:pPr>
      <w:r>
        <w:rPr>
          <w:rFonts w:ascii="Arial" w:cs="Arial" w:eastAsia="Arial" w:hAnsi="Arial"/>
          <w:sz w:val="24"/>
          <w:szCs w:val="24"/>
          <w:rtl/>
        </w:rPr>
        <w:t xml:space="preserve">يُفضّل عدم الانتظار لآخر فترة الـ 6 أشهر.</w:t>
      </w:r>
    </w:p>
    <w:p>
      <w:pPr>
        <w:pStyle w:val="ListParagraph"/>
        <w:numPr>
          <w:ilvl w:val="0"/>
          <w:numId w:val="2"/>
        </w:numPr>
        <w:bidi/>
        <w:spacing w:after="100" w:line="300"/>
        <w:jc w:val="right"/>
      </w:pPr>
      <w:r>
        <w:rPr>
          <w:rFonts w:ascii="Arial" w:cs="Arial" w:eastAsia="Arial" w:hAnsi="Arial"/>
          <w:sz w:val="24"/>
          <w:szCs w:val="24"/>
          <w:rtl/>
        </w:rPr>
        <w:t xml:space="preserve">التوقيت الأمثل: من شهرين إلى أربعة أشهر بعد نهاية السنة.</w:t>
      </w:r>
    </w:p>
    <w:p>
      <w:pPr>
        <w:pStyle w:val="ListParagraph"/>
        <w:numPr>
          <w:ilvl w:val="0"/>
          <w:numId w:val="2"/>
        </w:numPr>
        <w:bidi/>
        <w:spacing w:after="100" w:line="300"/>
        <w:jc w:val="right"/>
      </w:pPr>
      <w:r>
        <w:rPr>
          <w:rFonts w:ascii="Arial" w:cs="Arial" w:eastAsia="Arial" w:hAnsi="Arial"/>
          <w:sz w:val="24"/>
          <w:szCs w:val="24"/>
          <w:rtl/>
        </w:rPr>
        <w:t xml:space="preserve">يجب مراعاة المواعيد العامة وعدم التزامن مع جمعيات أخرى.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نصيحة عملية</w:t>
            </w:r>
          </w:p>
          <w:p>
            <w:pPr>
              <w:bidi/>
              <w:spacing w:line="300"/>
              <w:jc w:val="both"/>
            </w:pPr>
            <w:r>
              <w:rPr>
                <w:rFonts w:ascii="Arial" w:cs="Arial" w:eastAsia="Arial" w:hAnsi="Arial"/>
                <w:sz w:val="24"/>
                <w:szCs w:val="24"/>
                <w:rtl/>
              </w:rPr>
              <w:t xml:space="preserve">اختيار موعد الجمعية يجب أن يأخذ في الاعتبار: (1) إكمال مراجعة القوائم المالية، (2) إعداد التقارير المختلفة، (3) تجنب الإجازات الرسمية والمواسم، (4) عدم التزامن مع جمعيات شركات منافسة كبرى، (5) مراعاة فروق التوقيت للمساهمين الأجانب. الشركات الرائدة تخطط لجمعياتها قبل سنة كاملة وتعلن عن موعدها التقريبي في وقت مبكر.</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القنوات المعتمدة لنشر الدعوة</w:t>
      </w:r>
    </w:p>
    <w:p>
      <w:pPr>
        <w:bidi/>
        <w:spacing w:after="140" w:line="320"/>
        <w:jc w:val="both"/>
      </w:pPr>
      <w:r>
        <w:rPr>
          <w:rFonts w:ascii="Arial" w:cs="Arial" w:eastAsia="Arial" w:hAnsi="Arial"/>
          <w:sz w:val="24"/>
          <w:szCs w:val="24"/>
          <w:rtl/>
        </w:rPr>
        <w:t xml:space="preserve">لضمان وصول الدعوة لجميع المساهمين، حدد النظام واللوائح قنوات محددة يجب استخدامها بشكل متكامل:</w:t>
      </w:r>
    </w:p>
    <w:p>
      <w:pPr>
        <w:pStyle w:val="Heading2"/>
        <w:bidi/>
        <w:spacing w:after="160" w:before="280"/>
        <w:jc w:val="right"/>
      </w:pPr>
      <w:r>
        <w:rPr>
          <w:rFonts w:ascii="Arial" w:cs="Arial" w:eastAsia="Arial" w:hAnsi="Arial"/>
          <w:b/>
          <w:bCs/>
          <w:color w:val="2E75B6"/>
          <w:sz w:val="30"/>
          <w:szCs w:val="30"/>
          <w:rtl/>
        </w:rPr>
        <w:t xml:space="preserve">1. للشركات المدرجة</w:t>
      </w:r>
    </w:p>
    <w:p>
      <w:pPr>
        <w:pStyle w:val="Heading3"/>
        <w:bidi/>
        <w:spacing w:after="120" w:before="200"/>
        <w:jc w:val="right"/>
      </w:pPr>
      <w:r>
        <w:rPr>
          <w:rFonts w:ascii="Arial" w:cs="Arial" w:eastAsia="Arial" w:hAnsi="Arial"/>
          <w:b/>
          <w:bCs/>
          <w:color w:val="1F4E79"/>
          <w:sz w:val="26"/>
          <w:szCs w:val="26"/>
          <w:rtl/>
        </w:rPr>
        <w:t xml:space="preserve">(أ) منصة "تداول"</w:t>
      </w:r>
    </w:p>
    <w:p>
      <w:pPr>
        <w:pStyle w:val="ListParagraph"/>
        <w:numPr>
          <w:ilvl w:val="0"/>
          <w:numId w:val="2"/>
        </w:numPr>
        <w:bidi/>
        <w:spacing w:after="100" w:line="300"/>
        <w:jc w:val="right"/>
      </w:pPr>
      <w:r>
        <w:rPr>
          <w:rFonts w:ascii="Arial" w:cs="Arial" w:eastAsia="Arial" w:hAnsi="Arial"/>
          <w:sz w:val="24"/>
          <w:szCs w:val="24"/>
          <w:rtl/>
        </w:rPr>
        <w:t xml:space="preserve">القناة الرئيسية والأولى للنشر.</w:t>
      </w:r>
    </w:p>
    <w:p>
      <w:pPr>
        <w:pStyle w:val="ListParagraph"/>
        <w:numPr>
          <w:ilvl w:val="0"/>
          <w:numId w:val="2"/>
        </w:numPr>
        <w:bidi/>
        <w:spacing w:after="100" w:line="300"/>
        <w:jc w:val="right"/>
      </w:pPr>
      <w:r>
        <w:rPr>
          <w:rFonts w:ascii="Arial" w:cs="Arial" w:eastAsia="Arial" w:hAnsi="Arial"/>
          <w:sz w:val="24"/>
          <w:szCs w:val="24"/>
          <w:rtl/>
        </w:rPr>
        <w:t xml:space="preserve">النشر فيها يُعتبر إخطاراً رسمياً لجميع المتعاملين.</w:t>
      </w:r>
    </w:p>
    <w:p>
      <w:pPr>
        <w:pStyle w:val="ListParagraph"/>
        <w:numPr>
          <w:ilvl w:val="0"/>
          <w:numId w:val="2"/>
        </w:numPr>
        <w:bidi/>
        <w:spacing w:after="100" w:line="300"/>
        <w:jc w:val="right"/>
      </w:pPr>
      <w:r>
        <w:rPr>
          <w:rFonts w:ascii="Arial" w:cs="Arial" w:eastAsia="Arial" w:hAnsi="Arial"/>
          <w:sz w:val="24"/>
          <w:szCs w:val="24"/>
          <w:rtl/>
        </w:rPr>
        <w:t xml:space="preserve">يُتاح للجمهور بشكل مفتوح.</w:t>
      </w:r>
    </w:p>
    <w:p>
      <w:pPr>
        <w:pStyle w:val="ListParagraph"/>
        <w:numPr>
          <w:ilvl w:val="0"/>
          <w:numId w:val="2"/>
        </w:numPr>
        <w:bidi/>
        <w:spacing w:after="100" w:line="300"/>
        <w:jc w:val="right"/>
      </w:pPr>
      <w:r>
        <w:rPr>
          <w:rFonts w:ascii="Arial" w:cs="Arial" w:eastAsia="Arial" w:hAnsi="Arial"/>
          <w:sz w:val="24"/>
          <w:szCs w:val="24"/>
          <w:rtl/>
        </w:rPr>
        <w:t xml:space="preserve">يُحفظ في الأرشيف الرسمي للسوق.</w:t>
      </w:r>
    </w:p>
    <w:p>
      <w:pPr>
        <w:pStyle w:val="ListParagraph"/>
        <w:numPr>
          <w:ilvl w:val="0"/>
          <w:numId w:val="2"/>
        </w:numPr>
        <w:bidi/>
        <w:spacing w:after="100" w:line="300"/>
        <w:jc w:val="right"/>
      </w:pPr>
      <w:r>
        <w:rPr>
          <w:rFonts w:ascii="Arial" w:cs="Arial" w:eastAsia="Arial" w:hAnsi="Arial"/>
          <w:sz w:val="24"/>
          <w:szCs w:val="24"/>
          <w:rtl/>
        </w:rPr>
        <w:t xml:space="preserve">يُعتبر مرجعاً قانونياً للإثبات.</w:t>
      </w:r>
    </w:p>
    <w:p>
      <w:pPr>
        <w:pStyle w:val="Heading3"/>
        <w:bidi/>
        <w:spacing w:after="120" w:before="200"/>
        <w:jc w:val="right"/>
      </w:pPr>
      <w:r>
        <w:rPr>
          <w:rFonts w:ascii="Arial" w:cs="Arial" w:eastAsia="Arial" w:hAnsi="Arial"/>
          <w:b/>
          <w:bCs/>
          <w:color w:val="1F4E79"/>
          <w:sz w:val="26"/>
          <w:szCs w:val="26"/>
          <w:rtl/>
        </w:rPr>
        <w:t xml:space="preserve">(ب) الموقع الإلكتروني للشركة</w:t>
      </w:r>
    </w:p>
    <w:p>
      <w:pPr>
        <w:pStyle w:val="ListParagraph"/>
        <w:numPr>
          <w:ilvl w:val="0"/>
          <w:numId w:val="2"/>
        </w:numPr>
        <w:bidi/>
        <w:spacing w:after="100" w:line="300"/>
        <w:jc w:val="right"/>
      </w:pPr>
      <w:r>
        <w:rPr>
          <w:rFonts w:ascii="Arial" w:cs="Arial" w:eastAsia="Arial" w:hAnsi="Arial"/>
          <w:sz w:val="24"/>
          <w:szCs w:val="24"/>
          <w:rtl/>
        </w:rPr>
        <w:t xml:space="preserve">في صفحة علاقات المستثمرين.</w:t>
      </w:r>
    </w:p>
    <w:p>
      <w:pPr>
        <w:pStyle w:val="ListParagraph"/>
        <w:numPr>
          <w:ilvl w:val="0"/>
          <w:numId w:val="2"/>
        </w:numPr>
        <w:bidi/>
        <w:spacing w:after="100" w:line="300"/>
        <w:jc w:val="right"/>
      </w:pPr>
      <w:r>
        <w:rPr>
          <w:rFonts w:ascii="Arial" w:cs="Arial" w:eastAsia="Arial" w:hAnsi="Arial"/>
          <w:sz w:val="24"/>
          <w:szCs w:val="24"/>
          <w:rtl/>
        </w:rPr>
        <w:t xml:space="preserve">يجب أن يكون النشر بنفس وقت نشر تداول.</w:t>
      </w:r>
    </w:p>
    <w:p>
      <w:pPr>
        <w:pStyle w:val="ListParagraph"/>
        <w:numPr>
          <w:ilvl w:val="0"/>
          <w:numId w:val="2"/>
        </w:numPr>
        <w:bidi/>
        <w:spacing w:after="100" w:line="300"/>
        <w:jc w:val="right"/>
      </w:pPr>
      <w:r>
        <w:rPr>
          <w:rFonts w:ascii="Arial" w:cs="Arial" w:eastAsia="Arial" w:hAnsi="Arial"/>
          <w:sz w:val="24"/>
          <w:szCs w:val="24"/>
          <w:rtl/>
        </w:rPr>
        <w:t xml:space="preserve">توفير المستندات المرجعية للتحميل.</w:t>
      </w:r>
    </w:p>
    <w:p>
      <w:pPr>
        <w:pStyle w:val="ListParagraph"/>
        <w:numPr>
          <w:ilvl w:val="0"/>
          <w:numId w:val="2"/>
        </w:numPr>
        <w:bidi/>
        <w:spacing w:after="100" w:line="300"/>
        <w:jc w:val="right"/>
      </w:pPr>
      <w:r>
        <w:rPr>
          <w:rFonts w:ascii="Arial" w:cs="Arial" w:eastAsia="Arial" w:hAnsi="Arial"/>
          <w:sz w:val="24"/>
          <w:szCs w:val="24"/>
          <w:rtl/>
        </w:rPr>
        <w:t xml:space="preserve">إتاحة الترجمات (عربي + إنجليزي).</w:t>
      </w:r>
    </w:p>
    <w:p>
      <w:pPr>
        <w:pStyle w:val="Heading3"/>
        <w:bidi/>
        <w:spacing w:after="120" w:before="200"/>
        <w:jc w:val="right"/>
      </w:pPr>
      <w:r>
        <w:rPr>
          <w:rFonts w:ascii="Arial" w:cs="Arial" w:eastAsia="Arial" w:hAnsi="Arial"/>
          <w:b/>
          <w:bCs/>
          <w:color w:val="1F4E79"/>
          <w:sz w:val="26"/>
          <w:szCs w:val="26"/>
          <w:rtl/>
        </w:rPr>
        <w:t xml:space="preserve">(ج) منصة "تداولاتي"</w:t>
      </w:r>
    </w:p>
    <w:p>
      <w:pPr>
        <w:pStyle w:val="ListParagraph"/>
        <w:numPr>
          <w:ilvl w:val="0"/>
          <w:numId w:val="2"/>
        </w:numPr>
        <w:bidi/>
        <w:spacing w:after="100" w:line="300"/>
        <w:jc w:val="right"/>
      </w:pPr>
      <w:r>
        <w:rPr>
          <w:rFonts w:ascii="Arial" w:cs="Arial" w:eastAsia="Arial" w:hAnsi="Arial"/>
          <w:sz w:val="24"/>
          <w:szCs w:val="24"/>
          <w:rtl/>
        </w:rPr>
        <w:t xml:space="preserve">إشعار مباشر للمستثمرين المشتركين.</w:t>
      </w:r>
    </w:p>
    <w:p>
      <w:pPr>
        <w:pStyle w:val="ListParagraph"/>
        <w:numPr>
          <w:ilvl w:val="0"/>
          <w:numId w:val="2"/>
        </w:numPr>
        <w:bidi/>
        <w:spacing w:after="100" w:line="300"/>
        <w:jc w:val="right"/>
      </w:pPr>
      <w:r>
        <w:rPr>
          <w:rFonts w:ascii="Arial" w:cs="Arial" w:eastAsia="Arial" w:hAnsi="Arial"/>
          <w:sz w:val="24"/>
          <w:szCs w:val="24"/>
          <w:rtl/>
        </w:rPr>
        <w:t xml:space="preserve">توفير معلومات شخصية حول حصصهم وأحقيتهم.</w:t>
      </w:r>
    </w:p>
    <w:p>
      <w:pPr>
        <w:pStyle w:val="ListParagraph"/>
        <w:numPr>
          <w:ilvl w:val="0"/>
          <w:numId w:val="2"/>
        </w:numPr>
        <w:bidi/>
        <w:spacing w:after="100" w:line="300"/>
        <w:jc w:val="right"/>
      </w:pPr>
      <w:r>
        <w:rPr>
          <w:rFonts w:ascii="Arial" w:cs="Arial" w:eastAsia="Arial" w:hAnsi="Arial"/>
          <w:sz w:val="24"/>
          <w:szCs w:val="24"/>
          <w:rtl/>
        </w:rPr>
        <w:t xml:space="preserve">إتاحة منظومة التصويت الإلكتروني المسبق.</w:t>
      </w:r>
    </w:p>
    <w:p>
      <w:pPr>
        <w:pStyle w:val="Heading3"/>
        <w:bidi/>
        <w:spacing w:after="120" w:before="200"/>
        <w:jc w:val="right"/>
      </w:pPr>
      <w:r>
        <w:rPr>
          <w:rFonts w:ascii="Arial" w:cs="Arial" w:eastAsia="Arial" w:hAnsi="Arial"/>
          <w:b/>
          <w:bCs/>
          <w:color w:val="1F4E79"/>
          <w:sz w:val="26"/>
          <w:szCs w:val="26"/>
          <w:rtl/>
        </w:rPr>
        <w:t xml:space="preserve">(د) القنوات التقليدية (اختياري)</w:t>
      </w:r>
    </w:p>
    <w:p>
      <w:pPr>
        <w:pStyle w:val="ListParagraph"/>
        <w:numPr>
          <w:ilvl w:val="0"/>
          <w:numId w:val="2"/>
        </w:numPr>
        <w:bidi/>
        <w:spacing w:after="100" w:line="300"/>
        <w:jc w:val="right"/>
      </w:pPr>
      <w:r>
        <w:rPr>
          <w:rFonts w:ascii="Arial" w:cs="Arial" w:eastAsia="Arial" w:hAnsi="Arial"/>
          <w:sz w:val="24"/>
          <w:szCs w:val="24"/>
          <w:rtl/>
        </w:rPr>
        <w:t xml:space="preserve">النشر في صحف يومية واسعة الانتشار.</w:t>
      </w:r>
    </w:p>
    <w:p>
      <w:pPr>
        <w:pStyle w:val="ListParagraph"/>
        <w:numPr>
          <w:ilvl w:val="0"/>
          <w:numId w:val="2"/>
        </w:numPr>
        <w:bidi/>
        <w:spacing w:after="100" w:line="300"/>
        <w:jc w:val="right"/>
      </w:pPr>
      <w:r>
        <w:rPr>
          <w:rFonts w:ascii="Arial" w:cs="Arial" w:eastAsia="Arial" w:hAnsi="Arial"/>
          <w:sz w:val="24"/>
          <w:szCs w:val="24"/>
          <w:rtl/>
        </w:rPr>
        <w:t xml:space="preserve">الإرسال المباشر بالبريد للمساهمين.</w:t>
      </w:r>
    </w:p>
    <w:p>
      <w:pPr>
        <w:pStyle w:val="ListParagraph"/>
        <w:numPr>
          <w:ilvl w:val="0"/>
          <w:numId w:val="2"/>
        </w:numPr>
        <w:bidi/>
        <w:spacing w:after="100" w:line="300"/>
        <w:jc w:val="right"/>
      </w:pPr>
      <w:r>
        <w:rPr>
          <w:rFonts w:ascii="Arial" w:cs="Arial" w:eastAsia="Arial" w:hAnsi="Arial"/>
          <w:sz w:val="24"/>
          <w:szCs w:val="24"/>
          <w:rtl/>
        </w:rPr>
        <w:t xml:space="preserve">الإشعار عبر الرسائل النصية أو البريد الإلكتروني.</w:t>
      </w:r>
    </w:p>
    <w:p>
      <w:pPr>
        <w:pStyle w:val="Heading2"/>
        <w:bidi/>
        <w:spacing w:after="160" w:before="280"/>
        <w:jc w:val="right"/>
      </w:pPr>
      <w:r>
        <w:rPr>
          <w:rFonts w:ascii="Arial" w:cs="Arial" w:eastAsia="Arial" w:hAnsi="Arial"/>
          <w:b/>
          <w:bCs/>
          <w:color w:val="2E75B6"/>
          <w:sz w:val="30"/>
          <w:szCs w:val="30"/>
          <w:rtl/>
        </w:rPr>
        <w:t xml:space="preserve">2. للشركات غير المدرجة</w:t>
      </w:r>
    </w:p>
    <w:p>
      <w:pPr>
        <w:pStyle w:val="Heading3"/>
        <w:bidi/>
        <w:spacing w:after="120" w:before="200"/>
        <w:jc w:val="right"/>
      </w:pPr>
      <w:r>
        <w:rPr>
          <w:rFonts w:ascii="Arial" w:cs="Arial" w:eastAsia="Arial" w:hAnsi="Arial"/>
          <w:b/>
          <w:bCs/>
          <w:color w:val="1F4E79"/>
          <w:sz w:val="26"/>
          <w:szCs w:val="26"/>
          <w:rtl/>
        </w:rPr>
        <w:t xml:space="preserve">(أ) النشر في صحيفة يومية</w:t>
      </w:r>
    </w:p>
    <w:p>
      <w:pPr>
        <w:pStyle w:val="ListParagraph"/>
        <w:numPr>
          <w:ilvl w:val="0"/>
          <w:numId w:val="2"/>
        </w:numPr>
        <w:bidi/>
        <w:spacing w:after="100" w:line="300"/>
        <w:jc w:val="right"/>
      </w:pPr>
      <w:r>
        <w:rPr>
          <w:rFonts w:ascii="Arial" w:cs="Arial" w:eastAsia="Arial" w:hAnsi="Arial"/>
          <w:sz w:val="24"/>
          <w:szCs w:val="24"/>
          <w:rtl/>
        </w:rPr>
        <w:t xml:space="preserve">على الأقل في صحيفة واحدة واسعة الانتشار.</w:t>
      </w:r>
    </w:p>
    <w:p>
      <w:pPr>
        <w:pStyle w:val="ListParagraph"/>
        <w:numPr>
          <w:ilvl w:val="0"/>
          <w:numId w:val="2"/>
        </w:numPr>
        <w:bidi/>
        <w:spacing w:after="100" w:line="300"/>
        <w:jc w:val="right"/>
      </w:pPr>
      <w:r>
        <w:rPr>
          <w:rFonts w:ascii="Arial" w:cs="Arial" w:eastAsia="Arial" w:hAnsi="Arial"/>
          <w:sz w:val="24"/>
          <w:szCs w:val="24"/>
          <w:rtl/>
        </w:rPr>
        <w:t xml:space="preserve">في المنطقة التي يقع فيها المركز الرئيسي للشركة.</w:t>
      </w:r>
    </w:p>
    <w:p>
      <w:pPr>
        <w:pStyle w:val="ListParagraph"/>
        <w:numPr>
          <w:ilvl w:val="0"/>
          <w:numId w:val="2"/>
        </w:numPr>
        <w:bidi/>
        <w:spacing w:after="100" w:line="300"/>
        <w:jc w:val="right"/>
      </w:pPr>
      <w:r>
        <w:rPr>
          <w:rFonts w:ascii="Arial" w:cs="Arial" w:eastAsia="Arial" w:hAnsi="Arial"/>
          <w:sz w:val="24"/>
          <w:szCs w:val="24"/>
          <w:rtl/>
        </w:rPr>
        <w:t xml:space="preserve">الإعلان كاملاً مع جدول الأعمال.</w:t>
      </w:r>
    </w:p>
    <w:p>
      <w:pPr>
        <w:pStyle w:val="Heading3"/>
        <w:bidi/>
        <w:spacing w:after="120" w:before="200"/>
        <w:jc w:val="right"/>
      </w:pPr>
      <w:r>
        <w:rPr>
          <w:rFonts w:ascii="Arial" w:cs="Arial" w:eastAsia="Arial" w:hAnsi="Arial"/>
          <w:b/>
          <w:bCs/>
          <w:color w:val="1F4E79"/>
          <w:sz w:val="26"/>
          <w:szCs w:val="26"/>
          <w:rtl/>
        </w:rPr>
        <w:t xml:space="preserve">(ب) الموقع الإلكتروني للشركة</w:t>
      </w:r>
    </w:p>
    <w:p>
      <w:pPr>
        <w:pStyle w:val="ListParagraph"/>
        <w:numPr>
          <w:ilvl w:val="0"/>
          <w:numId w:val="2"/>
        </w:numPr>
        <w:bidi/>
        <w:spacing w:after="100" w:line="300"/>
        <w:jc w:val="right"/>
      </w:pPr>
      <w:r>
        <w:rPr>
          <w:rFonts w:ascii="Arial" w:cs="Arial" w:eastAsia="Arial" w:hAnsi="Arial"/>
          <w:sz w:val="24"/>
          <w:szCs w:val="24"/>
          <w:rtl/>
        </w:rPr>
        <w:t xml:space="preserve">متطلب إضافي قد يُطلب في النظام الأساس.</w:t>
      </w:r>
    </w:p>
    <w:p>
      <w:pPr>
        <w:pStyle w:val="ListParagraph"/>
        <w:numPr>
          <w:ilvl w:val="0"/>
          <w:numId w:val="2"/>
        </w:numPr>
        <w:bidi/>
        <w:spacing w:after="100" w:line="300"/>
        <w:jc w:val="right"/>
      </w:pPr>
      <w:r>
        <w:rPr>
          <w:rFonts w:ascii="Arial" w:cs="Arial" w:eastAsia="Arial" w:hAnsi="Arial"/>
          <w:sz w:val="24"/>
          <w:szCs w:val="24"/>
          <w:rtl/>
        </w:rPr>
        <w:t xml:space="preserve">توفير المستندات المرجعية.</w:t>
      </w:r>
    </w:p>
    <w:p>
      <w:pPr>
        <w:pStyle w:val="Heading3"/>
        <w:bidi/>
        <w:spacing w:after="120" w:before="200"/>
        <w:jc w:val="right"/>
      </w:pPr>
      <w:r>
        <w:rPr>
          <w:rFonts w:ascii="Arial" w:cs="Arial" w:eastAsia="Arial" w:hAnsi="Arial"/>
          <w:b/>
          <w:bCs/>
          <w:color w:val="1F4E79"/>
          <w:sz w:val="26"/>
          <w:szCs w:val="26"/>
          <w:rtl/>
        </w:rPr>
        <w:t xml:space="preserve">(ج) الإرسال المباشر للمساهمين</w:t>
      </w:r>
    </w:p>
    <w:p>
      <w:pPr>
        <w:pStyle w:val="ListParagraph"/>
        <w:numPr>
          <w:ilvl w:val="0"/>
          <w:numId w:val="2"/>
        </w:numPr>
        <w:bidi/>
        <w:spacing w:after="100" w:line="300"/>
        <w:jc w:val="right"/>
      </w:pPr>
      <w:r>
        <w:rPr>
          <w:rFonts w:ascii="Arial" w:cs="Arial" w:eastAsia="Arial" w:hAnsi="Arial"/>
          <w:sz w:val="24"/>
          <w:szCs w:val="24"/>
          <w:rtl/>
        </w:rPr>
        <w:t xml:space="preserve">بريد عادي على العناوين المسجلة.</w:t>
      </w:r>
    </w:p>
    <w:p>
      <w:pPr>
        <w:pStyle w:val="ListParagraph"/>
        <w:numPr>
          <w:ilvl w:val="0"/>
          <w:numId w:val="2"/>
        </w:numPr>
        <w:bidi/>
        <w:spacing w:after="100" w:line="300"/>
        <w:jc w:val="right"/>
      </w:pPr>
      <w:r>
        <w:rPr>
          <w:rFonts w:ascii="Arial" w:cs="Arial" w:eastAsia="Arial" w:hAnsi="Arial"/>
          <w:sz w:val="24"/>
          <w:szCs w:val="24"/>
          <w:rtl/>
        </w:rPr>
        <w:t xml:space="preserve">بريد إلكتروني إن كان مسجلاً.</w:t>
      </w:r>
    </w:p>
    <w:p>
      <w:pPr>
        <w:pStyle w:val="ListParagraph"/>
        <w:numPr>
          <w:ilvl w:val="0"/>
          <w:numId w:val="2"/>
        </w:numPr>
        <w:bidi/>
        <w:spacing w:after="100" w:line="300"/>
        <w:jc w:val="right"/>
      </w:pPr>
      <w:r>
        <w:rPr>
          <w:rFonts w:ascii="Arial" w:cs="Arial" w:eastAsia="Arial" w:hAnsi="Arial"/>
          <w:sz w:val="24"/>
          <w:szCs w:val="24"/>
          <w:rtl/>
        </w:rPr>
        <w:t xml:space="preserve">رسائل نصية للهواتف المسجلة.</w:t>
      </w:r>
    </w:p>
    <w:p>
      <w:pPr>
        <w:pStyle w:val="Heading3"/>
        <w:bidi/>
        <w:spacing w:after="120" w:before="200"/>
        <w:jc w:val="right"/>
      </w:pPr>
      <w:r>
        <w:rPr>
          <w:rFonts w:ascii="Arial" w:cs="Arial" w:eastAsia="Arial" w:hAnsi="Arial"/>
          <w:b/>
          <w:bCs/>
          <w:color w:val="1F4E79"/>
          <w:sz w:val="26"/>
          <w:szCs w:val="26"/>
          <w:rtl/>
        </w:rPr>
        <w:t xml:space="preserve">(د) الإيداع لدى وزارة التجارة</w:t>
      </w:r>
    </w:p>
    <w:p>
      <w:pPr>
        <w:bidi/>
        <w:spacing w:after="140" w:line="320"/>
        <w:jc w:val="both"/>
      </w:pPr>
      <w:r>
        <w:rPr>
          <w:rFonts w:ascii="Arial" w:cs="Arial" w:eastAsia="Arial" w:hAnsi="Arial"/>
          <w:sz w:val="24"/>
          <w:szCs w:val="24"/>
          <w:rtl/>
        </w:rPr>
        <w:t xml:space="preserve">بحسب نوع الشركة والقرارات المعروضة، قد يستوجب الإيداع الإلكتروني للدعوة لدى وزارة التجارة عبر منصة "إحاطة الوزارة بعقد الجمعية" الإلكترونية.</w:t>
      </w:r>
    </w:p>
    <w:p>
      <w:pPr>
        <w:pStyle w:val="Heading2"/>
        <w:bidi/>
        <w:spacing w:after="160" w:before="280"/>
        <w:jc w:val="right"/>
      </w:pPr>
      <w:r>
        <w:rPr>
          <w:rFonts w:ascii="Arial" w:cs="Arial" w:eastAsia="Arial" w:hAnsi="Arial"/>
          <w:b/>
          <w:bCs/>
          <w:color w:val="2E75B6"/>
          <w:sz w:val="30"/>
          <w:szCs w:val="30"/>
          <w:rtl/>
        </w:rPr>
        <w:t xml:space="preserve">3. وسائل التقنية الحديثة</w:t>
      </w:r>
    </w:p>
    <w:p>
      <w:pPr>
        <w:bidi/>
        <w:spacing w:after="140" w:line="320"/>
        <w:jc w:val="both"/>
      </w:pPr>
      <w:r>
        <w:rPr>
          <w:rFonts w:ascii="Arial" w:cs="Arial" w:eastAsia="Arial" w:hAnsi="Arial"/>
          <w:sz w:val="24"/>
          <w:szCs w:val="24"/>
          <w:rtl/>
        </w:rPr>
        <w:t xml:space="preserve">بحسب اللائحة التنفيذية، يجوز للشركة توجيه الدعوة عبر وسائل التقنية الحديثة، بشرط:</w:t>
      </w:r>
    </w:p>
    <w:p>
      <w:pPr>
        <w:pStyle w:val="ListParagraph"/>
        <w:numPr>
          <w:ilvl w:val="0"/>
          <w:numId w:val="2"/>
        </w:numPr>
        <w:bidi/>
        <w:spacing w:after="100" w:line="300"/>
        <w:jc w:val="right"/>
      </w:pPr>
      <w:r>
        <w:rPr>
          <w:rFonts w:ascii="Arial" w:cs="Arial" w:eastAsia="Arial" w:hAnsi="Arial"/>
          <w:sz w:val="24"/>
          <w:szCs w:val="24"/>
          <w:rtl/>
        </w:rPr>
        <w:t xml:space="preserve">الحصول على موافقة المساهم على هذه الطريقة.</w:t>
      </w:r>
    </w:p>
    <w:p>
      <w:pPr>
        <w:pStyle w:val="ListParagraph"/>
        <w:numPr>
          <w:ilvl w:val="0"/>
          <w:numId w:val="2"/>
        </w:numPr>
        <w:bidi/>
        <w:spacing w:after="100" w:line="300"/>
        <w:jc w:val="right"/>
      </w:pPr>
      <w:r>
        <w:rPr>
          <w:rFonts w:ascii="Arial" w:cs="Arial" w:eastAsia="Arial" w:hAnsi="Arial"/>
          <w:sz w:val="24"/>
          <w:szCs w:val="24"/>
          <w:rtl/>
        </w:rPr>
        <w:t xml:space="preserve">ضمان وصول الإشعار وتسجيل ذلك.</w:t>
      </w:r>
    </w:p>
    <w:p>
      <w:pPr>
        <w:pStyle w:val="ListParagraph"/>
        <w:numPr>
          <w:ilvl w:val="0"/>
          <w:numId w:val="2"/>
        </w:numPr>
        <w:bidi/>
        <w:spacing w:after="100" w:line="300"/>
        <w:jc w:val="right"/>
      </w:pPr>
      <w:r>
        <w:rPr>
          <w:rFonts w:ascii="Arial" w:cs="Arial" w:eastAsia="Arial" w:hAnsi="Arial"/>
          <w:sz w:val="24"/>
          <w:szCs w:val="24"/>
          <w:rtl/>
        </w:rPr>
        <w:t xml:space="preserve">إتاحة المستندات إلكترونياً.</w:t>
      </w:r>
    </w:p>
    <w:p>
      <w:pPr>
        <w:pStyle w:val="ListParagraph"/>
        <w:numPr>
          <w:ilvl w:val="0"/>
          <w:numId w:val="2"/>
        </w:numPr>
        <w:bidi/>
        <w:spacing w:after="100" w:line="300"/>
        <w:jc w:val="right"/>
      </w:pPr>
      <w:r>
        <w:rPr>
          <w:rFonts w:ascii="Arial" w:cs="Arial" w:eastAsia="Arial" w:hAnsi="Arial"/>
          <w:sz w:val="24"/>
          <w:szCs w:val="24"/>
          <w:rtl/>
        </w:rPr>
        <w:t xml:space="preserve">احترام المهل النظامية.</w:t>
      </w:r>
    </w:p>
    <w:p>
      <w:pPr>
        <w:pStyle w:val="Heading2"/>
        <w:bidi/>
        <w:spacing w:after="160" w:before="280"/>
        <w:jc w:val="right"/>
      </w:pPr>
      <w:r>
        <w:rPr>
          <w:rFonts w:ascii="Arial" w:cs="Arial" w:eastAsia="Arial" w:hAnsi="Arial"/>
          <w:b/>
          <w:bCs/>
          <w:color w:val="2E75B6"/>
          <w:sz w:val="30"/>
          <w:szCs w:val="30"/>
          <w:rtl/>
        </w:rPr>
        <w:t xml:space="preserve">4. مبدأ التكامل بين القنوات</w:t>
      </w:r>
    </w:p>
    <w:p>
      <w:pPr>
        <w:bidi/>
        <w:spacing w:after="140" w:line="320"/>
        <w:jc w:val="both"/>
      </w:pPr>
      <w:r>
        <w:rPr>
          <w:rFonts w:ascii="Arial" w:cs="Arial" w:eastAsia="Arial" w:hAnsi="Arial"/>
          <w:sz w:val="24"/>
          <w:szCs w:val="24"/>
          <w:rtl/>
        </w:rPr>
        <w:t xml:space="preserve">الممارسة المثلى تستوجب استخدام عدة قنوات بشكل متكامل:</w:t>
      </w:r>
    </w:p>
    <w:p>
      <w:pPr>
        <w:pStyle w:val="ListParagraph"/>
        <w:numPr>
          <w:ilvl w:val="0"/>
          <w:numId w:val="2"/>
        </w:numPr>
        <w:bidi/>
        <w:spacing w:after="100" w:line="300"/>
        <w:jc w:val="right"/>
      </w:pPr>
      <w:r>
        <w:rPr>
          <w:rFonts w:ascii="Arial" w:cs="Arial" w:eastAsia="Arial" w:hAnsi="Arial"/>
          <w:sz w:val="24"/>
          <w:szCs w:val="24"/>
          <w:rtl/>
        </w:rPr>
        <w:t xml:space="preserve">القنوات الرسمية للإخطار القانوني (تداول).</w:t>
      </w:r>
    </w:p>
    <w:p>
      <w:pPr>
        <w:pStyle w:val="ListParagraph"/>
        <w:numPr>
          <w:ilvl w:val="0"/>
          <w:numId w:val="2"/>
        </w:numPr>
        <w:bidi/>
        <w:spacing w:after="100" w:line="300"/>
        <w:jc w:val="right"/>
      </w:pPr>
      <w:r>
        <w:rPr>
          <w:rFonts w:ascii="Arial" w:cs="Arial" w:eastAsia="Arial" w:hAnsi="Arial"/>
          <w:sz w:val="24"/>
          <w:szCs w:val="24"/>
          <w:rtl/>
        </w:rPr>
        <w:t xml:space="preserve">القنوات المباشرة للوصول الفردي (البريد، الرسائل).</w:t>
      </w:r>
    </w:p>
    <w:p>
      <w:pPr>
        <w:pStyle w:val="ListParagraph"/>
        <w:numPr>
          <w:ilvl w:val="0"/>
          <w:numId w:val="2"/>
        </w:numPr>
        <w:bidi/>
        <w:spacing w:after="100" w:line="300"/>
        <w:jc w:val="right"/>
      </w:pPr>
      <w:r>
        <w:rPr>
          <w:rFonts w:ascii="Arial" w:cs="Arial" w:eastAsia="Arial" w:hAnsi="Arial"/>
          <w:sz w:val="24"/>
          <w:szCs w:val="24"/>
          <w:rtl/>
        </w:rPr>
        <w:t xml:space="preserve">القنوات الإلكترونية للملاءمة والسرعة.</w:t>
      </w:r>
    </w:p>
    <w:p>
      <w:pPr>
        <w:pStyle w:val="ListParagraph"/>
        <w:numPr>
          <w:ilvl w:val="0"/>
          <w:numId w:val="2"/>
        </w:numPr>
        <w:bidi/>
        <w:spacing w:after="100" w:line="300"/>
        <w:jc w:val="right"/>
      </w:pPr>
      <w:r>
        <w:rPr>
          <w:rFonts w:ascii="Arial" w:cs="Arial" w:eastAsia="Arial" w:hAnsi="Arial"/>
          <w:sz w:val="24"/>
          <w:szCs w:val="24"/>
          <w:rtl/>
        </w:rPr>
        <w:t xml:space="preserve">القنوات التقليدية للمساهمين التقليديين.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المحتوى الإلزامي للدعوة</w:t>
      </w:r>
    </w:p>
    <w:p>
      <w:pPr>
        <w:bidi/>
        <w:spacing w:after="140" w:line="320"/>
        <w:jc w:val="both"/>
      </w:pPr>
      <w:r>
        <w:rPr>
          <w:rFonts w:ascii="Arial" w:cs="Arial" w:eastAsia="Arial" w:hAnsi="Arial"/>
          <w:sz w:val="24"/>
          <w:szCs w:val="24"/>
          <w:rtl/>
        </w:rPr>
        <w:t xml:space="preserve">الدعوة يجب أن تتضمن معلومات محددة كحد أدنى، لتكون صحيحة قانونياً وفعّالة عملياً:</w:t>
      </w:r>
    </w:p>
    <w:p>
      <w:pPr>
        <w:pStyle w:val="Heading2"/>
        <w:bidi/>
        <w:spacing w:after="160" w:before="280"/>
        <w:jc w:val="right"/>
      </w:pPr>
      <w:r>
        <w:rPr>
          <w:rFonts w:ascii="Arial" w:cs="Arial" w:eastAsia="Arial" w:hAnsi="Arial"/>
          <w:b/>
          <w:bCs/>
          <w:color w:val="2E75B6"/>
          <w:sz w:val="30"/>
          <w:szCs w:val="30"/>
          <w:rtl/>
        </w:rPr>
        <w:t xml:space="preserve">1. البيانات التعريفية للشركة</w:t>
      </w:r>
    </w:p>
    <w:p>
      <w:pPr>
        <w:pStyle w:val="ListParagraph"/>
        <w:numPr>
          <w:ilvl w:val="0"/>
          <w:numId w:val="2"/>
        </w:numPr>
        <w:bidi/>
        <w:spacing w:after="100" w:line="300"/>
        <w:jc w:val="right"/>
      </w:pPr>
      <w:r>
        <w:rPr>
          <w:rFonts w:ascii="Arial" w:cs="Arial" w:eastAsia="Arial" w:hAnsi="Arial"/>
          <w:sz w:val="24"/>
          <w:szCs w:val="24"/>
          <w:rtl/>
        </w:rPr>
        <w:t xml:space="preserve">الاسم التجاري الكامل.</w:t>
      </w:r>
    </w:p>
    <w:p>
      <w:pPr>
        <w:pStyle w:val="ListParagraph"/>
        <w:numPr>
          <w:ilvl w:val="0"/>
          <w:numId w:val="2"/>
        </w:numPr>
        <w:bidi/>
        <w:spacing w:after="100" w:line="300"/>
        <w:jc w:val="right"/>
      </w:pPr>
      <w:r>
        <w:rPr>
          <w:rFonts w:ascii="Arial" w:cs="Arial" w:eastAsia="Arial" w:hAnsi="Arial"/>
          <w:sz w:val="24"/>
          <w:szCs w:val="24"/>
          <w:rtl/>
        </w:rPr>
        <w:t xml:space="preserve">الكيان القانوني (شركة مساهمة سعودية).</w:t>
      </w:r>
    </w:p>
    <w:p>
      <w:pPr>
        <w:pStyle w:val="ListParagraph"/>
        <w:numPr>
          <w:ilvl w:val="0"/>
          <w:numId w:val="2"/>
        </w:numPr>
        <w:bidi/>
        <w:spacing w:after="100" w:line="300"/>
        <w:jc w:val="right"/>
      </w:pPr>
      <w:r>
        <w:rPr>
          <w:rFonts w:ascii="Arial" w:cs="Arial" w:eastAsia="Arial" w:hAnsi="Arial"/>
          <w:sz w:val="24"/>
          <w:szCs w:val="24"/>
          <w:rtl/>
        </w:rPr>
        <w:t xml:space="preserve">رقم السجل التجاري.</w:t>
      </w:r>
    </w:p>
    <w:p>
      <w:pPr>
        <w:pStyle w:val="ListParagraph"/>
        <w:numPr>
          <w:ilvl w:val="0"/>
          <w:numId w:val="2"/>
        </w:numPr>
        <w:bidi/>
        <w:spacing w:after="100" w:line="300"/>
        <w:jc w:val="right"/>
      </w:pPr>
      <w:r>
        <w:rPr>
          <w:rFonts w:ascii="Arial" w:cs="Arial" w:eastAsia="Arial" w:hAnsi="Arial"/>
          <w:sz w:val="24"/>
          <w:szCs w:val="24"/>
          <w:rtl/>
        </w:rPr>
        <w:t xml:space="preserve">المركز الرئيسي والعنوان.</w:t>
      </w:r>
    </w:p>
    <w:p>
      <w:pPr>
        <w:pStyle w:val="ListParagraph"/>
        <w:numPr>
          <w:ilvl w:val="0"/>
          <w:numId w:val="2"/>
        </w:numPr>
        <w:bidi/>
        <w:spacing w:after="100" w:line="300"/>
        <w:jc w:val="right"/>
      </w:pPr>
      <w:r>
        <w:rPr>
          <w:rFonts w:ascii="Arial" w:cs="Arial" w:eastAsia="Arial" w:hAnsi="Arial"/>
          <w:sz w:val="24"/>
          <w:szCs w:val="24"/>
          <w:rtl/>
        </w:rPr>
        <w:t xml:space="preserve">الرأسمال المصدر.</w:t>
      </w:r>
    </w:p>
    <w:p>
      <w:pPr>
        <w:pStyle w:val="ListParagraph"/>
        <w:numPr>
          <w:ilvl w:val="0"/>
          <w:numId w:val="2"/>
        </w:numPr>
        <w:bidi/>
        <w:spacing w:after="100" w:line="300"/>
        <w:jc w:val="right"/>
      </w:pPr>
      <w:r>
        <w:rPr>
          <w:rFonts w:ascii="Arial" w:cs="Arial" w:eastAsia="Arial" w:hAnsi="Arial"/>
          <w:sz w:val="24"/>
          <w:szCs w:val="24"/>
          <w:rtl/>
        </w:rPr>
        <w:t xml:space="preserve">شعار الشركة (للتعريف البصري).</w:t>
      </w:r>
    </w:p>
    <w:p>
      <w:pPr>
        <w:pStyle w:val="Heading2"/>
        <w:bidi/>
        <w:spacing w:after="160" w:before="280"/>
        <w:jc w:val="right"/>
      </w:pPr>
      <w:r>
        <w:rPr>
          <w:rFonts w:ascii="Arial" w:cs="Arial" w:eastAsia="Arial" w:hAnsi="Arial"/>
          <w:b/>
          <w:bCs/>
          <w:color w:val="2E75B6"/>
          <w:sz w:val="30"/>
          <w:szCs w:val="30"/>
          <w:rtl/>
        </w:rPr>
        <w:t xml:space="preserve">2. بيانات الجمعية</w:t>
      </w:r>
    </w:p>
    <w:p>
      <w:pPr>
        <w:pStyle w:val="Heading3"/>
        <w:bidi/>
        <w:spacing w:after="120" w:before="200"/>
        <w:jc w:val="right"/>
      </w:pPr>
      <w:r>
        <w:rPr>
          <w:rFonts w:ascii="Arial" w:cs="Arial" w:eastAsia="Arial" w:hAnsi="Arial"/>
          <w:b/>
          <w:bCs/>
          <w:color w:val="1F4E79"/>
          <w:sz w:val="26"/>
          <w:szCs w:val="26"/>
          <w:rtl/>
        </w:rPr>
        <w:t xml:space="preserve">(أ) نوع الجمعية</w:t>
      </w:r>
    </w:p>
    <w:p>
      <w:pPr>
        <w:pStyle w:val="ListParagraph"/>
        <w:numPr>
          <w:ilvl w:val="0"/>
          <w:numId w:val="2"/>
        </w:numPr>
        <w:bidi/>
        <w:spacing w:after="100" w:line="300"/>
        <w:jc w:val="right"/>
      </w:pPr>
      <w:r>
        <w:rPr>
          <w:rFonts w:ascii="Arial" w:cs="Arial" w:eastAsia="Arial" w:hAnsi="Arial"/>
          <w:sz w:val="24"/>
          <w:szCs w:val="24"/>
          <w:rtl/>
        </w:rPr>
        <w:t xml:space="preserve">جمعية عامة عادية.</w:t>
      </w:r>
    </w:p>
    <w:p>
      <w:pPr>
        <w:pStyle w:val="ListParagraph"/>
        <w:numPr>
          <w:ilvl w:val="0"/>
          <w:numId w:val="2"/>
        </w:numPr>
        <w:bidi/>
        <w:spacing w:after="100" w:line="300"/>
        <w:jc w:val="right"/>
      </w:pPr>
      <w:r>
        <w:rPr>
          <w:rFonts w:ascii="Arial" w:cs="Arial" w:eastAsia="Arial" w:hAnsi="Arial"/>
          <w:sz w:val="24"/>
          <w:szCs w:val="24"/>
          <w:rtl/>
        </w:rPr>
        <w:t xml:space="preserve">جمعية عامة غير عادية.</w:t>
      </w:r>
    </w:p>
    <w:p>
      <w:pPr>
        <w:pStyle w:val="ListParagraph"/>
        <w:numPr>
          <w:ilvl w:val="0"/>
          <w:numId w:val="2"/>
        </w:numPr>
        <w:bidi/>
        <w:spacing w:after="100" w:line="300"/>
        <w:jc w:val="right"/>
      </w:pPr>
      <w:r>
        <w:rPr>
          <w:rFonts w:ascii="Arial" w:cs="Arial" w:eastAsia="Arial" w:hAnsi="Arial"/>
          <w:sz w:val="24"/>
          <w:szCs w:val="24"/>
          <w:rtl/>
        </w:rPr>
        <w:t xml:space="preserve">جمعية خاصة (مع تحديد الفئة).</w:t>
      </w:r>
    </w:p>
    <w:p>
      <w:pPr>
        <w:pStyle w:val="ListParagraph"/>
        <w:numPr>
          <w:ilvl w:val="0"/>
          <w:numId w:val="2"/>
        </w:numPr>
        <w:bidi/>
        <w:spacing w:after="100" w:line="300"/>
        <w:jc w:val="right"/>
      </w:pPr>
      <w:r>
        <w:rPr>
          <w:rFonts w:ascii="Arial" w:cs="Arial" w:eastAsia="Arial" w:hAnsi="Arial"/>
          <w:sz w:val="24"/>
          <w:szCs w:val="24"/>
          <w:rtl/>
        </w:rPr>
        <w:t xml:space="preserve">الرقم التسلسلي للجمعية.</w:t>
      </w:r>
    </w:p>
    <w:p>
      <w:pPr>
        <w:pStyle w:val="Heading3"/>
        <w:bidi/>
        <w:spacing w:after="120" w:before="200"/>
        <w:jc w:val="right"/>
      </w:pPr>
      <w:r>
        <w:rPr>
          <w:rFonts w:ascii="Arial" w:cs="Arial" w:eastAsia="Arial" w:hAnsi="Arial"/>
          <w:b/>
          <w:bCs/>
          <w:color w:val="1F4E79"/>
          <w:sz w:val="26"/>
          <w:szCs w:val="26"/>
          <w:rtl/>
        </w:rPr>
        <w:t xml:space="preserve">(ب) تاريخ ووقت الانعقاد</w:t>
      </w:r>
    </w:p>
    <w:p>
      <w:pPr>
        <w:pStyle w:val="ListParagraph"/>
        <w:numPr>
          <w:ilvl w:val="0"/>
          <w:numId w:val="2"/>
        </w:numPr>
        <w:bidi/>
        <w:spacing w:after="100" w:line="300"/>
        <w:jc w:val="right"/>
      </w:pPr>
      <w:r>
        <w:rPr>
          <w:rFonts w:ascii="Arial" w:cs="Arial" w:eastAsia="Arial" w:hAnsi="Arial"/>
          <w:sz w:val="24"/>
          <w:szCs w:val="24"/>
          <w:rtl/>
        </w:rPr>
        <w:t xml:space="preserve">اليوم والتاريخ بشكل واضح (هجري وميلادي).</w:t>
      </w:r>
    </w:p>
    <w:p>
      <w:pPr>
        <w:pStyle w:val="ListParagraph"/>
        <w:numPr>
          <w:ilvl w:val="0"/>
          <w:numId w:val="2"/>
        </w:numPr>
        <w:bidi/>
        <w:spacing w:after="100" w:line="300"/>
        <w:jc w:val="right"/>
      </w:pPr>
      <w:r>
        <w:rPr>
          <w:rFonts w:ascii="Arial" w:cs="Arial" w:eastAsia="Arial" w:hAnsi="Arial"/>
          <w:sz w:val="24"/>
          <w:szCs w:val="24"/>
          <w:rtl/>
        </w:rPr>
        <w:t xml:space="preserve">الوقت الدقيق (مع تحديد التوقيت إن لزم).</w:t>
      </w:r>
    </w:p>
    <w:p>
      <w:pPr>
        <w:pStyle w:val="ListParagraph"/>
        <w:numPr>
          <w:ilvl w:val="0"/>
          <w:numId w:val="2"/>
        </w:numPr>
        <w:bidi/>
        <w:spacing w:after="100" w:line="300"/>
        <w:jc w:val="right"/>
      </w:pPr>
      <w:r>
        <w:rPr>
          <w:rFonts w:ascii="Arial" w:cs="Arial" w:eastAsia="Arial" w:hAnsi="Arial"/>
          <w:sz w:val="24"/>
          <w:szCs w:val="24"/>
          <w:rtl/>
        </w:rPr>
        <w:t xml:space="preserve">الإشارة إلى الاجتماع الثاني والمهلة المتوقعة.</w:t>
      </w:r>
    </w:p>
    <w:p>
      <w:pPr>
        <w:pStyle w:val="ListParagraph"/>
        <w:numPr>
          <w:ilvl w:val="0"/>
          <w:numId w:val="2"/>
        </w:numPr>
        <w:bidi/>
        <w:spacing w:after="100" w:line="300"/>
        <w:jc w:val="right"/>
      </w:pPr>
      <w:r>
        <w:rPr>
          <w:rFonts w:ascii="Arial" w:cs="Arial" w:eastAsia="Arial" w:hAnsi="Arial"/>
          <w:sz w:val="24"/>
          <w:szCs w:val="24"/>
          <w:rtl/>
        </w:rPr>
        <w:t xml:space="preserve">الإشارة إلى الاجتماع الثالث للجمعيات غير العادية (إن لزم).</w:t>
      </w:r>
    </w:p>
    <w:p>
      <w:pPr>
        <w:pStyle w:val="Heading3"/>
        <w:bidi/>
        <w:spacing w:after="120" w:before="200"/>
        <w:jc w:val="right"/>
      </w:pPr>
      <w:r>
        <w:rPr>
          <w:rFonts w:ascii="Arial" w:cs="Arial" w:eastAsia="Arial" w:hAnsi="Arial"/>
          <w:b/>
          <w:bCs/>
          <w:color w:val="1F4E79"/>
          <w:sz w:val="26"/>
          <w:szCs w:val="26"/>
          <w:rtl/>
        </w:rPr>
        <w:t xml:space="preserve">(ج) مكان الانعقاد</w:t>
      </w:r>
    </w:p>
    <w:p>
      <w:pPr>
        <w:bidi/>
        <w:spacing w:after="140" w:line="320"/>
        <w:jc w:val="both"/>
      </w:pPr>
      <w:r>
        <w:rPr>
          <w:rFonts w:ascii="Arial" w:cs="Arial" w:eastAsia="Arial" w:hAnsi="Arial"/>
          <w:sz w:val="24"/>
          <w:szCs w:val="24"/>
          <w:rtl/>
        </w:rPr>
        <w:t xml:space="preserve">للجمعيات الجسدية:</w:t>
      </w:r>
    </w:p>
    <w:p>
      <w:pPr>
        <w:pStyle w:val="ListParagraph"/>
        <w:numPr>
          <w:ilvl w:val="0"/>
          <w:numId w:val="2"/>
        </w:numPr>
        <w:bidi/>
        <w:spacing w:after="100" w:line="300"/>
        <w:jc w:val="right"/>
      </w:pPr>
      <w:r>
        <w:rPr>
          <w:rFonts w:ascii="Arial" w:cs="Arial" w:eastAsia="Arial" w:hAnsi="Arial"/>
          <w:sz w:val="24"/>
          <w:szCs w:val="24"/>
          <w:rtl/>
        </w:rPr>
        <w:t xml:space="preserve">العنوان الكامل بشكل تفصيلي.</w:t>
      </w:r>
    </w:p>
    <w:p>
      <w:pPr>
        <w:pStyle w:val="ListParagraph"/>
        <w:numPr>
          <w:ilvl w:val="0"/>
          <w:numId w:val="2"/>
        </w:numPr>
        <w:bidi/>
        <w:spacing w:after="100" w:line="300"/>
        <w:jc w:val="right"/>
      </w:pPr>
      <w:r>
        <w:rPr>
          <w:rFonts w:ascii="Arial" w:cs="Arial" w:eastAsia="Arial" w:hAnsi="Arial"/>
          <w:sz w:val="24"/>
          <w:szCs w:val="24"/>
          <w:rtl/>
        </w:rPr>
        <w:t xml:space="preserve">معلومات الوصول والمواقف.</w:t>
      </w:r>
    </w:p>
    <w:p>
      <w:pPr>
        <w:pStyle w:val="ListParagraph"/>
        <w:numPr>
          <w:ilvl w:val="0"/>
          <w:numId w:val="2"/>
        </w:numPr>
        <w:bidi/>
        <w:spacing w:after="100" w:line="300"/>
        <w:jc w:val="right"/>
      </w:pPr>
      <w:r>
        <w:rPr>
          <w:rFonts w:ascii="Arial" w:cs="Arial" w:eastAsia="Arial" w:hAnsi="Arial"/>
          <w:sz w:val="24"/>
          <w:szCs w:val="24"/>
          <w:rtl/>
        </w:rPr>
        <w:t xml:space="preserve">الخارطة (إن وُجدت).</w:t>
      </w:r>
    </w:p>
    <w:p>
      <w:pPr>
        <w:pStyle w:val="ListParagraph"/>
        <w:numPr>
          <w:ilvl w:val="0"/>
          <w:numId w:val="2"/>
        </w:numPr>
        <w:bidi/>
        <w:spacing w:after="100" w:line="300"/>
        <w:jc w:val="right"/>
      </w:pPr>
      <w:r>
        <w:rPr>
          <w:rFonts w:ascii="Arial" w:cs="Arial" w:eastAsia="Arial" w:hAnsi="Arial"/>
          <w:sz w:val="24"/>
          <w:szCs w:val="24"/>
          <w:rtl/>
        </w:rPr>
        <w:t xml:space="preserve">بدائل الانعقاد (إن وُجدت).</w:t>
      </w:r>
    </w:p>
    <w:p>
      <w:pPr>
        <w:bidi/>
        <w:spacing w:after="140" w:line="320"/>
        <w:jc w:val="both"/>
      </w:pPr>
      <w:r>
        <w:rPr>
          <w:rFonts w:ascii="Arial" w:cs="Arial" w:eastAsia="Arial" w:hAnsi="Arial"/>
          <w:sz w:val="24"/>
          <w:szCs w:val="24"/>
          <w:rtl/>
        </w:rPr>
        <w:t xml:space="preserve">للجمعيات الافتراضية:</w:t>
      </w:r>
    </w:p>
    <w:p>
      <w:pPr>
        <w:pStyle w:val="ListParagraph"/>
        <w:numPr>
          <w:ilvl w:val="0"/>
          <w:numId w:val="2"/>
        </w:numPr>
        <w:bidi/>
        <w:spacing w:after="100" w:line="300"/>
        <w:jc w:val="right"/>
      </w:pPr>
      <w:r>
        <w:rPr>
          <w:rFonts w:ascii="Arial" w:cs="Arial" w:eastAsia="Arial" w:hAnsi="Arial"/>
          <w:sz w:val="24"/>
          <w:szCs w:val="24"/>
          <w:rtl/>
        </w:rPr>
        <w:t xml:space="preserve">المنصة الإلكترونية المستخدمة.</w:t>
      </w:r>
    </w:p>
    <w:p>
      <w:pPr>
        <w:pStyle w:val="ListParagraph"/>
        <w:numPr>
          <w:ilvl w:val="0"/>
          <w:numId w:val="2"/>
        </w:numPr>
        <w:bidi/>
        <w:spacing w:after="100" w:line="300"/>
        <w:jc w:val="right"/>
      </w:pPr>
      <w:r>
        <w:rPr>
          <w:rFonts w:ascii="Arial" w:cs="Arial" w:eastAsia="Arial" w:hAnsi="Arial"/>
          <w:sz w:val="24"/>
          <w:szCs w:val="24"/>
          <w:rtl/>
        </w:rPr>
        <w:t xml:space="preserve">روابط الدخول.</w:t>
      </w:r>
    </w:p>
    <w:p>
      <w:pPr>
        <w:pStyle w:val="ListParagraph"/>
        <w:numPr>
          <w:ilvl w:val="0"/>
          <w:numId w:val="2"/>
        </w:numPr>
        <w:bidi/>
        <w:spacing w:after="100" w:line="300"/>
        <w:jc w:val="right"/>
      </w:pPr>
      <w:r>
        <w:rPr>
          <w:rFonts w:ascii="Arial" w:cs="Arial" w:eastAsia="Arial" w:hAnsi="Arial"/>
          <w:sz w:val="24"/>
          <w:szCs w:val="24"/>
          <w:rtl/>
        </w:rPr>
        <w:t xml:space="preserve">متطلبات تقنية أساسية.</w:t>
      </w:r>
    </w:p>
    <w:p>
      <w:pPr>
        <w:pStyle w:val="ListParagraph"/>
        <w:numPr>
          <w:ilvl w:val="0"/>
          <w:numId w:val="2"/>
        </w:numPr>
        <w:bidi/>
        <w:spacing w:after="100" w:line="300"/>
        <w:jc w:val="right"/>
      </w:pPr>
      <w:r>
        <w:rPr>
          <w:rFonts w:ascii="Arial" w:cs="Arial" w:eastAsia="Arial" w:hAnsi="Arial"/>
          <w:sz w:val="24"/>
          <w:szCs w:val="24"/>
          <w:rtl/>
        </w:rPr>
        <w:t xml:space="preserve">الدعم الفني المتاح.</w:t>
      </w:r>
    </w:p>
    <w:p>
      <w:pPr>
        <w:pStyle w:val="Heading2"/>
        <w:bidi/>
        <w:spacing w:after="160" w:before="280"/>
        <w:jc w:val="right"/>
      </w:pPr>
      <w:r>
        <w:rPr>
          <w:rFonts w:ascii="Arial" w:cs="Arial" w:eastAsia="Arial" w:hAnsi="Arial"/>
          <w:b/>
          <w:bCs/>
          <w:color w:val="2E75B6"/>
          <w:sz w:val="30"/>
          <w:szCs w:val="30"/>
          <w:rtl/>
        </w:rPr>
        <w:t xml:space="preserve">3. جدول الأعمال التفصيلي</w:t>
      </w:r>
    </w:p>
    <w:p>
      <w:pPr>
        <w:bidi/>
        <w:spacing w:after="140" w:line="320"/>
        <w:jc w:val="both"/>
      </w:pPr>
      <w:r>
        <w:rPr>
          <w:rFonts w:ascii="Arial" w:cs="Arial" w:eastAsia="Arial" w:hAnsi="Arial"/>
          <w:sz w:val="24"/>
          <w:szCs w:val="24"/>
          <w:rtl/>
        </w:rPr>
        <w:t xml:space="preserve">جدول الأعمال كاملاً، كما تم تناوله في المقال السابق:</w:t>
      </w:r>
    </w:p>
    <w:p>
      <w:pPr>
        <w:pStyle w:val="ListParagraph"/>
        <w:numPr>
          <w:ilvl w:val="0"/>
          <w:numId w:val="2"/>
        </w:numPr>
        <w:bidi/>
        <w:spacing w:after="100" w:line="300"/>
        <w:jc w:val="right"/>
      </w:pPr>
      <w:r>
        <w:rPr>
          <w:rFonts w:ascii="Arial" w:cs="Arial" w:eastAsia="Arial" w:hAnsi="Arial"/>
          <w:sz w:val="24"/>
          <w:szCs w:val="24"/>
          <w:rtl/>
        </w:rPr>
        <w:t xml:space="preserve">كل بند بالترقيم التسلسلي.</w:t>
      </w:r>
    </w:p>
    <w:p>
      <w:pPr>
        <w:pStyle w:val="ListParagraph"/>
        <w:numPr>
          <w:ilvl w:val="0"/>
          <w:numId w:val="2"/>
        </w:numPr>
        <w:bidi/>
        <w:spacing w:after="100" w:line="300"/>
        <w:jc w:val="right"/>
      </w:pPr>
      <w:r>
        <w:rPr>
          <w:rFonts w:ascii="Arial" w:cs="Arial" w:eastAsia="Arial" w:hAnsi="Arial"/>
          <w:sz w:val="24"/>
          <w:szCs w:val="24"/>
          <w:rtl/>
        </w:rPr>
        <w:t xml:space="preserve">نص القرار المقترح.</w:t>
      </w:r>
    </w:p>
    <w:p>
      <w:pPr>
        <w:pStyle w:val="ListParagraph"/>
        <w:numPr>
          <w:ilvl w:val="0"/>
          <w:numId w:val="2"/>
        </w:numPr>
        <w:bidi/>
        <w:spacing w:after="100" w:line="300"/>
        <w:jc w:val="right"/>
      </w:pPr>
      <w:r>
        <w:rPr>
          <w:rFonts w:ascii="Arial" w:cs="Arial" w:eastAsia="Arial" w:hAnsi="Arial"/>
          <w:sz w:val="24"/>
          <w:szCs w:val="24"/>
          <w:rtl/>
        </w:rPr>
        <w:t xml:space="preserve">الأساس القانوني للقرار.</w:t>
      </w:r>
    </w:p>
    <w:p>
      <w:pPr>
        <w:pStyle w:val="ListParagraph"/>
        <w:numPr>
          <w:ilvl w:val="0"/>
          <w:numId w:val="2"/>
        </w:numPr>
        <w:bidi/>
        <w:spacing w:after="100" w:line="300"/>
        <w:jc w:val="right"/>
      </w:pPr>
      <w:r>
        <w:rPr>
          <w:rFonts w:ascii="Arial" w:cs="Arial" w:eastAsia="Arial" w:hAnsi="Arial"/>
          <w:sz w:val="24"/>
          <w:szCs w:val="24"/>
          <w:rtl/>
        </w:rPr>
        <w:t xml:space="preserve">الإشارة إلى المستندات المرفقة.</w:t>
      </w:r>
    </w:p>
    <w:p>
      <w:pPr>
        <w:pStyle w:val="Heading2"/>
        <w:bidi/>
        <w:spacing w:after="160" w:before="280"/>
        <w:jc w:val="right"/>
      </w:pPr>
      <w:r>
        <w:rPr>
          <w:rFonts w:ascii="Arial" w:cs="Arial" w:eastAsia="Arial" w:hAnsi="Arial"/>
          <w:b/>
          <w:bCs/>
          <w:color w:val="2E75B6"/>
          <w:sz w:val="30"/>
          <w:szCs w:val="30"/>
          <w:rtl/>
        </w:rPr>
        <w:t xml:space="preserve">4. شروط الحضور والمشاركة</w:t>
      </w:r>
    </w:p>
    <w:p>
      <w:pPr>
        <w:pStyle w:val="Heading3"/>
        <w:bidi/>
        <w:spacing w:after="120" w:before="200"/>
        <w:jc w:val="right"/>
      </w:pPr>
      <w:r>
        <w:rPr>
          <w:rFonts w:ascii="Arial" w:cs="Arial" w:eastAsia="Arial" w:hAnsi="Arial"/>
          <w:b/>
          <w:bCs/>
          <w:color w:val="1F4E79"/>
          <w:sz w:val="26"/>
          <w:szCs w:val="26"/>
          <w:rtl/>
        </w:rPr>
        <w:t xml:space="preserve">(أ) من له حق الحضور</w:t>
      </w:r>
    </w:p>
    <w:p>
      <w:pPr>
        <w:pStyle w:val="ListParagraph"/>
        <w:numPr>
          <w:ilvl w:val="0"/>
          <w:numId w:val="2"/>
        </w:numPr>
        <w:bidi/>
        <w:spacing w:after="100" w:line="300"/>
        <w:jc w:val="right"/>
      </w:pPr>
      <w:r>
        <w:rPr>
          <w:rFonts w:ascii="Arial" w:cs="Arial" w:eastAsia="Arial" w:hAnsi="Arial"/>
          <w:sz w:val="24"/>
          <w:szCs w:val="24"/>
          <w:rtl/>
        </w:rPr>
        <w:t xml:space="preserve">المساهمون المقيدون في السجل في تاريخ الأحقية.</w:t>
      </w:r>
    </w:p>
    <w:p>
      <w:pPr>
        <w:pStyle w:val="ListParagraph"/>
        <w:numPr>
          <w:ilvl w:val="0"/>
          <w:numId w:val="2"/>
        </w:numPr>
        <w:bidi/>
        <w:spacing w:after="100" w:line="300"/>
        <w:jc w:val="right"/>
      </w:pPr>
      <w:r>
        <w:rPr>
          <w:rFonts w:ascii="Arial" w:cs="Arial" w:eastAsia="Arial" w:hAnsi="Arial"/>
          <w:sz w:val="24"/>
          <w:szCs w:val="24"/>
          <w:rtl/>
        </w:rPr>
        <w:t xml:space="preserve">ممثلو الأشخاص الاعتباريين.</w:t>
      </w:r>
    </w:p>
    <w:p>
      <w:pPr>
        <w:pStyle w:val="ListParagraph"/>
        <w:numPr>
          <w:ilvl w:val="0"/>
          <w:numId w:val="2"/>
        </w:numPr>
        <w:bidi/>
        <w:spacing w:after="100" w:line="300"/>
        <w:jc w:val="right"/>
      </w:pPr>
      <w:r>
        <w:rPr>
          <w:rFonts w:ascii="Arial" w:cs="Arial" w:eastAsia="Arial" w:hAnsi="Arial"/>
          <w:sz w:val="24"/>
          <w:szCs w:val="24"/>
          <w:rtl/>
        </w:rPr>
        <w:t xml:space="preserve">الوكلاء النظاميون.</w:t>
      </w:r>
    </w:p>
    <w:p>
      <w:pPr>
        <w:pStyle w:val="Heading3"/>
        <w:bidi/>
        <w:spacing w:after="120" w:before="200"/>
        <w:jc w:val="right"/>
      </w:pPr>
      <w:r>
        <w:rPr>
          <w:rFonts w:ascii="Arial" w:cs="Arial" w:eastAsia="Arial" w:hAnsi="Arial"/>
          <w:b/>
          <w:bCs/>
          <w:color w:val="1F4E79"/>
          <w:sz w:val="26"/>
          <w:szCs w:val="26"/>
          <w:rtl/>
        </w:rPr>
        <w:t xml:space="preserve">(ب) تاريخ الأحقية</w:t>
      </w:r>
    </w:p>
    <w:p>
      <w:pPr>
        <w:pStyle w:val="ListParagraph"/>
        <w:numPr>
          <w:ilvl w:val="0"/>
          <w:numId w:val="2"/>
        </w:numPr>
        <w:bidi/>
        <w:spacing w:after="100" w:line="300"/>
        <w:jc w:val="right"/>
      </w:pPr>
      <w:r>
        <w:rPr>
          <w:rFonts w:ascii="Arial" w:cs="Arial" w:eastAsia="Arial" w:hAnsi="Arial"/>
          <w:sz w:val="24"/>
          <w:szCs w:val="24"/>
          <w:rtl/>
        </w:rPr>
        <w:t xml:space="preserve">تحديد التاريخ بدقة (يوم محدد).</w:t>
      </w:r>
    </w:p>
    <w:p>
      <w:pPr>
        <w:pStyle w:val="ListParagraph"/>
        <w:numPr>
          <w:ilvl w:val="0"/>
          <w:numId w:val="2"/>
        </w:numPr>
        <w:bidi/>
        <w:spacing w:after="100" w:line="300"/>
        <w:jc w:val="right"/>
      </w:pPr>
      <w:r>
        <w:rPr>
          <w:rFonts w:ascii="Arial" w:cs="Arial" w:eastAsia="Arial" w:hAnsi="Arial"/>
          <w:sz w:val="24"/>
          <w:szCs w:val="24"/>
          <w:rtl/>
        </w:rPr>
        <w:t xml:space="preserve">شرح ما يعنيه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الإجراءات اللازمة لإثبات الأحقية.</w:t>
      </w:r>
    </w:p>
    <w:p>
      <w:pPr>
        <w:pStyle w:val="Heading3"/>
        <w:bidi/>
        <w:spacing w:after="120" w:before="200"/>
        <w:jc w:val="right"/>
      </w:pPr>
      <w:r>
        <w:rPr>
          <w:rFonts w:ascii="Arial" w:cs="Arial" w:eastAsia="Arial" w:hAnsi="Arial"/>
          <w:b/>
          <w:bCs/>
          <w:color w:val="1F4E79"/>
          <w:sz w:val="26"/>
          <w:szCs w:val="26"/>
          <w:rtl/>
        </w:rPr>
        <w:t xml:space="preserve">(ج) التسجيل للحضور</w:t>
      </w:r>
    </w:p>
    <w:p>
      <w:pPr>
        <w:pStyle w:val="ListParagraph"/>
        <w:numPr>
          <w:ilvl w:val="0"/>
          <w:numId w:val="2"/>
        </w:numPr>
        <w:bidi/>
        <w:spacing w:after="100" w:line="300"/>
        <w:jc w:val="right"/>
      </w:pPr>
      <w:r>
        <w:rPr>
          <w:rFonts w:ascii="Arial" w:cs="Arial" w:eastAsia="Arial" w:hAnsi="Arial"/>
          <w:sz w:val="24"/>
          <w:szCs w:val="24"/>
          <w:rtl/>
        </w:rPr>
        <w:t xml:space="preserve">متى وأين يتم التسجيل.</w:t>
      </w:r>
    </w:p>
    <w:p>
      <w:pPr>
        <w:pStyle w:val="ListParagraph"/>
        <w:numPr>
          <w:ilvl w:val="0"/>
          <w:numId w:val="2"/>
        </w:numPr>
        <w:bidi/>
        <w:spacing w:after="100" w:line="300"/>
        <w:jc w:val="right"/>
      </w:pPr>
      <w:r>
        <w:rPr>
          <w:rFonts w:ascii="Arial" w:cs="Arial" w:eastAsia="Arial" w:hAnsi="Arial"/>
          <w:sz w:val="24"/>
          <w:szCs w:val="24"/>
          <w:rtl/>
        </w:rPr>
        <w:t xml:space="preserve">الوثائق المطلوبة للتسجيل.</w:t>
      </w:r>
    </w:p>
    <w:p>
      <w:pPr>
        <w:pStyle w:val="ListParagraph"/>
        <w:numPr>
          <w:ilvl w:val="0"/>
          <w:numId w:val="2"/>
        </w:numPr>
        <w:bidi/>
        <w:spacing w:after="100" w:line="300"/>
        <w:jc w:val="right"/>
      </w:pPr>
      <w:r>
        <w:rPr>
          <w:rFonts w:ascii="Arial" w:cs="Arial" w:eastAsia="Arial" w:hAnsi="Arial"/>
          <w:sz w:val="24"/>
          <w:szCs w:val="24"/>
          <w:rtl/>
        </w:rPr>
        <w:t xml:space="preserve">التسجيل الإلكتروني المسبق (إن أُتيح).</w:t>
      </w:r>
    </w:p>
    <w:p>
      <w:pPr>
        <w:pStyle w:val="Heading2"/>
        <w:bidi/>
        <w:spacing w:after="160" w:before="280"/>
        <w:jc w:val="right"/>
      </w:pPr>
      <w:r>
        <w:rPr>
          <w:rFonts w:ascii="Arial" w:cs="Arial" w:eastAsia="Arial" w:hAnsi="Arial"/>
          <w:b/>
          <w:bCs/>
          <w:color w:val="2E75B6"/>
          <w:sz w:val="30"/>
          <w:szCs w:val="30"/>
          <w:rtl/>
        </w:rPr>
        <w:t xml:space="preserve">5. معلومات التوكيل</w:t>
      </w:r>
    </w:p>
    <w:p>
      <w:pPr>
        <w:pStyle w:val="ListParagraph"/>
        <w:numPr>
          <w:ilvl w:val="0"/>
          <w:numId w:val="2"/>
        </w:numPr>
        <w:bidi/>
        <w:spacing w:after="100" w:line="300"/>
        <w:jc w:val="right"/>
      </w:pPr>
      <w:r>
        <w:rPr>
          <w:rFonts w:ascii="Arial" w:cs="Arial" w:eastAsia="Arial" w:hAnsi="Arial"/>
          <w:sz w:val="24"/>
          <w:szCs w:val="24"/>
          <w:rtl/>
        </w:rPr>
        <w:t xml:space="preserve">جواز التوكيل.</w:t>
      </w:r>
    </w:p>
    <w:p>
      <w:pPr>
        <w:pStyle w:val="ListParagraph"/>
        <w:numPr>
          <w:ilvl w:val="0"/>
          <w:numId w:val="2"/>
        </w:numPr>
        <w:bidi/>
        <w:spacing w:after="100" w:line="300"/>
        <w:jc w:val="right"/>
      </w:pPr>
      <w:r>
        <w:rPr>
          <w:rFonts w:ascii="Arial" w:cs="Arial" w:eastAsia="Arial" w:hAnsi="Arial"/>
          <w:sz w:val="24"/>
          <w:szCs w:val="24"/>
          <w:rtl/>
        </w:rPr>
        <w:t xml:space="preserve">شروط الوكيل (من غير أعضاء المجلس وعاملي الشركة).</w:t>
      </w:r>
    </w:p>
    <w:p>
      <w:pPr>
        <w:pStyle w:val="ListParagraph"/>
        <w:numPr>
          <w:ilvl w:val="0"/>
          <w:numId w:val="2"/>
        </w:numPr>
        <w:bidi/>
        <w:spacing w:after="100" w:line="300"/>
        <w:jc w:val="right"/>
      </w:pPr>
      <w:r>
        <w:rPr>
          <w:rFonts w:ascii="Arial" w:cs="Arial" w:eastAsia="Arial" w:hAnsi="Arial"/>
          <w:sz w:val="24"/>
          <w:szCs w:val="24"/>
          <w:rtl/>
        </w:rPr>
        <w:t xml:space="preserve">الحد الأقصى للتوكيل.</w:t>
      </w:r>
    </w:p>
    <w:p>
      <w:pPr>
        <w:pStyle w:val="ListParagraph"/>
        <w:numPr>
          <w:ilvl w:val="0"/>
          <w:numId w:val="2"/>
        </w:numPr>
        <w:bidi/>
        <w:spacing w:after="100" w:line="300"/>
        <w:jc w:val="right"/>
      </w:pPr>
      <w:r>
        <w:rPr>
          <w:rFonts w:ascii="Arial" w:cs="Arial" w:eastAsia="Arial" w:hAnsi="Arial"/>
          <w:sz w:val="24"/>
          <w:szCs w:val="24"/>
          <w:rtl/>
        </w:rPr>
        <w:t xml:space="preserve">نموذج التوكيل المعتمد (مرفق).</w:t>
      </w:r>
    </w:p>
    <w:p>
      <w:pPr>
        <w:pStyle w:val="ListParagraph"/>
        <w:numPr>
          <w:ilvl w:val="0"/>
          <w:numId w:val="2"/>
        </w:numPr>
        <w:bidi/>
        <w:spacing w:after="100" w:line="300"/>
        <w:jc w:val="right"/>
      </w:pPr>
      <w:r>
        <w:rPr>
          <w:rFonts w:ascii="Arial" w:cs="Arial" w:eastAsia="Arial" w:hAnsi="Arial"/>
          <w:sz w:val="24"/>
          <w:szCs w:val="24"/>
          <w:rtl/>
        </w:rPr>
        <w:t xml:space="preserve">متطلبات تصديق التوكيل.</w:t>
      </w:r>
    </w:p>
    <w:p>
      <w:pPr>
        <w:pStyle w:val="ListParagraph"/>
        <w:numPr>
          <w:ilvl w:val="0"/>
          <w:numId w:val="2"/>
        </w:numPr>
        <w:bidi/>
        <w:spacing w:after="100" w:line="300"/>
        <w:jc w:val="right"/>
      </w:pPr>
      <w:r>
        <w:rPr>
          <w:rFonts w:ascii="Arial" w:cs="Arial" w:eastAsia="Arial" w:hAnsi="Arial"/>
          <w:sz w:val="24"/>
          <w:szCs w:val="24"/>
          <w:rtl/>
        </w:rPr>
        <w:t xml:space="preserve">موعد تقديم التوكيل.</w:t>
      </w:r>
    </w:p>
    <w:p>
      <w:pPr>
        <w:pStyle w:val="Heading2"/>
        <w:bidi/>
        <w:spacing w:after="160" w:before="280"/>
        <w:jc w:val="right"/>
      </w:pPr>
      <w:r>
        <w:rPr>
          <w:rFonts w:ascii="Arial" w:cs="Arial" w:eastAsia="Arial" w:hAnsi="Arial"/>
          <w:b/>
          <w:bCs/>
          <w:color w:val="2E75B6"/>
          <w:sz w:val="30"/>
          <w:szCs w:val="30"/>
          <w:rtl/>
        </w:rPr>
        <w:t xml:space="preserve">6.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إتاحة هذا الخيار.</w:t>
      </w:r>
    </w:p>
    <w:p>
      <w:pPr>
        <w:pStyle w:val="ListParagraph"/>
        <w:numPr>
          <w:ilvl w:val="0"/>
          <w:numId w:val="2"/>
        </w:numPr>
        <w:bidi/>
        <w:spacing w:after="100" w:line="300"/>
        <w:jc w:val="right"/>
      </w:pPr>
      <w:r>
        <w:rPr>
          <w:rFonts w:ascii="Arial" w:cs="Arial" w:eastAsia="Arial" w:hAnsi="Arial"/>
          <w:sz w:val="24"/>
          <w:szCs w:val="24"/>
          <w:rtl/>
        </w:rPr>
        <w:t xml:space="preserve">المنصة المستخدمة.</w:t>
      </w:r>
    </w:p>
    <w:p>
      <w:pPr>
        <w:pStyle w:val="ListParagraph"/>
        <w:numPr>
          <w:ilvl w:val="0"/>
          <w:numId w:val="2"/>
        </w:numPr>
        <w:bidi/>
        <w:spacing w:after="100" w:line="300"/>
        <w:jc w:val="right"/>
      </w:pPr>
      <w:r>
        <w:rPr>
          <w:rFonts w:ascii="Arial" w:cs="Arial" w:eastAsia="Arial" w:hAnsi="Arial"/>
          <w:sz w:val="24"/>
          <w:szCs w:val="24"/>
          <w:rtl/>
        </w:rPr>
        <w:t xml:space="preserve">فترة فتح باب التصويت.</w:t>
      </w:r>
    </w:p>
    <w:p>
      <w:pPr>
        <w:pStyle w:val="ListParagraph"/>
        <w:numPr>
          <w:ilvl w:val="0"/>
          <w:numId w:val="2"/>
        </w:numPr>
        <w:bidi/>
        <w:spacing w:after="100" w:line="300"/>
        <w:jc w:val="right"/>
      </w:pPr>
      <w:r>
        <w:rPr>
          <w:rFonts w:ascii="Arial" w:cs="Arial" w:eastAsia="Arial" w:hAnsi="Arial"/>
          <w:sz w:val="24"/>
          <w:szCs w:val="24"/>
          <w:rtl/>
        </w:rPr>
        <w:t xml:space="preserve">شروط المشاركة.</w:t>
      </w:r>
    </w:p>
    <w:p>
      <w:pPr>
        <w:pStyle w:val="ListParagraph"/>
        <w:numPr>
          <w:ilvl w:val="0"/>
          <w:numId w:val="2"/>
        </w:numPr>
        <w:bidi/>
        <w:spacing w:after="100" w:line="300"/>
        <w:jc w:val="right"/>
      </w:pPr>
      <w:r>
        <w:rPr>
          <w:rFonts w:ascii="Arial" w:cs="Arial" w:eastAsia="Arial" w:hAnsi="Arial"/>
          <w:sz w:val="24"/>
          <w:szCs w:val="24"/>
          <w:rtl/>
        </w:rPr>
        <w:t xml:space="preserve">الدعم الفني.</w:t>
      </w:r>
    </w:p>
    <w:p>
      <w:pPr>
        <w:pStyle w:val="Heading2"/>
        <w:bidi/>
        <w:spacing w:after="160" w:before="280"/>
        <w:jc w:val="right"/>
      </w:pPr>
      <w:r>
        <w:rPr>
          <w:rFonts w:ascii="Arial" w:cs="Arial" w:eastAsia="Arial" w:hAnsi="Arial"/>
          <w:b/>
          <w:bCs/>
          <w:color w:val="2E75B6"/>
          <w:sz w:val="30"/>
          <w:szCs w:val="30"/>
          <w:rtl/>
        </w:rPr>
        <w:t xml:space="preserve">7. الوثائق المرجعية</w:t>
      </w:r>
    </w:p>
    <w:p>
      <w:pPr>
        <w:pStyle w:val="ListParagraph"/>
        <w:numPr>
          <w:ilvl w:val="0"/>
          <w:numId w:val="2"/>
        </w:numPr>
        <w:bidi/>
        <w:spacing w:after="100" w:line="300"/>
        <w:jc w:val="right"/>
      </w:pPr>
      <w:r>
        <w:rPr>
          <w:rFonts w:ascii="Arial" w:cs="Arial" w:eastAsia="Arial" w:hAnsi="Arial"/>
          <w:sz w:val="24"/>
          <w:szCs w:val="24"/>
          <w:rtl/>
        </w:rPr>
        <w:t xml:space="preserve">قائمة الوثائق المتاحة قبل الجمعية.</w:t>
      </w:r>
    </w:p>
    <w:p>
      <w:pPr>
        <w:pStyle w:val="ListParagraph"/>
        <w:numPr>
          <w:ilvl w:val="0"/>
          <w:numId w:val="2"/>
        </w:numPr>
        <w:bidi/>
        <w:spacing w:after="100" w:line="300"/>
        <w:jc w:val="right"/>
      </w:pPr>
      <w:r>
        <w:rPr>
          <w:rFonts w:ascii="Arial" w:cs="Arial" w:eastAsia="Arial" w:hAnsi="Arial"/>
          <w:sz w:val="24"/>
          <w:szCs w:val="24"/>
          <w:rtl/>
        </w:rPr>
        <w:t xml:space="preserve">روابط التحميل.</w:t>
      </w:r>
    </w:p>
    <w:p>
      <w:pPr>
        <w:pStyle w:val="ListParagraph"/>
        <w:numPr>
          <w:ilvl w:val="0"/>
          <w:numId w:val="2"/>
        </w:numPr>
        <w:bidi/>
        <w:spacing w:after="100" w:line="300"/>
        <w:jc w:val="right"/>
      </w:pPr>
      <w:r>
        <w:rPr>
          <w:rFonts w:ascii="Arial" w:cs="Arial" w:eastAsia="Arial" w:hAnsi="Arial"/>
          <w:sz w:val="24"/>
          <w:szCs w:val="24"/>
          <w:rtl/>
        </w:rPr>
        <w:t xml:space="preserve">التقرير السنوي.</w:t>
      </w:r>
    </w:p>
    <w:p>
      <w:pPr>
        <w:pStyle w:val="ListParagraph"/>
        <w:numPr>
          <w:ilvl w:val="0"/>
          <w:numId w:val="2"/>
        </w:numPr>
        <w:bidi/>
        <w:spacing w:after="100" w:line="300"/>
        <w:jc w:val="right"/>
      </w:pPr>
      <w:r>
        <w:rPr>
          <w:rFonts w:ascii="Arial" w:cs="Arial" w:eastAsia="Arial" w:hAnsi="Arial"/>
          <w:sz w:val="24"/>
          <w:szCs w:val="24"/>
          <w:rtl/>
        </w:rPr>
        <w:t xml:space="preserve">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تقرير مراجع الحسابات.</w:t>
      </w:r>
    </w:p>
    <w:p>
      <w:pPr>
        <w:pStyle w:val="ListParagraph"/>
        <w:numPr>
          <w:ilvl w:val="0"/>
          <w:numId w:val="2"/>
        </w:numPr>
        <w:bidi/>
        <w:spacing w:after="100" w:line="300"/>
        <w:jc w:val="right"/>
      </w:pPr>
      <w:r>
        <w:rPr>
          <w:rFonts w:ascii="Arial" w:cs="Arial" w:eastAsia="Arial" w:hAnsi="Arial"/>
          <w:sz w:val="24"/>
          <w:szCs w:val="24"/>
          <w:rtl/>
        </w:rPr>
        <w:t xml:space="preserve">تقرير الحوكمة.</w:t>
      </w:r>
    </w:p>
    <w:p>
      <w:pPr>
        <w:pStyle w:val="ListParagraph"/>
        <w:numPr>
          <w:ilvl w:val="0"/>
          <w:numId w:val="2"/>
        </w:numPr>
        <w:bidi/>
        <w:spacing w:after="100" w:line="300"/>
        <w:jc w:val="right"/>
      </w:pPr>
      <w:r>
        <w:rPr>
          <w:rFonts w:ascii="Arial" w:cs="Arial" w:eastAsia="Arial" w:hAnsi="Arial"/>
          <w:sz w:val="24"/>
          <w:szCs w:val="24"/>
          <w:rtl/>
        </w:rPr>
        <w:t xml:space="preserve">النظام الأساس (إن وُجدت تعديلات مقترحة).</w:t>
      </w:r>
    </w:p>
    <w:p>
      <w:pPr>
        <w:pStyle w:val="Heading2"/>
        <w:bidi/>
        <w:spacing w:after="160" w:before="280"/>
        <w:jc w:val="right"/>
      </w:pPr>
      <w:r>
        <w:rPr>
          <w:rFonts w:ascii="Arial" w:cs="Arial" w:eastAsia="Arial" w:hAnsi="Arial"/>
          <w:b/>
          <w:bCs/>
          <w:color w:val="2E75B6"/>
          <w:sz w:val="30"/>
          <w:szCs w:val="30"/>
          <w:rtl/>
        </w:rPr>
        <w:t xml:space="preserve">8. بيانات الاتصال للاستفسارات</w:t>
      </w:r>
    </w:p>
    <w:p>
      <w:pPr>
        <w:pStyle w:val="ListParagraph"/>
        <w:numPr>
          <w:ilvl w:val="0"/>
          <w:numId w:val="2"/>
        </w:numPr>
        <w:bidi/>
        <w:spacing w:after="100" w:line="300"/>
        <w:jc w:val="right"/>
      </w:pPr>
      <w:r>
        <w:rPr>
          <w:rFonts w:ascii="Arial" w:cs="Arial" w:eastAsia="Arial" w:hAnsi="Arial"/>
          <w:sz w:val="24"/>
          <w:szCs w:val="24"/>
          <w:rtl/>
        </w:rPr>
        <w:t xml:space="preserve">اسم المسؤول (أمين السر أو علاقات المستثمرين).</w:t>
      </w:r>
    </w:p>
    <w:p>
      <w:pPr>
        <w:pStyle w:val="ListParagraph"/>
        <w:numPr>
          <w:ilvl w:val="0"/>
          <w:numId w:val="2"/>
        </w:numPr>
        <w:bidi/>
        <w:spacing w:after="100" w:line="300"/>
        <w:jc w:val="right"/>
      </w:pPr>
      <w:r>
        <w:rPr>
          <w:rFonts w:ascii="Arial" w:cs="Arial" w:eastAsia="Arial" w:hAnsi="Arial"/>
          <w:sz w:val="24"/>
          <w:szCs w:val="24"/>
          <w:rtl/>
        </w:rPr>
        <w:t xml:space="preserve">الهاتف.</w:t>
      </w:r>
    </w:p>
    <w:p>
      <w:pPr>
        <w:pStyle w:val="ListParagraph"/>
        <w:numPr>
          <w:ilvl w:val="0"/>
          <w:numId w:val="2"/>
        </w:numPr>
        <w:bidi/>
        <w:spacing w:after="100" w:line="300"/>
        <w:jc w:val="right"/>
      </w:pPr>
      <w:r>
        <w:rPr>
          <w:rFonts w:ascii="Arial" w:cs="Arial" w:eastAsia="Arial" w:hAnsi="Arial"/>
          <w:sz w:val="24"/>
          <w:szCs w:val="24"/>
          <w:rtl/>
        </w:rPr>
        <w:t xml:space="preserve">البريد الإلكتروني.</w:t>
      </w:r>
    </w:p>
    <w:p>
      <w:pPr>
        <w:pStyle w:val="ListParagraph"/>
        <w:numPr>
          <w:ilvl w:val="0"/>
          <w:numId w:val="2"/>
        </w:numPr>
        <w:bidi/>
        <w:spacing w:after="100" w:line="300"/>
        <w:jc w:val="right"/>
      </w:pPr>
      <w:r>
        <w:rPr>
          <w:rFonts w:ascii="Arial" w:cs="Arial" w:eastAsia="Arial" w:hAnsi="Arial"/>
          <w:sz w:val="24"/>
          <w:szCs w:val="24"/>
          <w:rtl/>
        </w:rPr>
        <w:t xml:space="preserve">ساعات الدوام.</w:t>
      </w:r>
    </w:p>
    <w:p>
      <w:pPr>
        <w:pStyle w:val="Heading2"/>
        <w:bidi/>
        <w:spacing w:after="160" w:before="280"/>
        <w:jc w:val="right"/>
      </w:pPr>
      <w:r>
        <w:rPr>
          <w:rFonts w:ascii="Arial" w:cs="Arial" w:eastAsia="Arial" w:hAnsi="Arial"/>
          <w:b/>
          <w:bCs/>
          <w:color w:val="2E75B6"/>
          <w:sz w:val="30"/>
          <w:szCs w:val="30"/>
          <w:rtl/>
        </w:rPr>
        <w:t xml:space="preserve">9. ختام الدعوة</w:t>
      </w:r>
    </w:p>
    <w:p>
      <w:pPr>
        <w:pStyle w:val="ListParagraph"/>
        <w:numPr>
          <w:ilvl w:val="0"/>
          <w:numId w:val="2"/>
        </w:numPr>
        <w:bidi/>
        <w:spacing w:after="100" w:line="300"/>
        <w:jc w:val="right"/>
      </w:pPr>
      <w:r>
        <w:rPr>
          <w:rFonts w:ascii="Arial" w:cs="Arial" w:eastAsia="Arial" w:hAnsi="Arial"/>
          <w:sz w:val="24"/>
          <w:szCs w:val="24"/>
          <w:rtl/>
        </w:rPr>
        <w:t xml:space="preserve">توقيع رئيس مجلس الإدارة أو من ينوب عنه.</w:t>
      </w:r>
    </w:p>
    <w:p>
      <w:pPr>
        <w:pStyle w:val="ListParagraph"/>
        <w:numPr>
          <w:ilvl w:val="0"/>
          <w:numId w:val="2"/>
        </w:numPr>
        <w:bidi/>
        <w:spacing w:after="100" w:line="300"/>
        <w:jc w:val="right"/>
      </w:pPr>
      <w:r>
        <w:rPr>
          <w:rFonts w:ascii="Arial" w:cs="Arial" w:eastAsia="Arial" w:hAnsi="Arial"/>
          <w:sz w:val="24"/>
          <w:szCs w:val="24"/>
          <w:rtl/>
        </w:rPr>
        <w:t xml:space="preserve">التاريخ الرسمي للدعوة.</w:t>
      </w:r>
    </w:p>
    <w:p>
      <w:pPr>
        <w:pStyle w:val="ListParagraph"/>
        <w:numPr>
          <w:ilvl w:val="0"/>
          <w:numId w:val="2"/>
        </w:numPr>
        <w:bidi/>
        <w:spacing w:after="100" w:line="300"/>
        <w:jc w:val="right"/>
      </w:pPr>
      <w:r>
        <w:rPr>
          <w:rFonts w:ascii="Arial" w:cs="Arial" w:eastAsia="Arial" w:hAnsi="Arial"/>
          <w:sz w:val="24"/>
          <w:szCs w:val="24"/>
          <w:rtl/>
        </w:rPr>
        <w:t xml:space="preserve">الختم الرسمي للشركة (إن لزم).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المحتوى الإضافي المُستحب</w:t>
      </w:r>
    </w:p>
    <w:p>
      <w:pPr>
        <w:bidi/>
        <w:spacing w:after="140" w:line="320"/>
        <w:jc w:val="both"/>
      </w:pPr>
      <w:r>
        <w:rPr>
          <w:rFonts w:ascii="Arial" w:cs="Arial" w:eastAsia="Arial" w:hAnsi="Arial"/>
          <w:sz w:val="24"/>
          <w:szCs w:val="24"/>
          <w:rtl/>
        </w:rPr>
        <w:t xml:space="preserve">بالإضافة إلى المحتوى الإلزامي، الشركات الرائدة تُضيف عناصر تُعزز جودة الدعوة:</w:t>
      </w:r>
    </w:p>
    <w:p>
      <w:pPr>
        <w:pStyle w:val="Heading2"/>
        <w:bidi/>
        <w:spacing w:after="160" w:before="280"/>
        <w:jc w:val="right"/>
      </w:pPr>
      <w:r>
        <w:rPr>
          <w:rFonts w:ascii="Arial" w:cs="Arial" w:eastAsia="Arial" w:hAnsi="Arial"/>
          <w:b/>
          <w:bCs/>
          <w:color w:val="2E75B6"/>
          <w:sz w:val="30"/>
          <w:szCs w:val="30"/>
          <w:rtl/>
        </w:rPr>
        <w:t xml:space="preserve">1. ملخص تنفيذي</w:t>
      </w:r>
    </w:p>
    <w:p>
      <w:pPr>
        <w:pStyle w:val="ListParagraph"/>
        <w:numPr>
          <w:ilvl w:val="0"/>
          <w:numId w:val="2"/>
        </w:numPr>
        <w:bidi/>
        <w:spacing w:after="100" w:line="300"/>
        <w:jc w:val="right"/>
      </w:pPr>
      <w:r>
        <w:rPr>
          <w:rFonts w:ascii="Arial" w:cs="Arial" w:eastAsia="Arial" w:hAnsi="Arial"/>
          <w:sz w:val="24"/>
          <w:szCs w:val="24"/>
          <w:rtl/>
        </w:rPr>
        <w:t xml:space="preserve">فقرة افتتاحية تُلخص أبرز ما سيُناقش.</w:t>
      </w:r>
    </w:p>
    <w:p>
      <w:pPr>
        <w:pStyle w:val="ListParagraph"/>
        <w:numPr>
          <w:ilvl w:val="0"/>
          <w:numId w:val="2"/>
        </w:numPr>
        <w:bidi/>
        <w:spacing w:after="100" w:line="300"/>
        <w:jc w:val="right"/>
      </w:pPr>
      <w:r>
        <w:rPr>
          <w:rFonts w:ascii="Arial" w:cs="Arial" w:eastAsia="Arial" w:hAnsi="Arial"/>
          <w:sz w:val="24"/>
          <w:szCs w:val="24"/>
          <w:rtl/>
        </w:rPr>
        <w:t xml:space="preserve">الأرقام الرئيسية للسنة المنتهية.</w:t>
      </w:r>
    </w:p>
    <w:p>
      <w:pPr>
        <w:pStyle w:val="ListParagraph"/>
        <w:numPr>
          <w:ilvl w:val="0"/>
          <w:numId w:val="2"/>
        </w:numPr>
        <w:bidi/>
        <w:spacing w:after="100" w:line="300"/>
        <w:jc w:val="right"/>
      </w:pPr>
      <w:r>
        <w:rPr>
          <w:rFonts w:ascii="Arial" w:cs="Arial" w:eastAsia="Arial" w:hAnsi="Arial"/>
          <w:sz w:val="24"/>
          <w:szCs w:val="24"/>
          <w:rtl/>
        </w:rPr>
        <w:t xml:space="preserve">القرارات الجوهرية المعروضة.</w:t>
      </w:r>
    </w:p>
    <w:p>
      <w:pPr>
        <w:pStyle w:val="Heading2"/>
        <w:bidi/>
        <w:spacing w:after="160" w:before="280"/>
        <w:jc w:val="right"/>
      </w:pPr>
      <w:r>
        <w:rPr>
          <w:rFonts w:ascii="Arial" w:cs="Arial" w:eastAsia="Arial" w:hAnsi="Arial"/>
          <w:b/>
          <w:bCs/>
          <w:color w:val="2E75B6"/>
          <w:sz w:val="30"/>
          <w:szCs w:val="30"/>
          <w:rtl/>
        </w:rPr>
        <w:t xml:space="preserve">2. كلمة رئيس مجلس الإدارة</w:t>
      </w:r>
    </w:p>
    <w:p>
      <w:pPr>
        <w:pStyle w:val="ListParagraph"/>
        <w:numPr>
          <w:ilvl w:val="0"/>
          <w:numId w:val="2"/>
        </w:numPr>
        <w:bidi/>
        <w:spacing w:after="100" w:line="300"/>
        <w:jc w:val="right"/>
      </w:pPr>
      <w:r>
        <w:rPr>
          <w:rFonts w:ascii="Arial" w:cs="Arial" w:eastAsia="Arial" w:hAnsi="Arial"/>
          <w:sz w:val="24"/>
          <w:szCs w:val="24"/>
          <w:rtl/>
        </w:rPr>
        <w:t xml:space="preserve">ترحيب بالمساهمين.</w:t>
      </w:r>
    </w:p>
    <w:p>
      <w:pPr>
        <w:pStyle w:val="ListParagraph"/>
        <w:numPr>
          <w:ilvl w:val="0"/>
          <w:numId w:val="2"/>
        </w:numPr>
        <w:bidi/>
        <w:spacing w:after="100" w:line="300"/>
        <w:jc w:val="right"/>
      </w:pPr>
      <w:r>
        <w:rPr>
          <w:rFonts w:ascii="Arial" w:cs="Arial" w:eastAsia="Arial" w:hAnsi="Arial"/>
          <w:sz w:val="24"/>
          <w:szCs w:val="24"/>
          <w:rtl/>
        </w:rPr>
        <w:t xml:space="preserve">نظرة عامة على أداء الشركة.</w:t>
      </w:r>
    </w:p>
    <w:p>
      <w:pPr>
        <w:pStyle w:val="ListParagraph"/>
        <w:numPr>
          <w:ilvl w:val="0"/>
          <w:numId w:val="2"/>
        </w:numPr>
        <w:bidi/>
        <w:spacing w:after="100" w:line="300"/>
        <w:jc w:val="right"/>
      </w:pPr>
      <w:r>
        <w:rPr>
          <w:rFonts w:ascii="Arial" w:cs="Arial" w:eastAsia="Arial" w:hAnsi="Arial"/>
          <w:sz w:val="24"/>
          <w:szCs w:val="24"/>
          <w:rtl/>
        </w:rPr>
        <w:t xml:space="preserve">الشكر والتقدير.</w:t>
      </w:r>
    </w:p>
    <w:p>
      <w:pPr>
        <w:pStyle w:val="ListParagraph"/>
        <w:numPr>
          <w:ilvl w:val="0"/>
          <w:numId w:val="2"/>
        </w:numPr>
        <w:bidi/>
        <w:spacing w:after="100" w:line="300"/>
        <w:jc w:val="right"/>
      </w:pPr>
      <w:r>
        <w:rPr>
          <w:rFonts w:ascii="Arial" w:cs="Arial" w:eastAsia="Arial" w:hAnsi="Arial"/>
          <w:sz w:val="24"/>
          <w:szCs w:val="24"/>
          <w:rtl/>
        </w:rPr>
        <w:t xml:space="preserve">دعوة للحضور والمشاركة.</w:t>
      </w:r>
    </w:p>
    <w:p>
      <w:pPr>
        <w:pStyle w:val="Heading2"/>
        <w:bidi/>
        <w:spacing w:after="160" w:before="280"/>
        <w:jc w:val="right"/>
      </w:pPr>
      <w:r>
        <w:rPr>
          <w:rFonts w:ascii="Arial" w:cs="Arial" w:eastAsia="Arial" w:hAnsi="Arial"/>
          <w:b/>
          <w:bCs/>
          <w:color w:val="2E75B6"/>
          <w:sz w:val="30"/>
          <w:szCs w:val="30"/>
          <w:rtl/>
        </w:rPr>
        <w:t xml:space="preserve">3. الأسئلة الشائعة (FAQ)</w:t>
      </w:r>
    </w:p>
    <w:p>
      <w:pPr>
        <w:pStyle w:val="ListParagraph"/>
        <w:numPr>
          <w:ilvl w:val="0"/>
          <w:numId w:val="2"/>
        </w:numPr>
        <w:bidi/>
        <w:spacing w:after="100" w:line="300"/>
        <w:jc w:val="right"/>
      </w:pPr>
      <w:r>
        <w:rPr>
          <w:rFonts w:ascii="Arial" w:cs="Arial" w:eastAsia="Arial" w:hAnsi="Arial"/>
          <w:sz w:val="24"/>
          <w:szCs w:val="24"/>
          <w:rtl/>
        </w:rPr>
        <w:t xml:space="preserve">متى وأين تنعقد الجمعية؟</w:t>
      </w:r>
    </w:p>
    <w:p>
      <w:pPr>
        <w:pStyle w:val="ListParagraph"/>
        <w:numPr>
          <w:ilvl w:val="0"/>
          <w:numId w:val="2"/>
        </w:numPr>
        <w:bidi/>
        <w:spacing w:after="100" w:line="300"/>
        <w:jc w:val="right"/>
      </w:pPr>
      <w:r>
        <w:rPr>
          <w:rFonts w:ascii="Arial" w:cs="Arial" w:eastAsia="Arial" w:hAnsi="Arial"/>
          <w:sz w:val="24"/>
          <w:szCs w:val="24"/>
          <w:rtl/>
        </w:rPr>
        <w:t xml:space="preserve">من له حق الحضور؟</w:t>
      </w:r>
    </w:p>
    <w:p>
      <w:pPr>
        <w:pStyle w:val="ListParagraph"/>
        <w:numPr>
          <w:ilvl w:val="0"/>
          <w:numId w:val="2"/>
        </w:numPr>
        <w:bidi/>
        <w:spacing w:after="100" w:line="300"/>
        <w:jc w:val="right"/>
      </w:pPr>
      <w:r>
        <w:rPr>
          <w:rFonts w:ascii="Arial" w:cs="Arial" w:eastAsia="Arial" w:hAnsi="Arial"/>
          <w:sz w:val="24"/>
          <w:szCs w:val="24"/>
          <w:rtl/>
        </w:rPr>
        <w:t xml:space="preserve">كيف يمكن التوكيل؟</w:t>
      </w:r>
    </w:p>
    <w:p>
      <w:pPr>
        <w:pStyle w:val="ListParagraph"/>
        <w:numPr>
          <w:ilvl w:val="0"/>
          <w:numId w:val="2"/>
        </w:numPr>
        <w:bidi/>
        <w:spacing w:after="100" w:line="300"/>
        <w:jc w:val="right"/>
      </w:pPr>
      <w:r>
        <w:rPr>
          <w:rFonts w:ascii="Arial" w:cs="Arial" w:eastAsia="Arial" w:hAnsi="Arial"/>
          <w:sz w:val="24"/>
          <w:szCs w:val="24"/>
          <w:rtl/>
        </w:rPr>
        <w:t xml:space="preserve">كيف أصوّت إلكترونياً؟</w:t>
      </w:r>
    </w:p>
    <w:p>
      <w:pPr>
        <w:pStyle w:val="ListParagraph"/>
        <w:numPr>
          <w:ilvl w:val="0"/>
          <w:numId w:val="2"/>
        </w:numPr>
        <w:bidi/>
        <w:spacing w:after="100" w:line="300"/>
        <w:jc w:val="right"/>
      </w:pPr>
      <w:r>
        <w:rPr>
          <w:rFonts w:ascii="Arial" w:cs="Arial" w:eastAsia="Arial" w:hAnsi="Arial"/>
          <w:sz w:val="24"/>
          <w:szCs w:val="24"/>
          <w:rtl/>
        </w:rPr>
        <w:t xml:space="preserve">ماذا لو لم أحضر؟</w:t>
      </w:r>
    </w:p>
    <w:p>
      <w:pPr>
        <w:pStyle w:val="Heading2"/>
        <w:bidi/>
        <w:spacing w:after="160" w:before="280"/>
        <w:jc w:val="right"/>
      </w:pPr>
      <w:r>
        <w:rPr>
          <w:rFonts w:ascii="Arial" w:cs="Arial" w:eastAsia="Arial" w:hAnsi="Arial"/>
          <w:b/>
          <w:bCs/>
          <w:color w:val="2E75B6"/>
          <w:sz w:val="30"/>
          <w:szCs w:val="30"/>
          <w:rtl/>
        </w:rPr>
        <w:t xml:space="preserve">4. خرائط ومعلومات لوجستية</w:t>
      </w:r>
    </w:p>
    <w:p>
      <w:pPr>
        <w:pStyle w:val="ListParagraph"/>
        <w:numPr>
          <w:ilvl w:val="0"/>
          <w:numId w:val="2"/>
        </w:numPr>
        <w:bidi/>
        <w:spacing w:after="100" w:line="300"/>
        <w:jc w:val="right"/>
      </w:pPr>
      <w:r>
        <w:rPr>
          <w:rFonts w:ascii="Arial" w:cs="Arial" w:eastAsia="Arial" w:hAnsi="Arial"/>
          <w:sz w:val="24"/>
          <w:szCs w:val="24"/>
          <w:rtl/>
        </w:rPr>
        <w:t xml:space="preserve">خريطة لمكان الجمعية.</w:t>
      </w:r>
    </w:p>
    <w:p>
      <w:pPr>
        <w:pStyle w:val="ListParagraph"/>
        <w:numPr>
          <w:ilvl w:val="0"/>
          <w:numId w:val="2"/>
        </w:numPr>
        <w:bidi/>
        <w:spacing w:after="100" w:line="300"/>
        <w:jc w:val="right"/>
      </w:pPr>
      <w:r>
        <w:rPr>
          <w:rFonts w:ascii="Arial" w:cs="Arial" w:eastAsia="Arial" w:hAnsi="Arial"/>
          <w:sz w:val="24"/>
          <w:szCs w:val="24"/>
          <w:rtl/>
        </w:rPr>
        <w:t xml:space="preserve">معلومات النقل العام.</w:t>
      </w:r>
    </w:p>
    <w:p>
      <w:pPr>
        <w:pStyle w:val="ListParagraph"/>
        <w:numPr>
          <w:ilvl w:val="0"/>
          <w:numId w:val="2"/>
        </w:numPr>
        <w:bidi/>
        <w:spacing w:after="100" w:line="300"/>
        <w:jc w:val="right"/>
      </w:pPr>
      <w:r>
        <w:rPr>
          <w:rFonts w:ascii="Arial" w:cs="Arial" w:eastAsia="Arial" w:hAnsi="Arial"/>
          <w:sz w:val="24"/>
          <w:szCs w:val="24"/>
          <w:rtl/>
        </w:rPr>
        <w:t xml:space="preserve">الفنادق القريبة.</w:t>
      </w:r>
    </w:p>
    <w:p>
      <w:pPr>
        <w:pStyle w:val="ListParagraph"/>
        <w:numPr>
          <w:ilvl w:val="0"/>
          <w:numId w:val="2"/>
        </w:numPr>
        <w:bidi/>
        <w:spacing w:after="100" w:line="300"/>
        <w:jc w:val="right"/>
      </w:pPr>
      <w:r>
        <w:rPr>
          <w:rFonts w:ascii="Arial" w:cs="Arial" w:eastAsia="Arial" w:hAnsi="Arial"/>
          <w:sz w:val="24"/>
          <w:szCs w:val="24"/>
          <w:rtl/>
        </w:rPr>
        <w:t xml:space="preserve">معلومات المواقف.</w:t>
      </w:r>
    </w:p>
    <w:p>
      <w:pPr>
        <w:pStyle w:val="Heading2"/>
        <w:bidi/>
        <w:spacing w:after="160" w:before="280"/>
        <w:jc w:val="right"/>
      </w:pPr>
      <w:r>
        <w:rPr>
          <w:rFonts w:ascii="Arial" w:cs="Arial" w:eastAsia="Arial" w:hAnsi="Arial"/>
          <w:b/>
          <w:bCs/>
          <w:color w:val="2E75B6"/>
          <w:sz w:val="30"/>
          <w:szCs w:val="30"/>
          <w:rtl/>
        </w:rPr>
        <w:t xml:space="preserve">5. روابط الفيديوهات التعريفية</w:t>
      </w:r>
    </w:p>
    <w:p>
      <w:pPr>
        <w:pStyle w:val="ListParagraph"/>
        <w:numPr>
          <w:ilvl w:val="0"/>
          <w:numId w:val="2"/>
        </w:numPr>
        <w:bidi/>
        <w:spacing w:after="100" w:line="300"/>
        <w:jc w:val="right"/>
      </w:pPr>
      <w:r>
        <w:rPr>
          <w:rFonts w:ascii="Arial" w:cs="Arial" w:eastAsia="Arial" w:hAnsi="Arial"/>
          <w:sz w:val="24"/>
          <w:szCs w:val="24"/>
          <w:rtl/>
        </w:rPr>
        <w:t xml:space="preserve">فيديو تعريفي بالشركة.</w:t>
      </w:r>
    </w:p>
    <w:p>
      <w:pPr>
        <w:pStyle w:val="ListParagraph"/>
        <w:numPr>
          <w:ilvl w:val="0"/>
          <w:numId w:val="2"/>
        </w:numPr>
        <w:bidi/>
        <w:spacing w:after="100" w:line="300"/>
        <w:jc w:val="right"/>
      </w:pPr>
      <w:r>
        <w:rPr>
          <w:rFonts w:ascii="Arial" w:cs="Arial" w:eastAsia="Arial" w:hAnsi="Arial"/>
          <w:sz w:val="24"/>
          <w:szCs w:val="24"/>
          <w:rtl/>
        </w:rPr>
        <w:t xml:space="preserve">فيديو شرح للتصويت الإلكتروني.</w:t>
      </w:r>
    </w:p>
    <w:p>
      <w:pPr>
        <w:pStyle w:val="ListParagraph"/>
        <w:numPr>
          <w:ilvl w:val="0"/>
          <w:numId w:val="2"/>
        </w:numPr>
        <w:bidi/>
        <w:spacing w:after="100" w:line="300"/>
        <w:jc w:val="right"/>
      </w:pPr>
      <w:r>
        <w:rPr>
          <w:rFonts w:ascii="Arial" w:cs="Arial" w:eastAsia="Arial" w:hAnsi="Arial"/>
          <w:sz w:val="24"/>
          <w:szCs w:val="24"/>
          <w:rtl/>
        </w:rPr>
        <w:t xml:space="preserve">فيديو نتائج العام السابق.</w:t>
      </w:r>
    </w:p>
    <w:p>
      <w:pPr>
        <w:pStyle w:val="Heading2"/>
        <w:bidi/>
        <w:spacing w:after="160" w:before="280"/>
        <w:jc w:val="right"/>
      </w:pPr>
      <w:r>
        <w:rPr>
          <w:rFonts w:ascii="Arial" w:cs="Arial" w:eastAsia="Arial" w:hAnsi="Arial"/>
          <w:b/>
          <w:bCs/>
          <w:color w:val="2E75B6"/>
          <w:sz w:val="30"/>
          <w:szCs w:val="30"/>
          <w:rtl/>
        </w:rPr>
        <w:t xml:space="preserve">6. الإفصاحات الخاصة</w:t>
      </w:r>
    </w:p>
    <w:p>
      <w:pPr>
        <w:pStyle w:val="ListParagraph"/>
        <w:numPr>
          <w:ilvl w:val="0"/>
          <w:numId w:val="2"/>
        </w:numPr>
        <w:bidi/>
        <w:spacing w:after="100" w:line="300"/>
        <w:jc w:val="right"/>
      </w:pPr>
      <w:r>
        <w:rPr>
          <w:rFonts w:ascii="Arial" w:cs="Arial" w:eastAsia="Arial" w:hAnsi="Arial"/>
          <w:sz w:val="24"/>
          <w:szCs w:val="24"/>
          <w:rtl/>
        </w:rPr>
        <w:t xml:space="preserve">الإفصاح عن أي تعارض مصالح في البنود.</w:t>
      </w:r>
    </w:p>
    <w:p>
      <w:pPr>
        <w:pStyle w:val="ListParagraph"/>
        <w:numPr>
          <w:ilvl w:val="0"/>
          <w:numId w:val="2"/>
        </w:numPr>
        <w:bidi/>
        <w:spacing w:after="100" w:line="300"/>
        <w:jc w:val="right"/>
      </w:pPr>
      <w:r>
        <w:rPr>
          <w:rFonts w:ascii="Arial" w:cs="Arial" w:eastAsia="Arial" w:hAnsi="Arial"/>
          <w:sz w:val="24"/>
          <w:szCs w:val="24"/>
          <w:rtl/>
        </w:rPr>
        <w:t xml:space="preserve">الإفصاح عن أي رسائل خاصة من المساهمين الكبار.</w:t>
      </w:r>
    </w:p>
    <w:p>
      <w:pPr>
        <w:pStyle w:val="ListParagraph"/>
        <w:numPr>
          <w:ilvl w:val="0"/>
          <w:numId w:val="2"/>
        </w:numPr>
        <w:bidi/>
        <w:spacing w:after="100" w:line="300"/>
        <w:jc w:val="right"/>
      </w:pPr>
      <w:r>
        <w:rPr>
          <w:rFonts w:ascii="Arial" w:cs="Arial" w:eastAsia="Arial" w:hAnsi="Arial"/>
          <w:sz w:val="24"/>
          <w:szCs w:val="24"/>
          <w:rtl/>
        </w:rPr>
        <w:t xml:space="preserve">الإفصاحات الخاصة المتعلقة ببنود الجدول.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تعديل الدعوة وإعادة النشر</w:t>
      </w:r>
    </w:p>
    <w:p>
      <w:pPr>
        <w:bidi/>
        <w:spacing w:after="140" w:line="320"/>
        <w:jc w:val="both"/>
      </w:pPr>
      <w:r>
        <w:rPr>
          <w:rFonts w:ascii="Arial" w:cs="Arial" w:eastAsia="Arial" w:hAnsi="Arial"/>
          <w:sz w:val="24"/>
          <w:szCs w:val="24"/>
          <w:rtl/>
        </w:rPr>
        <w:t xml:space="preserve">في بعض الحالات، تستدعي الظروف تعديل الدعوة بعد نشرها. والتعامل مع ذلك يحتاج لحذر شديد لتجنب الطعن في صحة الجمعية:</w:t>
      </w:r>
    </w:p>
    <w:p>
      <w:pPr>
        <w:pStyle w:val="Heading2"/>
        <w:bidi/>
        <w:spacing w:after="160" w:before="280"/>
        <w:jc w:val="right"/>
      </w:pPr>
      <w:r>
        <w:rPr>
          <w:rFonts w:ascii="Arial" w:cs="Arial" w:eastAsia="Arial" w:hAnsi="Arial"/>
          <w:b/>
          <w:bCs/>
          <w:color w:val="2E75B6"/>
          <w:sz w:val="30"/>
          <w:szCs w:val="30"/>
          <w:rtl/>
        </w:rPr>
        <w:t xml:space="preserve">1. الحالات التي تستوجب التعديل</w:t>
      </w:r>
    </w:p>
    <w:p>
      <w:pPr>
        <w:pStyle w:val="ListParagraph"/>
        <w:numPr>
          <w:ilvl w:val="0"/>
          <w:numId w:val="2"/>
        </w:numPr>
        <w:bidi/>
        <w:spacing w:after="100" w:line="300"/>
        <w:jc w:val="right"/>
      </w:pPr>
      <w:r>
        <w:rPr>
          <w:rFonts w:ascii="Arial" w:cs="Arial" w:eastAsia="Arial" w:hAnsi="Arial"/>
          <w:sz w:val="24"/>
          <w:szCs w:val="24"/>
          <w:rtl/>
        </w:rPr>
        <w:t xml:space="preserve">اكتشاف خطأ في تاريخ أو مكان الانعقاد.</w:t>
      </w:r>
    </w:p>
    <w:p>
      <w:pPr>
        <w:pStyle w:val="ListParagraph"/>
        <w:numPr>
          <w:ilvl w:val="0"/>
          <w:numId w:val="2"/>
        </w:numPr>
        <w:bidi/>
        <w:spacing w:after="100" w:line="300"/>
        <w:jc w:val="right"/>
      </w:pPr>
      <w:r>
        <w:rPr>
          <w:rFonts w:ascii="Arial" w:cs="Arial" w:eastAsia="Arial" w:hAnsi="Arial"/>
          <w:sz w:val="24"/>
          <w:szCs w:val="24"/>
          <w:rtl/>
        </w:rPr>
        <w:t xml:space="preserve">إضافة بنود بناءً على طلب مساهمين يستحقون النسبة.</w:t>
      </w:r>
    </w:p>
    <w:p>
      <w:pPr>
        <w:pStyle w:val="ListParagraph"/>
        <w:numPr>
          <w:ilvl w:val="0"/>
          <w:numId w:val="2"/>
        </w:numPr>
        <w:bidi/>
        <w:spacing w:after="100" w:line="300"/>
        <w:jc w:val="right"/>
      </w:pPr>
      <w:r>
        <w:rPr>
          <w:rFonts w:ascii="Arial" w:cs="Arial" w:eastAsia="Arial" w:hAnsi="Arial"/>
          <w:sz w:val="24"/>
          <w:szCs w:val="24"/>
          <w:rtl/>
        </w:rPr>
        <w:t xml:space="preserve">سحب بند بسبب تطورات قانونية.</w:t>
      </w:r>
    </w:p>
    <w:p>
      <w:pPr>
        <w:pStyle w:val="ListParagraph"/>
        <w:numPr>
          <w:ilvl w:val="0"/>
          <w:numId w:val="2"/>
        </w:numPr>
        <w:bidi/>
        <w:spacing w:after="100" w:line="300"/>
        <w:jc w:val="right"/>
      </w:pPr>
      <w:r>
        <w:rPr>
          <w:rFonts w:ascii="Arial" w:cs="Arial" w:eastAsia="Arial" w:hAnsi="Arial"/>
          <w:sz w:val="24"/>
          <w:szCs w:val="24"/>
          <w:rtl/>
        </w:rPr>
        <w:t xml:space="preserve">تصحيح معلومات في جدول الأعمال.</w:t>
      </w:r>
    </w:p>
    <w:p>
      <w:pPr>
        <w:pStyle w:val="ListParagraph"/>
        <w:numPr>
          <w:ilvl w:val="0"/>
          <w:numId w:val="2"/>
        </w:numPr>
        <w:bidi/>
        <w:spacing w:after="100" w:line="300"/>
        <w:jc w:val="right"/>
      </w:pPr>
      <w:r>
        <w:rPr>
          <w:rFonts w:ascii="Arial" w:cs="Arial" w:eastAsia="Arial" w:hAnsi="Arial"/>
          <w:sz w:val="24"/>
          <w:szCs w:val="24"/>
          <w:rtl/>
        </w:rPr>
        <w:t xml:space="preserve">ظروف طارئة (تغيير المكان لأسباب لوجستية).</w:t>
      </w:r>
    </w:p>
    <w:p>
      <w:pPr>
        <w:pStyle w:val="Heading2"/>
        <w:bidi/>
        <w:spacing w:after="160" w:before="280"/>
        <w:jc w:val="right"/>
      </w:pPr>
      <w:r>
        <w:rPr>
          <w:rFonts w:ascii="Arial" w:cs="Arial" w:eastAsia="Arial" w:hAnsi="Arial"/>
          <w:b/>
          <w:bCs/>
          <w:color w:val="2E75B6"/>
          <w:sz w:val="30"/>
          <w:szCs w:val="30"/>
          <w:rtl/>
        </w:rPr>
        <w:t xml:space="preserve">2. ضوابط التعديل</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عن التعديل.</w:t>
      </w:r>
    </w:p>
    <w:p>
      <w:pPr>
        <w:pStyle w:val="ListParagraph"/>
        <w:numPr>
          <w:ilvl w:val="0"/>
          <w:numId w:val="2"/>
        </w:numPr>
        <w:bidi/>
        <w:spacing w:after="100" w:line="300"/>
        <w:jc w:val="right"/>
      </w:pPr>
      <w:r>
        <w:rPr>
          <w:rFonts w:ascii="Arial" w:cs="Arial" w:eastAsia="Arial" w:hAnsi="Arial"/>
          <w:sz w:val="24"/>
          <w:szCs w:val="24"/>
          <w:rtl/>
        </w:rPr>
        <w:t xml:space="preserve">نشر التعديل في نفس قنوات الدعوة الأصلية.</w:t>
      </w:r>
    </w:p>
    <w:p>
      <w:pPr>
        <w:pStyle w:val="ListParagraph"/>
        <w:numPr>
          <w:ilvl w:val="0"/>
          <w:numId w:val="2"/>
        </w:numPr>
        <w:bidi/>
        <w:spacing w:after="100" w:line="300"/>
        <w:jc w:val="right"/>
      </w:pPr>
      <w:r>
        <w:rPr>
          <w:rFonts w:ascii="Arial" w:cs="Arial" w:eastAsia="Arial" w:hAnsi="Arial"/>
          <w:sz w:val="24"/>
          <w:szCs w:val="24"/>
          <w:rtl/>
        </w:rPr>
        <w:t xml:space="preserve">التأكد من احترام المهل النظامية (قد يستوجب تأجيل الجمعية).</w:t>
      </w:r>
    </w:p>
    <w:p>
      <w:pPr>
        <w:pStyle w:val="ListParagraph"/>
        <w:numPr>
          <w:ilvl w:val="0"/>
          <w:numId w:val="2"/>
        </w:numPr>
        <w:bidi/>
        <w:spacing w:after="100" w:line="300"/>
        <w:jc w:val="right"/>
      </w:pPr>
      <w:r>
        <w:rPr>
          <w:rFonts w:ascii="Arial" w:cs="Arial" w:eastAsia="Arial" w:hAnsi="Arial"/>
          <w:sz w:val="24"/>
          <w:szCs w:val="24"/>
          <w:rtl/>
        </w:rPr>
        <w:t xml:space="preserve">الإشارة الواضحة للتعديل وأسبابه.</w:t>
      </w:r>
    </w:p>
    <w:p>
      <w:pPr>
        <w:pStyle w:val="ListParagraph"/>
        <w:numPr>
          <w:ilvl w:val="0"/>
          <w:numId w:val="2"/>
        </w:numPr>
        <w:bidi/>
        <w:spacing w:after="100" w:line="300"/>
        <w:jc w:val="right"/>
      </w:pPr>
      <w:r>
        <w:rPr>
          <w:rFonts w:ascii="Arial" w:cs="Arial" w:eastAsia="Arial" w:hAnsi="Arial"/>
          <w:sz w:val="24"/>
          <w:szCs w:val="24"/>
          <w:rtl/>
        </w:rPr>
        <w:t xml:space="preserve">إخطار جميع المساهمين بشكل مباشر.</w:t>
      </w:r>
    </w:p>
    <w:p>
      <w:pPr>
        <w:pStyle w:val="Heading2"/>
        <w:bidi/>
        <w:spacing w:after="160" w:before="280"/>
        <w:jc w:val="right"/>
      </w:pPr>
      <w:r>
        <w:rPr>
          <w:rFonts w:ascii="Arial" w:cs="Arial" w:eastAsia="Arial" w:hAnsi="Arial"/>
          <w:b/>
          <w:bCs/>
          <w:color w:val="2E75B6"/>
          <w:sz w:val="30"/>
          <w:szCs w:val="30"/>
          <w:rtl/>
        </w:rPr>
        <w:t xml:space="preserve">3. التأجيل الكامل للجمعية</w:t>
      </w:r>
    </w:p>
    <w:p>
      <w:pPr>
        <w:bidi/>
        <w:spacing w:after="140" w:line="320"/>
        <w:jc w:val="both"/>
      </w:pPr>
      <w:r>
        <w:rPr>
          <w:rFonts w:ascii="Arial" w:cs="Arial" w:eastAsia="Arial" w:hAnsi="Arial"/>
          <w:sz w:val="24"/>
          <w:szCs w:val="24"/>
          <w:rtl/>
        </w:rPr>
        <w:t xml:space="preserve">في حالات استثنائية، قد يستوجب تأجيل الجمعية بالكامل:</w:t>
      </w:r>
    </w:p>
    <w:p>
      <w:pPr>
        <w:pStyle w:val="ListParagraph"/>
        <w:numPr>
          <w:ilvl w:val="0"/>
          <w:numId w:val="2"/>
        </w:numPr>
        <w:bidi/>
        <w:spacing w:after="100" w:line="300"/>
        <w:jc w:val="right"/>
      </w:pPr>
      <w:r>
        <w:rPr>
          <w:rFonts w:ascii="Arial" w:cs="Arial" w:eastAsia="Arial" w:hAnsi="Arial"/>
          <w:sz w:val="24"/>
          <w:szCs w:val="24"/>
          <w:rtl/>
        </w:rPr>
        <w:t xml:space="preserve">ظروف قاهرة (كوارث، أوبئة).</w:t>
      </w:r>
    </w:p>
    <w:p>
      <w:pPr>
        <w:pStyle w:val="ListParagraph"/>
        <w:numPr>
          <w:ilvl w:val="0"/>
          <w:numId w:val="2"/>
        </w:numPr>
        <w:bidi/>
        <w:spacing w:after="100" w:line="300"/>
        <w:jc w:val="right"/>
      </w:pPr>
      <w:r>
        <w:rPr>
          <w:rFonts w:ascii="Arial" w:cs="Arial" w:eastAsia="Arial" w:hAnsi="Arial"/>
          <w:sz w:val="24"/>
          <w:szCs w:val="24"/>
          <w:rtl/>
        </w:rPr>
        <w:t xml:space="preserve">اكتشاف معلومات جوهرية تستوجب إعادة التقييم.</w:t>
      </w:r>
    </w:p>
    <w:p>
      <w:pPr>
        <w:pStyle w:val="ListParagraph"/>
        <w:numPr>
          <w:ilvl w:val="0"/>
          <w:numId w:val="2"/>
        </w:numPr>
        <w:bidi/>
        <w:spacing w:after="100" w:line="300"/>
        <w:jc w:val="right"/>
      </w:pPr>
      <w:r>
        <w:rPr>
          <w:rFonts w:ascii="Arial" w:cs="Arial" w:eastAsia="Arial" w:hAnsi="Arial"/>
          <w:sz w:val="24"/>
          <w:szCs w:val="24"/>
          <w:rtl/>
        </w:rPr>
        <w:t xml:space="preserve">نزاعات قانونية كبرى.</w:t>
      </w:r>
    </w:p>
    <w:p>
      <w:pPr>
        <w:pStyle w:val="ListParagraph"/>
        <w:numPr>
          <w:ilvl w:val="0"/>
          <w:numId w:val="2"/>
        </w:numPr>
        <w:bidi/>
        <w:spacing w:after="100" w:line="300"/>
        <w:jc w:val="right"/>
      </w:pPr>
      <w:r>
        <w:rPr>
          <w:rFonts w:ascii="Arial" w:cs="Arial" w:eastAsia="Arial" w:hAnsi="Arial"/>
          <w:sz w:val="24"/>
          <w:szCs w:val="24"/>
          <w:rtl/>
        </w:rPr>
        <w:t xml:space="preserve">توصيات من الجهات التنظيمية.</w:t>
      </w:r>
    </w:p>
    <w:p>
      <w:pPr>
        <w:bidi/>
        <w:spacing w:after="140" w:line="320"/>
        <w:jc w:val="both"/>
      </w:pPr>
      <w:r>
        <w:rPr>
          <w:rFonts w:ascii="Arial" w:cs="Arial" w:eastAsia="Arial" w:hAnsi="Arial"/>
          <w:sz w:val="24"/>
          <w:szCs w:val="24"/>
          <w:rtl/>
        </w:rPr>
        <w:t xml:space="preserve">في حالة التأجيل:</w:t>
      </w:r>
    </w:p>
    <w:p>
      <w:pPr>
        <w:pStyle w:val="ListParagraph"/>
        <w:numPr>
          <w:ilvl w:val="0"/>
          <w:numId w:val="2"/>
        </w:numPr>
        <w:bidi/>
        <w:spacing w:after="100" w:line="300"/>
        <w:jc w:val="right"/>
      </w:pPr>
      <w:r>
        <w:rPr>
          <w:rFonts w:ascii="Arial" w:cs="Arial" w:eastAsia="Arial" w:hAnsi="Arial"/>
          <w:sz w:val="24"/>
          <w:szCs w:val="24"/>
          <w:rtl/>
        </w:rPr>
        <w:t xml:space="preserve">إصدار قرار رسمي بالتأجيل.</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عن قرار التأجيل والأسباب.</w:t>
      </w:r>
    </w:p>
    <w:p>
      <w:pPr>
        <w:pStyle w:val="ListParagraph"/>
        <w:numPr>
          <w:ilvl w:val="0"/>
          <w:numId w:val="2"/>
        </w:numPr>
        <w:bidi/>
        <w:spacing w:after="100" w:line="300"/>
        <w:jc w:val="right"/>
      </w:pPr>
      <w:r>
        <w:rPr>
          <w:rFonts w:ascii="Arial" w:cs="Arial" w:eastAsia="Arial" w:hAnsi="Arial"/>
          <w:sz w:val="24"/>
          <w:szCs w:val="24"/>
          <w:rtl/>
        </w:rPr>
        <w:t xml:space="preserve">الإعلان عن الموعد الجديد.</w:t>
      </w:r>
    </w:p>
    <w:p>
      <w:pPr>
        <w:pStyle w:val="ListParagraph"/>
        <w:numPr>
          <w:ilvl w:val="0"/>
          <w:numId w:val="2"/>
        </w:numPr>
        <w:bidi/>
        <w:spacing w:after="100" w:line="300"/>
        <w:jc w:val="right"/>
      </w:pPr>
      <w:r>
        <w:rPr>
          <w:rFonts w:ascii="Arial" w:cs="Arial" w:eastAsia="Arial" w:hAnsi="Arial"/>
          <w:sz w:val="24"/>
          <w:szCs w:val="24"/>
          <w:rtl/>
        </w:rPr>
        <w:t xml:space="preserve">إعادة الإجراءات بالكامل (دعوة جديدة).</w:t>
      </w:r>
    </w:p>
    <w:p>
      <w:pPr>
        <w:pStyle w:val="ListParagraph"/>
        <w:numPr>
          <w:ilvl w:val="0"/>
          <w:numId w:val="2"/>
        </w:numPr>
        <w:bidi/>
        <w:spacing w:after="100" w:line="300"/>
        <w:jc w:val="right"/>
      </w:pPr>
      <w:r>
        <w:rPr>
          <w:rFonts w:ascii="Arial" w:cs="Arial" w:eastAsia="Arial" w:hAnsi="Arial"/>
          <w:sz w:val="24"/>
          <w:szCs w:val="24"/>
          <w:rtl/>
        </w:rPr>
        <w:t xml:space="preserve">إغلاق التصويت الإلكتروني السابق.</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الإفصاحات المرتبطة بالدعوة</w:t>
      </w:r>
    </w:p>
    <w:p>
      <w:pPr>
        <w:bidi/>
        <w:spacing w:after="140" w:line="320"/>
        <w:jc w:val="both"/>
      </w:pPr>
      <w:r>
        <w:rPr>
          <w:rFonts w:ascii="Arial" w:cs="Arial" w:eastAsia="Arial" w:hAnsi="Arial"/>
          <w:sz w:val="24"/>
          <w:szCs w:val="24"/>
          <w:rtl/>
        </w:rPr>
        <w:t xml:space="preserve">الدعوة للجمعية لا تأتي منفصلة، بل مرتبطة بحزمة من الإفصاحات والإجراءات التنظيمية:</w:t>
      </w:r>
    </w:p>
    <w:p>
      <w:pPr>
        <w:pStyle w:val="Heading2"/>
        <w:bidi/>
        <w:spacing w:after="160" w:before="280"/>
        <w:jc w:val="right"/>
      </w:pPr>
      <w:r>
        <w:rPr>
          <w:rFonts w:ascii="Arial" w:cs="Arial" w:eastAsia="Arial" w:hAnsi="Arial"/>
          <w:b/>
          <w:bCs/>
          <w:color w:val="2E75B6"/>
          <w:sz w:val="30"/>
          <w:szCs w:val="30"/>
          <w:rtl/>
        </w:rPr>
        <w:t xml:space="preserve">1. الإفصاح المسبق للجهات التنظيمية</w:t>
      </w:r>
    </w:p>
    <w:p>
      <w:pPr>
        <w:pStyle w:val="Heading3"/>
        <w:bidi/>
        <w:spacing w:after="120" w:before="200"/>
        <w:jc w:val="right"/>
      </w:pPr>
      <w:r>
        <w:rPr>
          <w:rFonts w:ascii="Arial" w:cs="Arial" w:eastAsia="Arial" w:hAnsi="Arial"/>
          <w:b/>
          <w:bCs/>
          <w:color w:val="1F4E79"/>
          <w:sz w:val="26"/>
          <w:szCs w:val="26"/>
          <w:rtl/>
        </w:rPr>
        <w:t xml:space="preserve">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إفصاح مسبق لهيئة السوق المالية بقرار المجلس.</w:t>
      </w:r>
    </w:p>
    <w:p>
      <w:pPr>
        <w:pStyle w:val="ListParagraph"/>
        <w:numPr>
          <w:ilvl w:val="0"/>
          <w:numId w:val="2"/>
        </w:numPr>
        <w:bidi/>
        <w:spacing w:after="100" w:line="300"/>
        <w:jc w:val="right"/>
      </w:pPr>
      <w:r>
        <w:rPr>
          <w:rFonts w:ascii="Arial" w:cs="Arial" w:eastAsia="Arial" w:hAnsi="Arial"/>
          <w:sz w:val="24"/>
          <w:szCs w:val="24"/>
          <w:rtl/>
        </w:rPr>
        <w:t xml:space="preserve">إفصاح للسوق المالية (تداول) قبل النشر العام.</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المتطلبات قبل النشر.</w:t>
      </w:r>
    </w:p>
    <w:p>
      <w:pPr>
        <w:pStyle w:val="Heading3"/>
        <w:bidi/>
        <w:spacing w:after="120" w:before="200"/>
        <w:jc w:val="right"/>
      </w:pPr>
      <w:r>
        <w:rPr>
          <w:rFonts w:ascii="Arial" w:cs="Arial" w:eastAsia="Arial" w:hAnsi="Arial"/>
          <w:b/>
          <w:bCs/>
          <w:color w:val="1F4E79"/>
          <w:sz w:val="26"/>
          <w:szCs w:val="26"/>
          <w:rtl/>
        </w:rPr>
        <w:t xml:space="preserve">للشركات غير المدرجة</w:t>
      </w:r>
    </w:p>
    <w:p>
      <w:pPr>
        <w:pStyle w:val="ListParagraph"/>
        <w:numPr>
          <w:ilvl w:val="0"/>
          <w:numId w:val="2"/>
        </w:numPr>
        <w:bidi/>
        <w:spacing w:after="100" w:line="300"/>
        <w:jc w:val="right"/>
      </w:pPr>
      <w:r>
        <w:rPr>
          <w:rFonts w:ascii="Arial" w:cs="Arial" w:eastAsia="Arial" w:hAnsi="Arial"/>
          <w:sz w:val="24"/>
          <w:szCs w:val="24"/>
          <w:rtl/>
        </w:rPr>
        <w:t xml:space="preserve">إفصاح لوزارة التجارة عبر منصة "إحاطة الوزارة".</w:t>
      </w:r>
    </w:p>
    <w:p>
      <w:pPr>
        <w:pStyle w:val="ListParagraph"/>
        <w:numPr>
          <w:ilvl w:val="0"/>
          <w:numId w:val="2"/>
        </w:numPr>
        <w:bidi/>
        <w:spacing w:after="100" w:line="300"/>
        <w:jc w:val="right"/>
      </w:pPr>
      <w:r>
        <w:rPr>
          <w:rFonts w:ascii="Arial" w:cs="Arial" w:eastAsia="Arial" w:hAnsi="Arial"/>
          <w:sz w:val="24"/>
          <w:szCs w:val="24"/>
          <w:rtl/>
        </w:rPr>
        <w:t xml:space="preserve">التعاون مع الجهات التنظيمية في الحالات الخاصة.</w:t>
      </w:r>
    </w:p>
    <w:p>
      <w:pPr>
        <w:pStyle w:val="Heading2"/>
        <w:bidi/>
        <w:spacing w:after="160" w:before="280"/>
        <w:jc w:val="right"/>
      </w:pPr>
      <w:r>
        <w:rPr>
          <w:rFonts w:ascii="Arial" w:cs="Arial" w:eastAsia="Arial" w:hAnsi="Arial"/>
          <w:b/>
          <w:bCs/>
          <w:color w:val="2E75B6"/>
          <w:sz w:val="30"/>
          <w:szCs w:val="30"/>
          <w:rtl/>
        </w:rPr>
        <w:t xml:space="preserve">2. الإفصاحات اللاحقة</w:t>
      </w:r>
    </w:p>
    <w:p>
      <w:pPr>
        <w:bidi/>
        <w:spacing w:after="140" w:line="320"/>
        <w:jc w:val="both"/>
      </w:pPr>
      <w:r>
        <w:rPr>
          <w:rFonts w:ascii="Arial" w:cs="Arial" w:eastAsia="Arial" w:hAnsi="Arial"/>
          <w:sz w:val="24"/>
          <w:szCs w:val="24"/>
          <w:rtl/>
        </w:rPr>
        <w:t xml:space="preserve">بعد نشر الدعوة، تُتابع الإفصاحات حول:</w:t>
      </w:r>
    </w:p>
    <w:p>
      <w:pPr>
        <w:pStyle w:val="ListParagraph"/>
        <w:numPr>
          <w:ilvl w:val="0"/>
          <w:numId w:val="2"/>
        </w:numPr>
        <w:bidi/>
        <w:spacing w:after="100" w:line="300"/>
        <w:jc w:val="right"/>
      </w:pPr>
      <w:r>
        <w:rPr>
          <w:rFonts w:ascii="Arial" w:cs="Arial" w:eastAsia="Arial" w:hAnsi="Arial"/>
          <w:sz w:val="24"/>
          <w:szCs w:val="24"/>
          <w:rtl/>
        </w:rPr>
        <w:t xml:space="preserve">أي تعديلات على جدول الأعمال.</w:t>
      </w:r>
    </w:p>
    <w:p>
      <w:pPr>
        <w:pStyle w:val="ListParagraph"/>
        <w:numPr>
          <w:ilvl w:val="0"/>
          <w:numId w:val="2"/>
        </w:numPr>
        <w:bidi/>
        <w:spacing w:after="100" w:line="300"/>
        <w:jc w:val="right"/>
      </w:pPr>
      <w:r>
        <w:rPr>
          <w:rFonts w:ascii="Arial" w:cs="Arial" w:eastAsia="Arial" w:hAnsi="Arial"/>
          <w:sz w:val="24"/>
          <w:szCs w:val="24"/>
          <w:rtl/>
        </w:rPr>
        <w:t xml:space="preserve">استلام طلبات المساهمين لإدراج بنود.</w:t>
      </w:r>
    </w:p>
    <w:p>
      <w:pPr>
        <w:pStyle w:val="ListParagraph"/>
        <w:numPr>
          <w:ilvl w:val="0"/>
          <w:numId w:val="2"/>
        </w:numPr>
        <w:bidi/>
        <w:spacing w:after="100" w:line="300"/>
        <w:jc w:val="right"/>
      </w:pPr>
      <w:r>
        <w:rPr>
          <w:rFonts w:ascii="Arial" w:cs="Arial" w:eastAsia="Arial" w:hAnsi="Arial"/>
          <w:sz w:val="24"/>
          <w:szCs w:val="24"/>
          <w:rtl/>
        </w:rPr>
        <w:t xml:space="preserve">معلومات جديدة تخص البنود.</w:t>
      </w:r>
    </w:p>
    <w:p>
      <w:pPr>
        <w:pStyle w:val="ListParagraph"/>
        <w:numPr>
          <w:ilvl w:val="0"/>
          <w:numId w:val="2"/>
        </w:numPr>
        <w:bidi/>
        <w:spacing w:after="100" w:line="300"/>
        <w:jc w:val="right"/>
      </w:pPr>
      <w:r>
        <w:rPr>
          <w:rFonts w:ascii="Arial" w:cs="Arial" w:eastAsia="Arial" w:hAnsi="Arial"/>
          <w:sz w:val="24"/>
          <w:szCs w:val="24"/>
          <w:rtl/>
        </w:rPr>
        <w:t xml:space="preserve">ظروف استثنائية تطرأ.</w:t>
      </w:r>
    </w:p>
    <w:p>
      <w:pPr>
        <w:pStyle w:val="Heading2"/>
        <w:bidi/>
        <w:spacing w:after="160" w:before="280"/>
        <w:jc w:val="right"/>
      </w:pPr>
      <w:r>
        <w:rPr>
          <w:rFonts w:ascii="Arial" w:cs="Arial" w:eastAsia="Arial" w:hAnsi="Arial"/>
          <w:b/>
          <w:bCs/>
          <w:color w:val="2E75B6"/>
          <w:sz w:val="30"/>
          <w:szCs w:val="30"/>
          <w:rtl/>
        </w:rPr>
        <w:t xml:space="preserve">3. الإفصاحات في حالات خاصة</w:t>
      </w:r>
    </w:p>
    <w:p>
      <w:pPr>
        <w:pStyle w:val="Heading3"/>
        <w:bidi/>
        <w:spacing w:after="120" w:before="200"/>
        <w:jc w:val="right"/>
      </w:pPr>
      <w:r>
        <w:rPr>
          <w:rFonts w:ascii="Arial" w:cs="Arial" w:eastAsia="Arial" w:hAnsi="Arial"/>
          <w:b/>
          <w:bCs/>
          <w:color w:val="1F4E79"/>
          <w:sz w:val="26"/>
          <w:szCs w:val="26"/>
          <w:rtl/>
        </w:rPr>
        <w:t xml:space="preserve">معاملات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تفاصيل المعاملات.</w:t>
      </w:r>
    </w:p>
    <w:p>
      <w:pPr>
        <w:pStyle w:val="ListParagraph"/>
        <w:numPr>
          <w:ilvl w:val="0"/>
          <w:numId w:val="2"/>
        </w:numPr>
        <w:bidi/>
        <w:spacing w:after="100" w:line="300"/>
        <w:jc w:val="right"/>
      </w:pPr>
      <w:r>
        <w:rPr>
          <w:rFonts w:ascii="Arial" w:cs="Arial" w:eastAsia="Arial" w:hAnsi="Arial"/>
          <w:sz w:val="24"/>
          <w:szCs w:val="24"/>
          <w:rtl/>
        </w:rPr>
        <w:t xml:space="preserve">الأطراف المعنية.</w:t>
      </w:r>
    </w:p>
    <w:p>
      <w:pPr>
        <w:pStyle w:val="ListParagraph"/>
        <w:numPr>
          <w:ilvl w:val="0"/>
          <w:numId w:val="2"/>
        </w:numPr>
        <w:bidi/>
        <w:spacing w:after="100" w:line="300"/>
        <w:jc w:val="right"/>
      </w:pPr>
      <w:r>
        <w:rPr>
          <w:rFonts w:ascii="Arial" w:cs="Arial" w:eastAsia="Arial" w:hAnsi="Arial"/>
          <w:sz w:val="24"/>
          <w:szCs w:val="24"/>
          <w:rtl/>
        </w:rPr>
        <w:t xml:space="preserve">قيمة المعاملات.</w:t>
      </w:r>
    </w:p>
    <w:p>
      <w:pPr>
        <w:pStyle w:val="ListParagraph"/>
        <w:numPr>
          <w:ilvl w:val="0"/>
          <w:numId w:val="2"/>
        </w:numPr>
        <w:bidi/>
        <w:spacing w:after="100" w:line="300"/>
        <w:jc w:val="right"/>
      </w:pPr>
      <w:r>
        <w:rPr>
          <w:rFonts w:ascii="Arial" w:cs="Arial" w:eastAsia="Arial" w:hAnsi="Arial"/>
          <w:sz w:val="24"/>
          <w:szCs w:val="24"/>
          <w:rtl/>
        </w:rPr>
        <w:t xml:space="preserve">شروطها.</w:t>
      </w:r>
    </w:p>
    <w:p>
      <w:pPr>
        <w:pStyle w:val="ListParagraph"/>
        <w:numPr>
          <w:ilvl w:val="0"/>
          <w:numId w:val="2"/>
        </w:numPr>
        <w:bidi/>
        <w:spacing w:after="100" w:line="300"/>
        <w:jc w:val="right"/>
      </w:pPr>
      <w:r>
        <w:rPr>
          <w:rFonts w:ascii="Arial" w:cs="Arial" w:eastAsia="Arial" w:hAnsi="Arial"/>
          <w:sz w:val="24"/>
          <w:szCs w:val="24"/>
          <w:rtl/>
        </w:rPr>
        <w:t xml:space="preserve">الإفصاح الكامل قبل التصويت.</w:t>
      </w:r>
    </w:p>
    <w:p>
      <w:pPr>
        <w:pStyle w:val="Heading3"/>
        <w:bidi/>
        <w:spacing w:after="120" w:before="200"/>
        <w:jc w:val="right"/>
      </w:pPr>
      <w:r>
        <w:rPr>
          <w:rFonts w:ascii="Arial" w:cs="Arial" w:eastAsia="Arial" w:hAnsi="Arial"/>
          <w:b/>
          <w:bCs/>
          <w:color w:val="1F4E79"/>
          <w:sz w:val="26"/>
          <w:szCs w:val="26"/>
          <w:rtl/>
        </w:rPr>
        <w:t xml:space="preserve">القرارات الاستثنائية (الاندماج، التصفية)</w:t>
      </w:r>
    </w:p>
    <w:p>
      <w:pPr>
        <w:pStyle w:val="ListParagraph"/>
        <w:numPr>
          <w:ilvl w:val="0"/>
          <w:numId w:val="2"/>
        </w:numPr>
        <w:bidi/>
        <w:spacing w:after="100" w:line="300"/>
        <w:jc w:val="right"/>
      </w:pPr>
      <w:r>
        <w:rPr>
          <w:rFonts w:ascii="Arial" w:cs="Arial" w:eastAsia="Arial" w:hAnsi="Arial"/>
          <w:sz w:val="24"/>
          <w:szCs w:val="24"/>
          <w:rtl/>
        </w:rPr>
        <w:t xml:space="preserve">تفاصيل القرار.</w:t>
      </w:r>
    </w:p>
    <w:p>
      <w:pPr>
        <w:pStyle w:val="ListParagraph"/>
        <w:numPr>
          <w:ilvl w:val="0"/>
          <w:numId w:val="2"/>
        </w:numPr>
        <w:bidi/>
        <w:spacing w:after="100" w:line="300"/>
        <w:jc w:val="right"/>
      </w:pPr>
      <w:r>
        <w:rPr>
          <w:rFonts w:ascii="Arial" w:cs="Arial" w:eastAsia="Arial" w:hAnsi="Arial"/>
          <w:sz w:val="24"/>
          <w:szCs w:val="24"/>
          <w:rtl/>
        </w:rPr>
        <w:t xml:space="preserve">الأثر المتوقع.</w:t>
      </w:r>
    </w:p>
    <w:p>
      <w:pPr>
        <w:pStyle w:val="ListParagraph"/>
        <w:numPr>
          <w:ilvl w:val="0"/>
          <w:numId w:val="2"/>
        </w:numPr>
        <w:bidi/>
        <w:spacing w:after="100" w:line="300"/>
        <w:jc w:val="right"/>
      </w:pPr>
      <w:r>
        <w:rPr>
          <w:rFonts w:ascii="Arial" w:cs="Arial" w:eastAsia="Arial" w:hAnsi="Arial"/>
          <w:sz w:val="24"/>
          <w:szCs w:val="24"/>
          <w:rtl/>
        </w:rPr>
        <w:t xml:space="preserve">الموافقات التنظيمية المطلوبة.</w:t>
      </w:r>
    </w:p>
    <w:p>
      <w:pPr>
        <w:pStyle w:val="ListParagraph"/>
        <w:numPr>
          <w:ilvl w:val="0"/>
          <w:numId w:val="2"/>
        </w:numPr>
        <w:bidi/>
        <w:spacing w:after="100" w:line="300"/>
        <w:jc w:val="right"/>
      </w:pPr>
      <w:r>
        <w:rPr>
          <w:rFonts w:ascii="Arial" w:cs="Arial" w:eastAsia="Arial" w:hAnsi="Arial"/>
          <w:sz w:val="24"/>
          <w:szCs w:val="24"/>
          <w:rtl/>
        </w:rPr>
        <w:t xml:space="preserve">الجدول الزمني.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التعامل مع فئات خاصة من المساهمين</w:t>
      </w:r>
    </w:p>
    <w:p>
      <w:pPr>
        <w:pStyle w:val="Heading2"/>
        <w:bidi/>
        <w:spacing w:after="160" w:before="280"/>
        <w:jc w:val="right"/>
      </w:pPr>
      <w:r>
        <w:rPr>
          <w:rFonts w:ascii="Arial" w:cs="Arial" w:eastAsia="Arial" w:hAnsi="Arial"/>
          <w:b/>
          <w:bCs/>
          <w:color w:val="2E75B6"/>
          <w:sz w:val="30"/>
          <w:szCs w:val="30"/>
          <w:rtl/>
        </w:rPr>
        <w:t xml:space="preserve">1. المساهمون الأجانب</w:t>
      </w:r>
    </w:p>
    <w:p>
      <w:pPr>
        <w:pStyle w:val="ListParagraph"/>
        <w:numPr>
          <w:ilvl w:val="0"/>
          <w:numId w:val="2"/>
        </w:numPr>
        <w:bidi/>
        <w:spacing w:after="100" w:line="300"/>
        <w:jc w:val="right"/>
      </w:pPr>
      <w:r>
        <w:rPr>
          <w:rFonts w:ascii="Arial" w:cs="Arial" w:eastAsia="Arial" w:hAnsi="Arial"/>
          <w:sz w:val="24"/>
          <w:szCs w:val="24"/>
          <w:rtl/>
        </w:rPr>
        <w:t xml:space="preserve">ترجمة الدعوة للإنجليزية كاملة.</w:t>
      </w:r>
    </w:p>
    <w:p>
      <w:pPr>
        <w:pStyle w:val="ListParagraph"/>
        <w:numPr>
          <w:ilvl w:val="0"/>
          <w:numId w:val="2"/>
        </w:numPr>
        <w:bidi/>
        <w:spacing w:after="100" w:line="300"/>
        <w:jc w:val="right"/>
      </w:pPr>
      <w:r>
        <w:rPr>
          <w:rFonts w:ascii="Arial" w:cs="Arial" w:eastAsia="Arial" w:hAnsi="Arial"/>
          <w:sz w:val="24"/>
          <w:szCs w:val="24"/>
          <w:rtl/>
        </w:rPr>
        <w:t xml:space="preserve">مراعاة فروق التوقيت.</w:t>
      </w:r>
    </w:p>
    <w:p>
      <w:pPr>
        <w:pStyle w:val="ListParagraph"/>
        <w:numPr>
          <w:ilvl w:val="0"/>
          <w:numId w:val="2"/>
        </w:numPr>
        <w:bidi/>
        <w:spacing w:after="100" w:line="300"/>
        <w:jc w:val="right"/>
      </w:pPr>
      <w:r>
        <w:rPr>
          <w:rFonts w:ascii="Arial" w:cs="Arial" w:eastAsia="Arial" w:hAnsi="Arial"/>
          <w:sz w:val="24"/>
          <w:szCs w:val="24"/>
          <w:rtl/>
        </w:rPr>
        <w:t xml:space="preserve">توفير قنوات تواصل دولية.</w:t>
      </w:r>
    </w:p>
    <w:p>
      <w:pPr>
        <w:pStyle w:val="ListParagraph"/>
        <w:numPr>
          <w:ilvl w:val="0"/>
          <w:numId w:val="2"/>
        </w:numPr>
        <w:bidi/>
        <w:spacing w:after="100" w:line="300"/>
        <w:jc w:val="right"/>
      </w:pPr>
      <w:r>
        <w:rPr>
          <w:rFonts w:ascii="Arial" w:cs="Arial" w:eastAsia="Arial" w:hAnsi="Arial"/>
          <w:sz w:val="24"/>
          <w:szCs w:val="24"/>
          <w:rtl/>
        </w:rPr>
        <w:t xml:space="preserve">معلومات عن اتفاقيات منع الازدواج الضريبي (إن لزم).</w:t>
      </w:r>
    </w:p>
    <w:p>
      <w:pPr>
        <w:pStyle w:val="Heading2"/>
        <w:bidi/>
        <w:spacing w:after="160" w:before="280"/>
        <w:jc w:val="right"/>
      </w:pPr>
      <w:r>
        <w:rPr>
          <w:rFonts w:ascii="Arial" w:cs="Arial" w:eastAsia="Arial" w:hAnsi="Arial"/>
          <w:b/>
          <w:bCs/>
          <w:color w:val="2E75B6"/>
          <w:sz w:val="30"/>
          <w:szCs w:val="30"/>
          <w:rtl/>
        </w:rPr>
        <w:t xml:space="preserve">2. الأشخاص الاعتباريون</w:t>
      </w:r>
    </w:p>
    <w:p>
      <w:pPr>
        <w:pStyle w:val="ListParagraph"/>
        <w:numPr>
          <w:ilvl w:val="0"/>
          <w:numId w:val="2"/>
        </w:numPr>
        <w:bidi/>
        <w:spacing w:after="100" w:line="300"/>
        <w:jc w:val="right"/>
      </w:pPr>
      <w:r>
        <w:rPr>
          <w:rFonts w:ascii="Arial" w:cs="Arial" w:eastAsia="Arial" w:hAnsi="Arial"/>
          <w:sz w:val="24"/>
          <w:szCs w:val="24"/>
          <w:rtl/>
        </w:rPr>
        <w:t xml:space="preserve">توجيه الدعوة للممثل النظامي.</w:t>
      </w:r>
    </w:p>
    <w:p>
      <w:pPr>
        <w:pStyle w:val="ListParagraph"/>
        <w:numPr>
          <w:ilvl w:val="0"/>
          <w:numId w:val="2"/>
        </w:numPr>
        <w:bidi/>
        <w:spacing w:after="100" w:line="300"/>
        <w:jc w:val="right"/>
      </w:pPr>
      <w:r>
        <w:rPr>
          <w:rFonts w:ascii="Arial" w:cs="Arial" w:eastAsia="Arial" w:hAnsi="Arial"/>
          <w:sz w:val="24"/>
          <w:szCs w:val="24"/>
          <w:rtl/>
        </w:rPr>
        <w:t xml:space="preserve">طلب تفويض مكتوب من مجلس إدارة الشخص الاعتباري.</w:t>
      </w:r>
    </w:p>
    <w:p>
      <w:pPr>
        <w:pStyle w:val="ListParagraph"/>
        <w:numPr>
          <w:ilvl w:val="0"/>
          <w:numId w:val="2"/>
        </w:numPr>
        <w:bidi/>
        <w:spacing w:after="100" w:line="300"/>
        <w:jc w:val="right"/>
      </w:pPr>
      <w:r>
        <w:rPr>
          <w:rFonts w:ascii="Arial" w:cs="Arial" w:eastAsia="Arial" w:hAnsi="Arial"/>
          <w:sz w:val="24"/>
          <w:szCs w:val="24"/>
          <w:rtl/>
        </w:rPr>
        <w:t xml:space="preserve">التحقق من صلاحيات الممثل.</w:t>
      </w:r>
    </w:p>
    <w:p>
      <w:pPr>
        <w:pStyle w:val="Heading2"/>
        <w:bidi/>
        <w:spacing w:after="160" w:before="280"/>
        <w:jc w:val="right"/>
      </w:pPr>
      <w:r>
        <w:rPr>
          <w:rFonts w:ascii="Arial" w:cs="Arial" w:eastAsia="Arial" w:hAnsi="Arial"/>
          <w:b/>
          <w:bCs/>
          <w:color w:val="2E75B6"/>
          <w:sz w:val="30"/>
          <w:szCs w:val="30"/>
          <w:rtl/>
        </w:rPr>
        <w:t xml:space="preserve">3. القاصرون والمحجور عليهم</w:t>
      </w:r>
    </w:p>
    <w:p>
      <w:pPr>
        <w:pStyle w:val="ListParagraph"/>
        <w:numPr>
          <w:ilvl w:val="0"/>
          <w:numId w:val="2"/>
        </w:numPr>
        <w:bidi/>
        <w:spacing w:after="100" w:line="300"/>
        <w:jc w:val="right"/>
      </w:pPr>
      <w:r>
        <w:rPr>
          <w:rFonts w:ascii="Arial" w:cs="Arial" w:eastAsia="Arial" w:hAnsi="Arial"/>
          <w:sz w:val="24"/>
          <w:szCs w:val="24"/>
          <w:rtl/>
        </w:rPr>
        <w:t xml:space="preserve">توجيه الدعوة للولي أو القيّم.</w:t>
      </w:r>
    </w:p>
    <w:p>
      <w:pPr>
        <w:pStyle w:val="ListParagraph"/>
        <w:numPr>
          <w:ilvl w:val="0"/>
          <w:numId w:val="2"/>
        </w:numPr>
        <w:bidi/>
        <w:spacing w:after="100" w:line="300"/>
        <w:jc w:val="right"/>
      </w:pPr>
      <w:r>
        <w:rPr>
          <w:rFonts w:ascii="Arial" w:cs="Arial" w:eastAsia="Arial" w:hAnsi="Arial"/>
          <w:sz w:val="24"/>
          <w:szCs w:val="24"/>
          <w:rtl/>
        </w:rPr>
        <w:t xml:space="preserve">طلب الوثائق الإثباتية للولاية أو القوامة.</w:t>
      </w:r>
    </w:p>
    <w:p>
      <w:pPr>
        <w:pStyle w:val="ListParagraph"/>
        <w:numPr>
          <w:ilvl w:val="0"/>
          <w:numId w:val="2"/>
        </w:numPr>
        <w:bidi/>
        <w:spacing w:after="100" w:line="300"/>
        <w:jc w:val="right"/>
      </w:pPr>
      <w:r>
        <w:rPr>
          <w:rFonts w:ascii="Arial" w:cs="Arial" w:eastAsia="Arial" w:hAnsi="Arial"/>
          <w:sz w:val="24"/>
          <w:szCs w:val="24"/>
          <w:rtl/>
        </w:rPr>
        <w:t xml:space="preserve">الالتزام بأحكام الولاية في التصويت.</w:t>
      </w:r>
    </w:p>
    <w:p>
      <w:pPr>
        <w:pStyle w:val="Heading2"/>
        <w:bidi/>
        <w:spacing w:after="160" w:before="280"/>
        <w:jc w:val="right"/>
      </w:pPr>
      <w:r>
        <w:rPr>
          <w:rFonts w:ascii="Arial" w:cs="Arial" w:eastAsia="Arial" w:hAnsi="Arial"/>
          <w:b/>
          <w:bCs/>
          <w:color w:val="2E75B6"/>
          <w:sz w:val="30"/>
          <w:szCs w:val="30"/>
          <w:rtl/>
        </w:rPr>
        <w:t xml:space="preserve">4. الورثة</w:t>
      </w:r>
    </w:p>
    <w:p>
      <w:pPr>
        <w:bidi/>
        <w:spacing w:after="140" w:line="320"/>
        <w:jc w:val="both"/>
      </w:pPr>
      <w:r>
        <w:rPr>
          <w:rFonts w:ascii="Arial" w:cs="Arial" w:eastAsia="Arial" w:hAnsi="Arial"/>
          <w:sz w:val="24"/>
          <w:szCs w:val="24"/>
          <w:rtl/>
        </w:rPr>
        <w:t xml:space="preserve">في حالة الورثة الذين لم تكتمل إجراءات نقل الملكية:</w:t>
      </w:r>
    </w:p>
    <w:p>
      <w:pPr>
        <w:pStyle w:val="ListParagraph"/>
        <w:numPr>
          <w:ilvl w:val="0"/>
          <w:numId w:val="2"/>
        </w:numPr>
        <w:bidi/>
        <w:spacing w:after="100" w:line="300"/>
        <w:jc w:val="right"/>
      </w:pPr>
      <w:r>
        <w:rPr>
          <w:rFonts w:ascii="Arial" w:cs="Arial" w:eastAsia="Arial" w:hAnsi="Arial"/>
          <w:sz w:val="24"/>
          <w:szCs w:val="24"/>
          <w:rtl/>
        </w:rPr>
        <w:t xml:space="preserve">تعليق توجيه الدعوة لحين اكتمال الإجراءات.</w:t>
      </w:r>
    </w:p>
    <w:p>
      <w:pPr>
        <w:pStyle w:val="ListParagraph"/>
        <w:numPr>
          <w:ilvl w:val="0"/>
          <w:numId w:val="2"/>
        </w:numPr>
        <w:bidi/>
        <w:spacing w:after="100" w:line="300"/>
        <w:jc w:val="right"/>
      </w:pPr>
      <w:r>
        <w:rPr>
          <w:rFonts w:ascii="Arial" w:cs="Arial" w:eastAsia="Arial" w:hAnsi="Arial"/>
          <w:sz w:val="24"/>
          <w:szCs w:val="24"/>
          <w:rtl/>
        </w:rPr>
        <w:t xml:space="preserve">التواصل مع وكيل الورثة (إن وُجد).</w:t>
      </w:r>
    </w:p>
    <w:p>
      <w:pPr>
        <w:pStyle w:val="ListParagraph"/>
        <w:numPr>
          <w:ilvl w:val="0"/>
          <w:numId w:val="2"/>
        </w:numPr>
        <w:bidi/>
        <w:spacing w:after="100" w:line="300"/>
        <w:jc w:val="right"/>
      </w:pPr>
      <w:r>
        <w:rPr>
          <w:rFonts w:ascii="Arial" w:cs="Arial" w:eastAsia="Arial" w:hAnsi="Arial"/>
          <w:sz w:val="24"/>
          <w:szCs w:val="24"/>
          <w:rtl/>
        </w:rPr>
        <w:t xml:space="preserve">الاستعانة بالمحكمة في الحالات المعقدة.</w:t>
      </w:r>
    </w:p>
    <w:p>
      <w:pPr>
        <w:pStyle w:val="Heading2"/>
        <w:bidi/>
        <w:spacing w:after="160" w:before="280"/>
        <w:jc w:val="right"/>
      </w:pPr>
      <w:r>
        <w:rPr>
          <w:rFonts w:ascii="Arial" w:cs="Arial" w:eastAsia="Arial" w:hAnsi="Arial"/>
          <w:b/>
          <w:bCs/>
          <w:color w:val="2E75B6"/>
          <w:sz w:val="30"/>
          <w:szCs w:val="30"/>
          <w:rtl/>
        </w:rPr>
        <w:t xml:space="preserve">5. المساهمون أصحاب الأسهم المرهونة</w:t>
      </w:r>
    </w:p>
    <w:p>
      <w:pPr>
        <w:pStyle w:val="ListParagraph"/>
        <w:numPr>
          <w:ilvl w:val="0"/>
          <w:numId w:val="2"/>
        </w:numPr>
        <w:bidi/>
        <w:spacing w:after="100" w:line="300"/>
        <w:jc w:val="right"/>
      </w:pPr>
      <w:r>
        <w:rPr>
          <w:rFonts w:ascii="Arial" w:cs="Arial" w:eastAsia="Arial" w:hAnsi="Arial"/>
          <w:sz w:val="24"/>
          <w:szCs w:val="24"/>
          <w:rtl/>
        </w:rPr>
        <w:t xml:space="preserve">توجيه الدعوة للمالك الأصلي (الراهن).</w:t>
      </w:r>
    </w:p>
    <w:p>
      <w:pPr>
        <w:pStyle w:val="ListParagraph"/>
        <w:numPr>
          <w:ilvl w:val="0"/>
          <w:numId w:val="2"/>
        </w:numPr>
        <w:bidi/>
        <w:spacing w:after="100" w:line="300"/>
        <w:jc w:val="right"/>
      </w:pPr>
      <w:r>
        <w:rPr>
          <w:rFonts w:ascii="Arial" w:cs="Arial" w:eastAsia="Arial" w:hAnsi="Arial"/>
          <w:sz w:val="24"/>
          <w:szCs w:val="24"/>
          <w:rtl/>
        </w:rPr>
        <w:t xml:space="preserve">التوضيح بأن حقوق التصويت تبقى للراهن.</w:t>
      </w:r>
    </w:p>
    <w:p>
      <w:pPr>
        <w:pStyle w:val="ListParagraph"/>
        <w:numPr>
          <w:ilvl w:val="0"/>
          <w:numId w:val="2"/>
        </w:numPr>
        <w:bidi/>
        <w:spacing w:after="100" w:line="300"/>
        <w:jc w:val="right"/>
      </w:pPr>
      <w:r>
        <w:rPr>
          <w:rFonts w:ascii="Arial" w:cs="Arial" w:eastAsia="Arial" w:hAnsi="Arial"/>
          <w:sz w:val="24"/>
          <w:szCs w:val="24"/>
          <w:rtl/>
        </w:rPr>
        <w:t xml:space="preserve">التعامل مع المرتهن في حالة وجود اتفاق خاص.</w:t>
      </w:r>
    </w:p>
    <w:p>
      <w:pPr>
        <w:pStyle w:val="Heading2"/>
        <w:bidi/>
        <w:spacing w:after="160" w:before="280"/>
        <w:jc w:val="right"/>
      </w:pPr>
      <w:r>
        <w:rPr>
          <w:rFonts w:ascii="Arial" w:cs="Arial" w:eastAsia="Arial" w:hAnsi="Arial"/>
          <w:b/>
          <w:bCs/>
          <w:color w:val="2E75B6"/>
          <w:sz w:val="30"/>
          <w:szCs w:val="30"/>
          <w:rtl/>
        </w:rPr>
        <w:t xml:space="preserve">6. المساهمون أصحاب الأسهم المحجوزة</w:t>
      </w:r>
    </w:p>
    <w:p>
      <w:pPr>
        <w:pStyle w:val="ListParagraph"/>
        <w:numPr>
          <w:ilvl w:val="0"/>
          <w:numId w:val="2"/>
        </w:numPr>
        <w:bidi/>
        <w:spacing w:after="100" w:line="300"/>
        <w:jc w:val="right"/>
      </w:pPr>
      <w:r>
        <w:rPr>
          <w:rFonts w:ascii="Arial" w:cs="Arial" w:eastAsia="Arial" w:hAnsi="Arial"/>
          <w:sz w:val="24"/>
          <w:szCs w:val="24"/>
          <w:rtl/>
        </w:rPr>
        <w:t xml:space="preserve">توجيه الدعوة للمالك الأصلي.</w:t>
      </w:r>
    </w:p>
    <w:p>
      <w:pPr>
        <w:pStyle w:val="ListParagraph"/>
        <w:numPr>
          <w:ilvl w:val="0"/>
          <w:numId w:val="2"/>
        </w:numPr>
        <w:bidi/>
        <w:spacing w:after="100" w:line="300"/>
        <w:jc w:val="right"/>
      </w:pPr>
      <w:r>
        <w:rPr>
          <w:rFonts w:ascii="Arial" w:cs="Arial" w:eastAsia="Arial" w:hAnsi="Arial"/>
          <w:sz w:val="24"/>
          <w:szCs w:val="24"/>
          <w:rtl/>
        </w:rPr>
        <w:t xml:space="preserve">التوضيح بأن الحجز لا يُلغي حقوق الحضور (في الغالب).</w:t>
      </w:r>
    </w:p>
    <w:p>
      <w:pPr>
        <w:pStyle w:val="ListParagraph"/>
        <w:numPr>
          <w:ilvl w:val="0"/>
          <w:numId w:val="2"/>
        </w:numPr>
        <w:bidi/>
        <w:spacing w:after="100" w:line="300"/>
        <w:jc w:val="right"/>
      </w:pPr>
      <w:r>
        <w:rPr>
          <w:rFonts w:ascii="Arial" w:cs="Arial" w:eastAsia="Arial" w:hAnsi="Arial"/>
          <w:sz w:val="24"/>
          <w:szCs w:val="24"/>
          <w:rtl/>
        </w:rPr>
        <w:t xml:space="preserve">التواصل مع الجهة الحاجزة في حالات خاصة.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قائمة مراجعة الدعوة</w:t>
      </w:r>
    </w:p>
    <w:p>
      <w:pPr>
        <w:pStyle w:val="Heading3"/>
        <w:bidi/>
        <w:spacing w:after="120" w:before="200"/>
        <w:jc w:val="right"/>
      </w:pPr>
      <w:r>
        <w:rPr>
          <w:rFonts w:ascii="Arial" w:cs="Arial" w:eastAsia="Arial" w:hAnsi="Arial"/>
          <w:b/>
          <w:bCs/>
          <w:color w:val="1F4E79"/>
          <w:sz w:val="26"/>
          <w:szCs w:val="26"/>
          <w:rtl/>
        </w:rPr>
        <w:t xml:space="preserve">قبل إعداد الدعوة</w:t>
      </w:r>
    </w:p>
    <w:p>
      <w:pPr>
        <w:pStyle w:val="ListParagraph"/>
        <w:numPr>
          <w:ilvl w:val="0"/>
          <w:numId w:val="2"/>
        </w:numPr>
        <w:bidi/>
        <w:spacing w:after="100" w:line="300"/>
        <w:jc w:val="right"/>
      </w:pPr>
      <w:r>
        <w:rPr>
          <w:rFonts w:ascii="Arial" w:cs="Arial" w:eastAsia="Arial" w:hAnsi="Arial"/>
          <w:sz w:val="24"/>
          <w:szCs w:val="24"/>
          <w:rtl/>
        </w:rPr>
        <w:t xml:space="preserve">التحقق من اعتماد جدول الأعمال من المجلس.</w:t>
      </w:r>
    </w:p>
    <w:p>
      <w:pPr>
        <w:pStyle w:val="ListParagraph"/>
        <w:numPr>
          <w:ilvl w:val="0"/>
          <w:numId w:val="2"/>
        </w:numPr>
        <w:bidi/>
        <w:spacing w:after="100" w:line="300"/>
        <w:jc w:val="right"/>
      </w:pPr>
      <w:r>
        <w:rPr>
          <w:rFonts w:ascii="Arial" w:cs="Arial" w:eastAsia="Arial" w:hAnsi="Arial"/>
          <w:sz w:val="24"/>
          <w:szCs w:val="24"/>
          <w:rtl/>
        </w:rPr>
        <w:t xml:space="preserve">التأكد من اكتمال جميع المستندات المرجعية.</w:t>
      </w:r>
    </w:p>
    <w:p>
      <w:pPr>
        <w:pStyle w:val="ListParagraph"/>
        <w:numPr>
          <w:ilvl w:val="0"/>
          <w:numId w:val="2"/>
        </w:numPr>
        <w:bidi/>
        <w:spacing w:after="100" w:line="300"/>
        <w:jc w:val="right"/>
      </w:pPr>
      <w:r>
        <w:rPr>
          <w:rFonts w:ascii="Arial" w:cs="Arial" w:eastAsia="Arial" w:hAnsi="Arial"/>
          <w:sz w:val="24"/>
          <w:szCs w:val="24"/>
          <w:rtl/>
        </w:rPr>
        <w:t xml:space="preserve">تحديد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التنسيق مع مركز إيداع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اختيار قنوات النشر.</w:t>
      </w:r>
    </w:p>
    <w:p>
      <w:pPr>
        <w:pStyle w:val="Heading3"/>
        <w:bidi/>
        <w:spacing w:after="120" w:before="200"/>
        <w:jc w:val="right"/>
      </w:pPr>
      <w:r>
        <w:rPr>
          <w:rFonts w:ascii="Arial" w:cs="Arial" w:eastAsia="Arial" w:hAnsi="Arial"/>
          <w:b/>
          <w:bCs/>
          <w:color w:val="1F4E79"/>
          <w:sz w:val="26"/>
          <w:szCs w:val="26"/>
          <w:rtl/>
        </w:rPr>
        <w:t xml:space="preserve">إعداد محتوى الدعوة</w:t>
      </w:r>
    </w:p>
    <w:p>
      <w:pPr>
        <w:pStyle w:val="ListParagraph"/>
        <w:numPr>
          <w:ilvl w:val="0"/>
          <w:numId w:val="2"/>
        </w:numPr>
        <w:bidi/>
        <w:spacing w:after="100" w:line="300"/>
        <w:jc w:val="right"/>
      </w:pPr>
      <w:r>
        <w:rPr>
          <w:rFonts w:ascii="Arial" w:cs="Arial" w:eastAsia="Arial" w:hAnsi="Arial"/>
          <w:sz w:val="24"/>
          <w:szCs w:val="24"/>
          <w:rtl/>
        </w:rPr>
        <w:t xml:space="preserve">البيانات التعريفية للشركة.</w:t>
      </w:r>
    </w:p>
    <w:p>
      <w:pPr>
        <w:pStyle w:val="ListParagraph"/>
        <w:numPr>
          <w:ilvl w:val="0"/>
          <w:numId w:val="2"/>
        </w:numPr>
        <w:bidi/>
        <w:spacing w:after="100" w:line="300"/>
        <w:jc w:val="right"/>
      </w:pPr>
      <w:r>
        <w:rPr>
          <w:rFonts w:ascii="Arial" w:cs="Arial" w:eastAsia="Arial" w:hAnsi="Arial"/>
          <w:sz w:val="24"/>
          <w:szCs w:val="24"/>
          <w:rtl/>
        </w:rPr>
        <w:t xml:space="preserve">بيانات الجمعية كاملة.</w:t>
      </w:r>
    </w:p>
    <w:p>
      <w:pPr>
        <w:pStyle w:val="ListParagraph"/>
        <w:numPr>
          <w:ilvl w:val="0"/>
          <w:numId w:val="2"/>
        </w:numPr>
        <w:bidi/>
        <w:spacing w:after="100" w:line="300"/>
        <w:jc w:val="right"/>
      </w:pPr>
      <w:r>
        <w:rPr>
          <w:rFonts w:ascii="Arial" w:cs="Arial" w:eastAsia="Arial" w:hAnsi="Arial"/>
          <w:sz w:val="24"/>
          <w:szCs w:val="24"/>
          <w:rtl/>
        </w:rPr>
        <w:t xml:space="preserve">جدول الأعمال التفصيلي.</w:t>
      </w:r>
    </w:p>
    <w:p>
      <w:pPr>
        <w:pStyle w:val="ListParagraph"/>
        <w:numPr>
          <w:ilvl w:val="0"/>
          <w:numId w:val="2"/>
        </w:numPr>
        <w:bidi/>
        <w:spacing w:after="100" w:line="300"/>
        <w:jc w:val="right"/>
      </w:pPr>
      <w:r>
        <w:rPr>
          <w:rFonts w:ascii="Arial" w:cs="Arial" w:eastAsia="Arial" w:hAnsi="Arial"/>
          <w:sz w:val="24"/>
          <w:szCs w:val="24"/>
          <w:rtl/>
        </w:rPr>
        <w:t xml:space="preserve">شروط الحضور والمشاركة.</w:t>
      </w:r>
    </w:p>
    <w:p>
      <w:pPr>
        <w:pStyle w:val="ListParagraph"/>
        <w:numPr>
          <w:ilvl w:val="0"/>
          <w:numId w:val="2"/>
        </w:numPr>
        <w:bidi/>
        <w:spacing w:after="100" w:line="300"/>
        <w:jc w:val="right"/>
      </w:pPr>
      <w:r>
        <w:rPr>
          <w:rFonts w:ascii="Arial" w:cs="Arial" w:eastAsia="Arial" w:hAnsi="Arial"/>
          <w:sz w:val="24"/>
          <w:szCs w:val="24"/>
          <w:rtl/>
        </w:rPr>
        <w:t xml:space="preserve">معلومات التوكيل والتصويت.</w:t>
      </w:r>
    </w:p>
    <w:p>
      <w:pPr>
        <w:pStyle w:val="ListParagraph"/>
        <w:numPr>
          <w:ilvl w:val="0"/>
          <w:numId w:val="2"/>
        </w:numPr>
        <w:bidi/>
        <w:spacing w:after="100" w:line="300"/>
        <w:jc w:val="right"/>
      </w:pPr>
      <w:r>
        <w:rPr>
          <w:rFonts w:ascii="Arial" w:cs="Arial" w:eastAsia="Arial" w:hAnsi="Arial"/>
          <w:sz w:val="24"/>
          <w:szCs w:val="24"/>
          <w:rtl/>
        </w:rPr>
        <w:t xml:space="preserve">الوثائق المرجعية.</w:t>
      </w:r>
    </w:p>
    <w:p>
      <w:pPr>
        <w:pStyle w:val="ListParagraph"/>
        <w:numPr>
          <w:ilvl w:val="0"/>
          <w:numId w:val="2"/>
        </w:numPr>
        <w:bidi/>
        <w:spacing w:after="100" w:line="300"/>
        <w:jc w:val="right"/>
      </w:pPr>
      <w:r>
        <w:rPr>
          <w:rFonts w:ascii="Arial" w:cs="Arial" w:eastAsia="Arial" w:hAnsi="Arial"/>
          <w:sz w:val="24"/>
          <w:szCs w:val="24"/>
          <w:rtl/>
        </w:rPr>
        <w:t xml:space="preserve">بيانات الاتصال.</w:t>
      </w:r>
    </w:p>
    <w:p>
      <w:pPr>
        <w:pStyle w:val="Heading3"/>
        <w:bidi/>
        <w:spacing w:after="120" w:before="200"/>
        <w:jc w:val="right"/>
      </w:pPr>
      <w:r>
        <w:rPr>
          <w:rFonts w:ascii="Arial" w:cs="Arial" w:eastAsia="Arial" w:hAnsi="Arial"/>
          <w:b/>
          <w:bCs/>
          <w:color w:val="1F4E79"/>
          <w:sz w:val="26"/>
          <w:szCs w:val="26"/>
          <w:rtl/>
        </w:rPr>
        <w:t xml:space="preserve">المراجعة قبل النشر</w:t>
      </w:r>
    </w:p>
    <w:p>
      <w:pPr>
        <w:pStyle w:val="ListParagraph"/>
        <w:numPr>
          <w:ilvl w:val="0"/>
          <w:numId w:val="2"/>
        </w:numPr>
        <w:bidi/>
        <w:spacing w:after="100" w:line="300"/>
        <w:jc w:val="right"/>
      </w:pPr>
      <w:r>
        <w:rPr>
          <w:rFonts w:ascii="Arial" w:cs="Arial" w:eastAsia="Arial" w:hAnsi="Arial"/>
          <w:sz w:val="24"/>
          <w:szCs w:val="24"/>
          <w:rtl/>
        </w:rPr>
        <w:t xml:space="preserve">المراجعة القانونية الشاملة.</w:t>
      </w:r>
    </w:p>
    <w:p>
      <w:pPr>
        <w:pStyle w:val="ListParagraph"/>
        <w:numPr>
          <w:ilvl w:val="0"/>
          <w:numId w:val="2"/>
        </w:numPr>
        <w:bidi/>
        <w:spacing w:after="100" w:line="300"/>
        <w:jc w:val="right"/>
      </w:pPr>
      <w:r>
        <w:rPr>
          <w:rFonts w:ascii="Arial" w:cs="Arial" w:eastAsia="Arial" w:hAnsi="Arial"/>
          <w:sz w:val="24"/>
          <w:szCs w:val="24"/>
          <w:rtl/>
        </w:rPr>
        <w:t xml:space="preserve">المراجعة اللغوية والإملائية.</w:t>
      </w:r>
    </w:p>
    <w:p>
      <w:pPr>
        <w:pStyle w:val="ListParagraph"/>
        <w:numPr>
          <w:ilvl w:val="0"/>
          <w:numId w:val="2"/>
        </w:numPr>
        <w:bidi/>
        <w:spacing w:after="100" w:line="300"/>
        <w:jc w:val="right"/>
      </w:pPr>
      <w:r>
        <w:rPr>
          <w:rFonts w:ascii="Arial" w:cs="Arial" w:eastAsia="Arial" w:hAnsi="Arial"/>
          <w:sz w:val="24"/>
          <w:szCs w:val="24"/>
          <w:rtl/>
        </w:rPr>
        <w:t xml:space="preserve">التحقق من اتساق المعلومات.</w:t>
      </w:r>
    </w:p>
    <w:p>
      <w:pPr>
        <w:pStyle w:val="ListParagraph"/>
        <w:numPr>
          <w:ilvl w:val="0"/>
          <w:numId w:val="2"/>
        </w:numPr>
        <w:bidi/>
        <w:spacing w:after="100" w:line="300"/>
        <w:jc w:val="right"/>
      </w:pPr>
      <w:r>
        <w:rPr>
          <w:rFonts w:ascii="Arial" w:cs="Arial" w:eastAsia="Arial" w:hAnsi="Arial"/>
          <w:sz w:val="24"/>
          <w:szCs w:val="24"/>
          <w:rtl/>
        </w:rPr>
        <w:t xml:space="preserve">التأكد من عدم وجود تعارض في التواريخ.</w:t>
      </w:r>
    </w:p>
    <w:p>
      <w:pPr>
        <w:pStyle w:val="ListParagraph"/>
        <w:numPr>
          <w:ilvl w:val="0"/>
          <w:numId w:val="2"/>
        </w:numPr>
        <w:bidi/>
        <w:spacing w:after="100" w:line="300"/>
        <w:jc w:val="right"/>
      </w:pPr>
      <w:r>
        <w:rPr>
          <w:rFonts w:ascii="Arial" w:cs="Arial" w:eastAsia="Arial" w:hAnsi="Arial"/>
          <w:sz w:val="24"/>
          <w:szCs w:val="24"/>
          <w:rtl/>
        </w:rPr>
        <w:t xml:space="preserve">الترجمة إلى الإنجليزية (إن لزم).</w:t>
      </w:r>
    </w:p>
    <w:p>
      <w:pPr>
        <w:pStyle w:val="Heading3"/>
        <w:bidi/>
        <w:spacing w:after="120" w:before="200"/>
        <w:jc w:val="right"/>
      </w:pPr>
      <w:r>
        <w:rPr>
          <w:rFonts w:ascii="Arial" w:cs="Arial" w:eastAsia="Arial" w:hAnsi="Arial"/>
          <w:b/>
          <w:bCs/>
          <w:color w:val="1F4E79"/>
          <w:sz w:val="26"/>
          <w:szCs w:val="26"/>
          <w:rtl/>
        </w:rPr>
        <w:t xml:space="preserve">النشر</w:t>
      </w:r>
    </w:p>
    <w:p>
      <w:pPr>
        <w:pStyle w:val="ListParagraph"/>
        <w:numPr>
          <w:ilvl w:val="0"/>
          <w:numId w:val="2"/>
        </w:numPr>
        <w:bidi/>
        <w:spacing w:after="100" w:line="300"/>
        <w:jc w:val="right"/>
      </w:pPr>
      <w:r>
        <w:rPr>
          <w:rFonts w:ascii="Arial" w:cs="Arial" w:eastAsia="Arial" w:hAnsi="Arial"/>
          <w:sz w:val="24"/>
          <w:szCs w:val="24"/>
          <w:rtl/>
        </w:rPr>
        <w:t xml:space="preserve">الإفصاح المسبق للجهات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النشر على منصة "تداول"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النشر على الموقع الإلكتروني للشركة.</w:t>
      </w:r>
    </w:p>
    <w:p>
      <w:pPr>
        <w:pStyle w:val="ListParagraph"/>
        <w:numPr>
          <w:ilvl w:val="0"/>
          <w:numId w:val="2"/>
        </w:numPr>
        <w:bidi/>
        <w:spacing w:after="100" w:line="300"/>
        <w:jc w:val="right"/>
      </w:pPr>
      <w:r>
        <w:rPr>
          <w:rFonts w:ascii="Arial" w:cs="Arial" w:eastAsia="Arial" w:hAnsi="Arial"/>
          <w:sz w:val="24"/>
          <w:szCs w:val="24"/>
          <w:rtl/>
        </w:rPr>
        <w:t xml:space="preserve">الإشعار على "تداولاتي".</w:t>
      </w:r>
    </w:p>
    <w:p>
      <w:pPr>
        <w:pStyle w:val="ListParagraph"/>
        <w:numPr>
          <w:ilvl w:val="0"/>
          <w:numId w:val="2"/>
        </w:numPr>
        <w:bidi/>
        <w:spacing w:after="100" w:line="300"/>
        <w:jc w:val="right"/>
      </w:pPr>
      <w:r>
        <w:rPr>
          <w:rFonts w:ascii="Arial" w:cs="Arial" w:eastAsia="Arial" w:hAnsi="Arial"/>
          <w:sz w:val="24"/>
          <w:szCs w:val="24"/>
          <w:rtl/>
        </w:rPr>
        <w:t xml:space="preserve">النشر في الصحف (إن لزم).</w:t>
      </w:r>
    </w:p>
    <w:p>
      <w:pPr>
        <w:pStyle w:val="ListParagraph"/>
        <w:numPr>
          <w:ilvl w:val="0"/>
          <w:numId w:val="2"/>
        </w:numPr>
        <w:bidi/>
        <w:spacing w:after="100" w:line="300"/>
        <w:jc w:val="right"/>
      </w:pPr>
      <w:r>
        <w:rPr>
          <w:rFonts w:ascii="Arial" w:cs="Arial" w:eastAsia="Arial" w:hAnsi="Arial"/>
          <w:sz w:val="24"/>
          <w:szCs w:val="24"/>
          <w:rtl/>
        </w:rPr>
        <w:t xml:space="preserve">الإرسال المباشر للمساهمين الكبار.</w:t>
      </w:r>
    </w:p>
    <w:p>
      <w:pPr>
        <w:pStyle w:val="Heading3"/>
        <w:bidi/>
        <w:spacing w:after="120" w:before="200"/>
        <w:jc w:val="right"/>
      </w:pPr>
      <w:r>
        <w:rPr>
          <w:rFonts w:ascii="Arial" w:cs="Arial" w:eastAsia="Arial" w:hAnsi="Arial"/>
          <w:b/>
          <w:bCs/>
          <w:color w:val="1F4E79"/>
          <w:sz w:val="26"/>
          <w:szCs w:val="26"/>
          <w:rtl/>
        </w:rPr>
        <w:t xml:space="preserve">المتابعة بعد النشر</w:t>
      </w:r>
    </w:p>
    <w:p>
      <w:pPr>
        <w:pStyle w:val="ListParagraph"/>
        <w:numPr>
          <w:ilvl w:val="0"/>
          <w:numId w:val="2"/>
        </w:numPr>
        <w:bidi/>
        <w:spacing w:after="100" w:line="300"/>
        <w:jc w:val="right"/>
      </w:pPr>
      <w:r>
        <w:rPr>
          <w:rFonts w:ascii="Arial" w:cs="Arial" w:eastAsia="Arial" w:hAnsi="Arial"/>
          <w:sz w:val="24"/>
          <w:szCs w:val="24"/>
          <w:rtl/>
        </w:rPr>
        <w:t xml:space="preserve">التحقق من ظهور الدعوة في القنوات.</w:t>
      </w:r>
    </w:p>
    <w:p>
      <w:pPr>
        <w:pStyle w:val="ListParagraph"/>
        <w:numPr>
          <w:ilvl w:val="0"/>
          <w:numId w:val="2"/>
        </w:numPr>
        <w:bidi/>
        <w:spacing w:after="100" w:line="300"/>
        <w:jc w:val="right"/>
      </w:pPr>
      <w:r>
        <w:rPr>
          <w:rFonts w:ascii="Arial" w:cs="Arial" w:eastAsia="Arial" w:hAnsi="Arial"/>
          <w:sz w:val="24"/>
          <w:szCs w:val="24"/>
          <w:rtl/>
        </w:rPr>
        <w:t xml:space="preserve">متابعة استفسارات المساهمين.</w:t>
      </w:r>
    </w:p>
    <w:p>
      <w:pPr>
        <w:pStyle w:val="ListParagraph"/>
        <w:numPr>
          <w:ilvl w:val="0"/>
          <w:numId w:val="2"/>
        </w:numPr>
        <w:bidi/>
        <w:spacing w:after="100" w:line="300"/>
        <w:jc w:val="right"/>
      </w:pPr>
      <w:r>
        <w:rPr>
          <w:rFonts w:ascii="Arial" w:cs="Arial" w:eastAsia="Arial" w:hAnsi="Arial"/>
          <w:sz w:val="24"/>
          <w:szCs w:val="24"/>
          <w:rtl/>
        </w:rPr>
        <w:t xml:space="preserve">استلام طلبات المساهمين لإدراج بنود.</w:t>
      </w:r>
    </w:p>
    <w:p>
      <w:pPr>
        <w:pStyle w:val="ListParagraph"/>
        <w:numPr>
          <w:ilvl w:val="0"/>
          <w:numId w:val="2"/>
        </w:numPr>
        <w:bidi/>
        <w:spacing w:after="100" w:line="300"/>
        <w:jc w:val="right"/>
      </w:pPr>
      <w:r>
        <w:rPr>
          <w:rFonts w:ascii="Arial" w:cs="Arial" w:eastAsia="Arial" w:hAnsi="Arial"/>
          <w:sz w:val="24"/>
          <w:szCs w:val="24"/>
          <w:rtl/>
        </w:rPr>
        <w:t xml:space="preserve">فتح باب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التواصل المستمر مع المساهمين الكبار.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أفضل الممارسات في الدعوة</w:t>
      </w:r>
    </w:p>
    <w:p>
      <w:pPr>
        <w:pStyle w:val="ListParagraph"/>
        <w:numPr>
          <w:ilvl w:val="0"/>
          <w:numId w:val="3"/>
        </w:numPr>
        <w:bidi/>
        <w:spacing w:after="100" w:line="300"/>
        <w:jc w:val="right"/>
      </w:pPr>
      <w:r>
        <w:rPr>
          <w:rFonts w:ascii="Arial" w:cs="Arial" w:eastAsia="Arial" w:hAnsi="Arial"/>
          <w:sz w:val="24"/>
          <w:szCs w:val="24"/>
          <w:rtl/>
        </w:rPr>
        <w:t xml:space="preserve">التخطيط المبكر: إعداد الدعوة قبل الجمعية بفترة أطول من المهلة النظامية.</w:t>
      </w:r>
    </w:p>
    <w:p>
      <w:pPr>
        <w:pStyle w:val="ListParagraph"/>
        <w:numPr>
          <w:ilvl w:val="0"/>
          <w:numId w:val="3"/>
        </w:numPr>
        <w:bidi/>
        <w:spacing w:after="100" w:line="300"/>
        <w:jc w:val="right"/>
      </w:pPr>
      <w:r>
        <w:rPr>
          <w:rFonts w:ascii="Arial" w:cs="Arial" w:eastAsia="Arial" w:hAnsi="Arial"/>
          <w:sz w:val="24"/>
          <w:szCs w:val="24"/>
          <w:rtl/>
        </w:rPr>
        <w:t xml:space="preserve">الشفافية الكاملة: توفير جميع المعلومات والوثائق منذ النشر الأول.</w:t>
      </w:r>
    </w:p>
    <w:p>
      <w:pPr>
        <w:pStyle w:val="ListParagraph"/>
        <w:numPr>
          <w:ilvl w:val="0"/>
          <w:numId w:val="3"/>
        </w:numPr>
        <w:bidi/>
        <w:spacing w:after="100" w:line="300"/>
        <w:jc w:val="right"/>
      </w:pPr>
      <w:r>
        <w:rPr>
          <w:rFonts w:ascii="Arial" w:cs="Arial" w:eastAsia="Arial" w:hAnsi="Arial"/>
          <w:sz w:val="24"/>
          <w:szCs w:val="24"/>
          <w:rtl/>
        </w:rPr>
        <w:t xml:space="preserve">الوضوح في الصياغة: استخدام لغة واضحة بعيدة عن المصطلحات المعقدة.</w:t>
      </w:r>
    </w:p>
    <w:p>
      <w:pPr>
        <w:pStyle w:val="ListParagraph"/>
        <w:numPr>
          <w:ilvl w:val="0"/>
          <w:numId w:val="3"/>
        </w:numPr>
        <w:bidi/>
        <w:spacing w:after="100" w:line="300"/>
        <w:jc w:val="right"/>
      </w:pPr>
      <w:r>
        <w:rPr>
          <w:rFonts w:ascii="Arial" w:cs="Arial" w:eastAsia="Arial" w:hAnsi="Arial"/>
          <w:sz w:val="24"/>
          <w:szCs w:val="24"/>
          <w:rtl/>
        </w:rPr>
        <w:t xml:space="preserve">المرئية الجذابة: تصميم احترافي للدعوة يُسهّل قراءتها.</w:t>
      </w:r>
    </w:p>
    <w:p>
      <w:pPr>
        <w:pStyle w:val="ListParagraph"/>
        <w:numPr>
          <w:ilvl w:val="0"/>
          <w:numId w:val="3"/>
        </w:numPr>
        <w:bidi/>
        <w:spacing w:after="100" w:line="300"/>
        <w:jc w:val="right"/>
      </w:pPr>
      <w:r>
        <w:rPr>
          <w:rFonts w:ascii="Arial" w:cs="Arial" w:eastAsia="Arial" w:hAnsi="Arial"/>
          <w:sz w:val="24"/>
          <w:szCs w:val="24"/>
          <w:rtl/>
        </w:rPr>
        <w:t xml:space="preserve">التعدد في القنوات: استخدام أكثر من قناة لضمان وصول الدعوة.</w:t>
      </w:r>
    </w:p>
    <w:p>
      <w:pPr>
        <w:pStyle w:val="ListParagraph"/>
        <w:numPr>
          <w:ilvl w:val="0"/>
          <w:numId w:val="3"/>
        </w:numPr>
        <w:bidi/>
        <w:spacing w:after="100" w:line="300"/>
        <w:jc w:val="right"/>
      </w:pPr>
      <w:r>
        <w:rPr>
          <w:rFonts w:ascii="Arial" w:cs="Arial" w:eastAsia="Arial" w:hAnsi="Arial"/>
          <w:sz w:val="24"/>
          <w:szCs w:val="24"/>
          <w:rtl/>
        </w:rPr>
        <w:t xml:space="preserve">التواصل المباشر: الاتصال المباشر بالمساهمين الكبار للتأكيد.</w:t>
      </w:r>
    </w:p>
    <w:p>
      <w:pPr>
        <w:pStyle w:val="ListParagraph"/>
        <w:numPr>
          <w:ilvl w:val="0"/>
          <w:numId w:val="3"/>
        </w:numPr>
        <w:bidi/>
        <w:spacing w:after="100" w:line="300"/>
        <w:jc w:val="right"/>
      </w:pPr>
      <w:r>
        <w:rPr>
          <w:rFonts w:ascii="Arial" w:cs="Arial" w:eastAsia="Arial" w:hAnsi="Arial"/>
          <w:sz w:val="24"/>
          <w:szCs w:val="24"/>
          <w:rtl/>
        </w:rPr>
        <w:t xml:space="preserve">التذكير الدوري: إرسال تذكيرات قبل الجمعية بأسبوع وبيومين.</w:t>
      </w:r>
    </w:p>
    <w:p>
      <w:pPr>
        <w:pStyle w:val="ListParagraph"/>
        <w:numPr>
          <w:ilvl w:val="0"/>
          <w:numId w:val="3"/>
        </w:numPr>
        <w:bidi/>
        <w:spacing w:after="100" w:line="300"/>
        <w:jc w:val="right"/>
      </w:pPr>
      <w:r>
        <w:rPr>
          <w:rFonts w:ascii="Arial" w:cs="Arial" w:eastAsia="Arial" w:hAnsi="Arial"/>
          <w:sz w:val="24"/>
          <w:szCs w:val="24"/>
          <w:rtl/>
        </w:rPr>
        <w:t xml:space="preserve">توفير الدعم: قنوات استفسار سهلة الوصول.</w:t>
      </w:r>
    </w:p>
    <w:p>
      <w:pPr>
        <w:pStyle w:val="ListParagraph"/>
        <w:numPr>
          <w:ilvl w:val="0"/>
          <w:numId w:val="3"/>
        </w:numPr>
        <w:bidi/>
        <w:spacing w:after="100" w:line="300"/>
        <w:jc w:val="right"/>
      </w:pPr>
      <w:r>
        <w:rPr>
          <w:rFonts w:ascii="Arial" w:cs="Arial" w:eastAsia="Arial" w:hAnsi="Arial"/>
          <w:sz w:val="24"/>
          <w:szCs w:val="24"/>
          <w:rtl/>
        </w:rPr>
        <w:t xml:space="preserve">الاستجابة السريعة: الرد على استفسارات المساهمين خلال 24 ساعة.</w:t>
      </w:r>
    </w:p>
    <w:p>
      <w:pPr>
        <w:pStyle w:val="ListParagraph"/>
        <w:numPr>
          <w:ilvl w:val="0"/>
          <w:numId w:val="3"/>
        </w:numPr>
        <w:bidi/>
        <w:spacing w:after="100" w:line="300"/>
        <w:jc w:val="right"/>
      </w:pPr>
      <w:r>
        <w:rPr>
          <w:rFonts w:ascii="Arial" w:cs="Arial" w:eastAsia="Arial" w:hAnsi="Arial"/>
          <w:sz w:val="24"/>
          <w:szCs w:val="24"/>
          <w:rtl/>
        </w:rPr>
        <w:t xml:space="preserve">التقييم المستمر: قياس فعالية قنوات النشر وتطويرها.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الدعوة لانعقاد الجمعية العمومية ركن أساسي من أركان صحتها، وأي إخلال جوهري بها قد يُؤدي إلى بطلان قراراتها. ومن منظور حوكمي، فإن الدعوة الجيدة هي الجسر الذي يربط الشركة بمساهميها، ويضمن لهم فرصة عادلة للمشاركة في صنع القرار. والتطورات في النظام السعودي الجديد أتاحت مرونة أكبر في إجراءات الدعوة، مع الحفاظ على معايير صارمة لحماية حقوق المساهمين.</w:t>
      </w:r>
    </w:p>
    <w:p>
      <w:pPr>
        <w:bidi/>
        <w:spacing w:after="140" w:line="320"/>
        <w:jc w:val="both"/>
      </w:pPr>
      <w:r>
        <w:rPr>
          <w:rFonts w:ascii="Arial" w:cs="Arial" w:eastAsia="Arial" w:hAnsi="Arial"/>
          <w:sz w:val="24"/>
          <w:szCs w:val="24"/>
          <w:rtl/>
        </w:rPr>
        <w:t xml:space="preserve">الشركات الرائدة تنظر إلى الدعوة كفرصة للتميز في حوكمتها، فلا تكتفي بالحد الأدنى من المتطلبات، بل تتجاوزه لتوفير تجربة استثنائية للمساهمين. الاستثمار في جودة الدعوة - من حيث المحتوى، التصميم، التعدد في القنوات، والتواصل المستمر - يُؤتي ثماره في صورة جمعيات ناجحة، حضور قوي، ومشاركة فعّالة من المساهمين.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الدعوة شرط لصحة الجمعية، وأي إخلال جوهري بها قد يؤدي للبطلان. 2) الجهة المخولة بالدعوة: مجلس الإدارة (الأصل)، مراجع الحسابات، المساهمون (10%)، الهيئات التنظيمية، القضاء. 3) المهلة للشركات المدرجة: 21 يوماً قبل الانعقاد على الأقل. 4) القنوات الرئيسية: تداول، الموقع الإلكتروني، تداولاتي، الصحف. 5) المحتوى الإلزامي 9 عناصر: التعريف، الجمعية، الجدول، الشروط، التوكيل، التصويت، الوثائق، الاتصال، الختم. 6) تعديل الدعوة ممكن لكن بضوابط صارمة لتجنب الطعن. 7) الشركات الرائدة تستثمر في جودة الدعوة كأداة للحوكمة المتميزة.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(90): الدعوة للجمعيات.</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(91): جدول الأعمال والإعلان.</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منصة "تداول" - دليل الإفصاح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منصة "إحاطة الوزارة بعقد الجمعية"، وزارة التجارة.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الدعوة للجمعية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الدعوة لانعقاد الجمعية العمومية</dc:title>
  <dc:creator>Corporate Governance Knowledge Base</dc:creator>
  <cp:lastModifiedBy>Un-named</cp:lastModifiedBy>
  <cp:revision>1</cp:revision>
  <dcterms:created xsi:type="dcterms:W3CDTF">2026-05-16T08:31:08.610Z</dcterms:created>
  <dcterms:modified xsi:type="dcterms:W3CDTF">2026-05-16T08:31:08.610Z</dcterms:modified>
</cp:coreProperties>
</file>

<file path=docProps/custom.xml><?xml version="1.0" encoding="utf-8"?>
<Properties xmlns="http://schemas.openxmlformats.org/officeDocument/2006/custom-properties" xmlns:vt="http://schemas.openxmlformats.org/officeDocument/2006/docPropsVTypes"/>
</file>