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200"/>
        <w:jc w:val="center"/>
      </w:pPr>
      <w:r>
        <w:rPr>
          <w:rFonts w:ascii="Arial" w:cs="Arial" w:eastAsia="Arial" w:hAnsi="Arial"/>
          <w:b/>
          <w:bCs/>
          <w:color w:val="1F4E79"/>
          <w:sz w:val="44"/>
          <w:szCs w:val="44"/>
          <w:rtl/>
        </w:rPr>
        <w:t xml:space="preserve">تنفيذ قرارات الجمعية العمومية</w:t>
      </w:r>
    </w:p>
    <w:p>
      <w:pPr>
        <w:bidi/>
        <w:spacing w:after="400"/>
        <w:jc w:val="center"/>
      </w:pPr>
      <w:r>
        <w:rPr>
          <w:rFonts w:ascii="Arial" w:cs="Arial" w:eastAsia="Arial" w:hAnsi="Arial"/>
          <w:i/>
          <w:iCs/>
          <w:color w:val="2E75B6"/>
          <w:sz w:val="26"/>
          <w:szCs w:val="26"/>
          <w:rtl/>
        </w:rPr>
        <w:t xml:space="preserve">الإجراءات، المسؤوليات، والمتابعة بعد انتهاء الجمعية</w:t>
      </w:r>
    </w:p>
    <w:p>
      <w:pPr>
        <w:pBdr>
          <w:bottom w:val="single" w:color="1F4E79" w:sz="12" w:space="4"/>
        </w:pBdr>
        <w:spacing w:after="300"/>
      </w:pPr>
    </w:p>
    <w:p>
      <w:pPr>
        <w:pStyle w:val="Heading1"/>
        <w:bidi/>
        <w:spacing w:after="200" w:before="360"/>
        <w:jc w:val="right"/>
      </w:pPr>
      <w:r>
        <w:rPr>
          <w:rFonts w:ascii="Arial" w:cs="Arial" w:eastAsia="Arial" w:hAnsi="Arial"/>
          <w:b/>
          <w:bCs/>
          <w:color w:val="1F4E79"/>
          <w:sz w:val="36"/>
          <w:szCs w:val="36"/>
          <w:rtl/>
        </w:rPr>
        <w:t xml:space="preserve">مقدمة</w:t>
      </w:r>
    </w:p>
    <w:p>
      <w:pPr>
        <w:bidi/>
        <w:spacing w:after="140" w:line="320"/>
        <w:jc w:val="both"/>
      </w:pPr>
      <w:r>
        <w:rPr>
          <w:rFonts w:ascii="Arial" w:cs="Arial" w:eastAsia="Arial" w:hAnsi="Arial"/>
          <w:sz w:val="24"/>
          <w:szCs w:val="24"/>
          <w:rtl/>
        </w:rPr>
        <w:t xml:space="preserve">اختتام الجمعية العمومية بنجاح ليس نهاية المهمة، بل بدايتها. فالقرارات التي اتُّخذت في الجمعية - مهما كانت أهميتها وقوتها - لا قيمة فعلية لها إلا إذا تحوّلت إلى واقع تطبيقي. وإدارة مرحلة "ما بعد الجمعية" من أكثر المراحل دقة وحساسية في دورة حياة الجمعية، لأنها المرحلة التي يُترجم فيها قرار المساهمين إلى أفعال ملموسة تُؤثر على الشركة وحملة الأسهم.</w:t>
      </w:r>
    </w:p>
    <w:p>
      <w:pPr>
        <w:bidi/>
        <w:spacing w:after="140" w:line="320"/>
        <w:jc w:val="both"/>
      </w:pPr>
      <w:r>
        <w:rPr>
          <w:rFonts w:ascii="Arial" w:cs="Arial" w:eastAsia="Arial" w:hAnsi="Arial"/>
          <w:sz w:val="24"/>
          <w:szCs w:val="24"/>
          <w:rtl/>
        </w:rPr>
        <w:t xml:space="preserve">القرارات تتنوع في طبيعتها: بعضها يُنفذ تلقائياً (كاعتماد القوائم المالية)، وبعضها يستوجب إجراءات تفصيلية (كزيادة رأس المال أو الاندماج). وبعضها له آثار فورية، وبعضها مُمتد على شهور أو سنوات. وكل نوع له متطلبات تنفيذية محددة، وتقع على فرق متعددة في الشركة، وتحتاج لتنسيق دقيق ومتابعة مستمرة.</w:t>
      </w:r>
    </w:p>
    <w:p>
      <w:pPr>
        <w:bidi/>
        <w:spacing w:after="140" w:line="320"/>
        <w:jc w:val="both"/>
      </w:pPr>
      <w:r>
        <w:rPr>
          <w:rFonts w:ascii="Arial" w:cs="Arial" w:eastAsia="Arial" w:hAnsi="Arial"/>
          <w:sz w:val="24"/>
          <w:szCs w:val="24"/>
          <w:rtl/>
        </w:rPr>
        <w:t xml:space="preserve">في هذا المقال، نستعرض كل ما يتعلق بتنفيذ قرارات الجمعية بعد انعقادها: من الإجراءات الفورية، إلى تنفيذ القرارات بأنواعها، إلى التواصل مع المساهمين، إلى المتابعة والتقييم، إلى أفضل الممارسات لضمان تنفيذ سلس وفعّال.</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أولاً: المراحل الزمنية للتنفيذ</w:t>
      </w:r>
    </w:p>
    <w:p>
      <w:pPr>
        <w:bidi/>
        <w:spacing w:after="140" w:line="320"/>
        <w:jc w:val="both"/>
      </w:pPr>
      <w:r>
        <w:rPr>
          <w:rFonts w:ascii="Arial" w:cs="Arial" w:eastAsia="Arial" w:hAnsi="Arial"/>
          <w:sz w:val="24"/>
          <w:szCs w:val="24"/>
          <w:rtl/>
        </w:rPr>
        <w:t xml:space="preserve">تنفيذ قرارات الجمعية يمر بمراحل زمنية متعددة، يبدأ بعضها فور انتهاء الجمعية وقد يمتد بعضها لشهور أو سنوات. فهم هذه المراحل ضروري للتخطيط السليم:</w:t>
      </w:r>
    </w:p>
    <w:p>
      <w:pPr>
        <w:pStyle w:val="Heading2"/>
        <w:bidi/>
        <w:spacing w:after="160" w:before="280"/>
        <w:jc w:val="right"/>
      </w:pPr>
      <w:r>
        <w:rPr>
          <w:rFonts w:ascii="Arial" w:cs="Arial" w:eastAsia="Arial" w:hAnsi="Arial"/>
          <w:b/>
          <w:bCs/>
          <w:color w:val="2E75B6"/>
          <w:sz w:val="30"/>
          <w:szCs w:val="30"/>
          <w:rtl/>
        </w:rPr>
        <w:t xml:space="preserve">1. المرحلة الفورية (خلال ساعات)</w:t>
      </w:r>
    </w:p>
    <w:p>
      <w:pPr>
        <w:pStyle w:val="ListParagraph"/>
        <w:numPr>
          <w:ilvl w:val="0"/>
          <w:numId w:val="2"/>
        </w:numPr>
        <w:bidi/>
        <w:spacing w:after="100" w:line="300"/>
        <w:jc w:val="right"/>
      </w:pPr>
      <w:r>
        <w:rPr>
          <w:rFonts w:ascii="Arial" w:cs="Arial" w:eastAsia="Arial" w:hAnsi="Arial"/>
          <w:sz w:val="24"/>
          <w:szCs w:val="24"/>
          <w:rtl/>
        </w:rPr>
        <w:t xml:space="preserve">الإفصاح الأولي عن نتائج الجمعية.</w:t>
      </w:r>
    </w:p>
    <w:p>
      <w:pPr>
        <w:pStyle w:val="ListParagraph"/>
        <w:numPr>
          <w:ilvl w:val="0"/>
          <w:numId w:val="2"/>
        </w:numPr>
        <w:bidi/>
        <w:spacing w:after="100" w:line="300"/>
        <w:jc w:val="right"/>
      </w:pPr>
      <w:r>
        <w:rPr>
          <w:rFonts w:ascii="Arial" w:cs="Arial" w:eastAsia="Arial" w:hAnsi="Arial"/>
          <w:sz w:val="24"/>
          <w:szCs w:val="24"/>
          <w:rtl/>
        </w:rPr>
        <w:t xml:space="preserve">النشر الرسمي عبر المنصات.</w:t>
      </w:r>
    </w:p>
    <w:p>
      <w:pPr>
        <w:pStyle w:val="ListParagraph"/>
        <w:numPr>
          <w:ilvl w:val="0"/>
          <w:numId w:val="2"/>
        </w:numPr>
        <w:bidi/>
        <w:spacing w:after="100" w:line="300"/>
        <w:jc w:val="right"/>
      </w:pPr>
      <w:r>
        <w:rPr>
          <w:rFonts w:ascii="Arial" w:cs="Arial" w:eastAsia="Arial" w:hAnsi="Arial"/>
          <w:sz w:val="24"/>
          <w:szCs w:val="24"/>
          <w:rtl/>
        </w:rPr>
        <w:t xml:space="preserve">التواصل الداخلي مع الإدارة.</w:t>
      </w:r>
    </w:p>
    <w:p>
      <w:pPr>
        <w:pStyle w:val="ListParagraph"/>
        <w:numPr>
          <w:ilvl w:val="0"/>
          <w:numId w:val="2"/>
        </w:numPr>
        <w:bidi/>
        <w:spacing w:after="100" w:line="300"/>
        <w:jc w:val="right"/>
      </w:pPr>
      <w:r>
        <w:rPr>
          <w:rFonts w:ascii="Arial" w:cs="Arial" w:eastAsia="Arial" w:hAnsi="Arial"/>
          <w:sz w:val="24"/>
          <w:szCs w:val="24"/>
          <w:rtl/>
        </w:rPr>
        <w:t xml:space="preserve">التحضيرات الأولية للتنفيذ.</w:t>
      </w:r>
    </w:p>
    <w:p>
      <w:pPr>
        <w:pStyle w:val="Heading2"/>
        <w:bidi/>
        <w:spacing w:after="160" w:before="280"/>
        <w:jc w:val="right"/>
      </w:pPr>
      <w:r>
        <w:rPr>
          <w:rFonts w:ascii="Arial" w:cs="Arial" w:eastAsia="Arial" w:hAnsi="Arial"/>
          <w:b/>
          <w:bCs/>
          <w:color w:val="2E75B6"/>
          <w:sz w:val="30"/>
          <w:szCs w:val="30"/>
          <w:rtl/>
        </w:rPr>
        <w:t xml:space="preserve">2. المرحلة قصيرة المدى (خلال أيام)</w:t>
      </w:r>
    </w:p>
    <w:p>
      <w:pPr>
        <w:pStyle w:val="ListParagraph"/>
        <w:numPr>
          <w:ilvl w:val="0"/>
          <w:numId w:val="2"/>
        </w:numPr>
        <w:bidi/>
        <w:spacing w:after="100" w:line="300"/>
        <w:jc w:val="right"/>
      </w:pPr>
      <w:r>
        <w:rPr>
          <w:rFonts w:ascii="Arial" w:cs="Arial" w:eastAsia="Arial" w:hAnsi="Arial"/>
          <w:sz w:val="24"/>
          <w:szCs w:val="24"/>
          <w:rtl/>
        </w:rPr>
        <w:t xml:space="preserve">إعداد المحضر النهائي.</w:t>
      </w:r>
    </w:p>
    <w:p>
      <w:pPr>
        <w:pStyle w:val="ListParagraph"/>
        <w:numPr>
          <w:ilvl w:val="0"/>
          <w:numId w:val="2"/>
        </w:numPr>
        <w:bidi/>
        <w:spacing w:after="100" w:line="300"/>
        <w:jc w:val="right"/>
      </w:pPr>
      <w:r>
        <w:rPr>
          <w:rFonts w:ascii="Arial" w:cs="Arial" w:eastAsia="Arial" w:hAnsi="Arial"/>
          <w:sz w:val="24"/>
          <w:szCs w:val="24"/>
          <w:rtl/>
        </w:rPr>
        <w:t xml:space="preserve">توقيع المحضر.</w:t>
      </w:r>
    </w:p>
    <w:p>
      <w:pPr>
        <w:pStyle w:val="ListParagraph"/>
        <w:numPr>
          <w:ilvl w:val="0"/>
          <w:numId w:val="2"/>
        </w:numPr>
        <w:bidi/>
        <w:spacing w:after="100" w:line="300"/>
        <w:jc w:val="right"/>
      </w:pPr>
      <w:r>
        <w:rPr>
          <w:rFonts w:ascii="Arial" w:cs="Arial" w:eastAsia="Arial" w:hAnsi="Arial"/>
          <w:sz w:val="24"/>
          <w:szCs w:val="24"/>
          <w:rtl/>
        </w:rPr>
        <w:t xml:space="preserve">النشر الكامل للمحضر.</w:t>
      </w:r>
    </w:p>
    <w:p>
      <w:pPr>
        <w:pStyle w:val="ListParagraph"/>
        <w:numPr>
          <w:ilvl w:val="0"/>
          <w:numId w:val="2"/>
        </w:numPr>
        <w:bidi/>
        <w:spacing w:after="100" w:line="300"/>
        <w:jc w:val="right"/>
      </w:pPr>
      <w:r>
        <w:rPr>
          <w:rFonts w:ascii="Arial" w:cs="Arial" w:eastAsia="Arial" w:hAnsi="Arial"/>
          <w:sz w:val="24"/>
          <w:szCs w:val="24"/>
          <w:rtl/>
        </w:rPr>
        <w:t xml:space="preserve">بدء إجراءات القيد لدى الجهات.</w:t>
      </w:r>
    </w:p>
    <w:p>
      <w:pPr>
        <w:pStyle w:val="ListParagraph"/>
        <w:numPr>
          <w:ilvl w:val="0"/>
          <w:numId w:val="2"/>
        </w:numPr>
        <w:bidi/>
        <w:spacing w:after="100" w:line="300"/>
        <w:jc w:val="right"/>
      </w:pPr>
      <w:r>
        <w:rPr>
          <w:rFonts w:ascii="Arial" w:cs="Arial" w:eastAsia="Arial" w:hAnsi="Arial"/>
          <w:sz w:val="24"/>
          <w:szCs w:val="24"/>
          <w:rtl/>
        </w:rPr>
        <w:t xml:space="preserve">التواصل مع البنوك (للتوزيعات).</w:t>
      </w:r>
    </w:p>
    <w:p>
      <w:pPr>
        <w:pStyle w:val="ListParagraph"/>
        <w:numPr>
          <w:ilvl w:val="0"/>
          <w:numId w:val="2"/>
        </w:numPr>
        <w:bidi/>
        <w:spacing w:after="100" w:line="300"/>
        <w:jc w:val="right"/>
      </w:pPr>
      <w:r>
        <w:rPr>
          <w:rFonts w:ascii="Arial" w:cs="Arial" w:eastAsia="Arial" w:hAnsi="Arial"/>
          <w:sz w:val="24"/>
          <w:szCs w:val="24"/>
          <w:rtl/>
        </w:rPr>
        <w:t xml:space="preserve">تحضير الأنظمة الداخلية.</w:t>
      </w:r>
    </w:p>
    <w:p>
      <w:pPr>
        <w:pStyle w:val="Heading2"/>
        <w:bidi/>
        <w:spacing w:after="160" w:before="280"/>
        <w:jc w:val="right"/>
      </w:pPr>
      <w:r>
        <w:rPr>
          <w:rFonts w:ascii="Arial" w:cs="Arial" w:eastAsia="Arial" w:hAnsi="Arial"/>
          <w:b/>
          <w:bCs/>
          <w:color w:val="2E75B6"/>
          <w:sz w:val="30"/>
          <w:szCs w:val="30"/>
          <w:rtl/>
        </w:rPr>
        <w:t xml:space="preserve">3. المرحلة متوسطة المدى (خلال أسابيع)</w:t>
      </w:r>
    </w:p>
    <w:p>
      <w:pPr>
        <w:pStyle w:val="ListParagraph"/>
        <w:numPr>
          <w:ilvl w:val="0"/>
          <w:numId w:val="2"/>
        </w:numPr>
        <w:bidi/>
        <w:spacing w:after="100" w:line="300"/>
        <w:jc w:val="right"/>
      </w:pPr>
      <w:r>
        <w:rPr>
          <w:rFonts w:ascii="Arial" w:cs="Arial" w:eastAsia="Arial" w:hAnsi="Arial"/>
          <w:sz w:val="24"/>
          <w:szCs w:val="24"/>
          <w:rtl/>
        </w:rPr>
        <w:t xml:space="preserve">تنفيذ التوزيعات.</w:t>
      </w:r>
    </w:p>
    <w:p>
      <w:pPr>
        <w:pStyle w:val="ListParagraph"/>
        <w:numPr>
          <w:ilvl w:val="0"/>
          <w:numId w:val="2"/>
        </w:numPr>
        <w:bidi/>
        <w:spacing w:after="100" w:line="300"/>
        <w:jc w:val="right"/>
      </w:pPr>
      <w:r>
        <w:rPr>
          <w:rFonts w:ascii="Arial" w:cs="Arial" w:eastAsia="Arial" w:hAnsi="Arial"/>
          <w:sz w:val="24"/>
          <w:szCs w:val="24"/>
          <w:rtl/>
        </w:rPr>
        <w:t xml:space="preserve">استكمال إجراءات القيد التجاري.</w:t>
      </w:r>
    </w:p>
    <w:p>
      <w:pPr>
        <w:pStyle w:val="ListParagraph"/>
        <w:numPr>
          <w:ilvl w:val="0"/>
          <w:numId w:val="2"/>
        </w:numPr>
        <w:bidi/>
        <w:spacing w:after="100" w:line="300"/>
        <w:jc w:val="right"/>
      </w:pPr>
      <w:r>
        <w:rPr>
          <w:rFonts w:ascii="Arial" w:cs="Arial" w:eastAsia="Arial" w:hAnsi="Arial"/>
          <w:sz w:val="24"/>
          <w:szCs w:val="24"/>
          <w:rtl/>
        </w:rPr>
        <w:t xml:space="preserve">تحديث النظام الأساس.</w:t>
      </w:r>
    </w:p>
    <w:p>
      <w:pPr>
        <w:pStyle w:val="ListParagraph"/>
        <w:numPr>
          <w:ilvl w:val="0"/>
          <w:numId w:val="2"/>
        </w:numPr>
        <w:bidi/>
        <w:spacing w:after="100" w:line="300"/>
        <w:jc w:val="right"/>
      </w:pPr>
      <w:r>
        <w:rPr>
          <w:rFonts w:ascii="Arial" w:cs="Arial" w:eastAsia="Arial" w:hAnsi="Arial"/>
          <w:sz w:val="24"/>
          <w:szCs w:val="24"/>
          <w:rtl/>
        </w:rPr>
        <w:t xml:space="preserve">بدء الإجراءات التشغيلية للقرارات الكبرى.</w:t>
      </w:r>
    </w:p>
    <w:p>
      <w:pPr>
        <w:pStyle w:val="ListParagraph"/>
        <w:numPr>
          <w:ilvl w:val="0"/>
          <w:numId w:val="2"/>
        </w:numPr>
        <w:bidi/>
        <w:spacing w:after="100" w:line="300"/>
        <w:jc w:val="right"/>
      </w:pPr>
      <w:r>
        <w:rPr>
          <w:rFonts w:ascii="Arial" w:cs="Arial" w:eastAsia="Arial" w:hAnsi="Arial"/>
          <w:sz w:val="24"/>
          <w:szCs w:val="24"/>
          <w:rtl/>
        </w:rPr>
        <w:t xml:space="preserve">التواصل المستمر مع المساهمين.</w:t>
      </w:r>
    </w:p>
    <w:p>
      <w:pPr>
        <w:pStyle w:val="Heading2"/>
        <w:bidi/>
        <w:spacing w:after="160" w:before="280"/>
        <w:jc w:val="right"/>
      </w:pPr>
      <w:r>
        <w:rPr>
          <w:rFonts w:ascii="Arial" w:cs="Arial" w:eastAsia="Arial" w:hAnsi="Arial"/>
          <w:b/>
          <w:bCs/>
          <w:color w:val="2E75B6"/>
          <w:sz w:val="30"/>
          <w:szCs w:val="30"/>
          <w:rtl/>
        </w:rPr>
        <w:t xml:space="preserve">4. المرحلة طويلة المدى (خلال أشهر أو سنوات)</w:t>
      </w:r>
    </w:p>
    <w:p>
      <w:pPr>
        <w:pStyle w:val="ListParagraph"/>
        <w:numPr>
          <w:ilvl w:val="0"/>
          <w:numId w:val="2"/>
        </w:numPr>
        <w:bidi/>
        <w:spacing w:after="100" w:line="300"/>
        <w:jc w:val="right"/>
      </w:pPr>
      <w:r>
        <w:rPr>
          <w:rFonts w:ascii="Arial" w:cs="Arial" w:eastAsia="Arial" w:hAnsi="Arial"/>
          <w:sz w:val="24"/>
          <w:szCs w:val="24"/>
          <w:rtl/>
        </w:rPr>
        <w:t xml:space="preserve">تنفيذ القرارات الاستراتيجية (الاندماج، التصفية).</w:t>
      </w:r>
    </w:p>
    <w:p>
      <w:pPr>
        <w:pStyle w:val="ListParagraph"/>
        <w:numPr>
          <w:ilvl w:val="0"/>
          <w:numId w:val="2"/>
        </w:numPr>
        <w:bidi/>
        <w:spacing w:after="100" w:line="300"/>
        <w:jc w:val="right"/>
      </w:pPr>
      <w:r>
        <w:rPr>
          <w:rFonts w:ascii="Arial" w:cs="Arial" w:eastAsia="Arial" w:hAnsi="Arial"/>
          <w:sz w:val="24"/>
          <w:szCs w:val="24"/>
          <w:rtl/>
        </w:rPr>
        <w:t xml:space="preserve">متابعة تطبيق السياسات الجديدة.</w:t>
      </w:r>
    </w:p>
    <w:p>
      <w:pPr>
        <w:pStyle w:val="ListParagraph"/>
        <w:numPr>
          <w:ilvl w:val="0"/>
          <w:numId w:val="2"/>
        </w:numPr>
        <w:bidi/>
        <w:spacing w:after="100" w:line="300"/>
        <w:jc w:val="right"/>
      </w:pPr>
      <w:r>
        <w:rPr>
          <w:rFonts w:ascii="Arial" w:cs="Arial" w:eastAsia="Arial" w:hAnsi="Arial"/>
          <w:sz w:val="24"/>
          <w:szCs w:val="24"/>
          <w:rtl/>
        </w:rPr>
        <w:t xml:space="preserve">التقييم الدوري للتنفيذ.</w:t>
      </w:r>
    </w:p>
    <w:p>
      <w:pPr>
        <w:pStyle w:val="ListParagraph"/>
        <w:numPr>
          <w:ilvl w:val="0"/>
          <w:numId w:val="2"/>
        </w:numPr>
        <w:bidi/>
        <w:spacing w:after="100" w:line="300"/>
        <w:jc w:val="right"/>
      </w:pPr>
      <w:r>
        <w:rPr>
          <w:rFonts w:ascii="Arial" w:cs="Arial" w:eastAsia="Arial" w:hAnsi="Arial"/>
          <w:sz w:val="24"/>
          <w:szCs w:val="24"/>
          <w:rtl/>
        </w:rPr>
        <w:t xml:space="preserve">التقارير للجمعيات اللاحقة.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ثانياً: الإجراءات الفورية بعد الجمعية</w:t>
      </w:r>
    </w:p>
    <w:p>
      <w:pPr>
        <w:pStyle w:val="Heading2"/>
        <w:bidi/>
        <w:spacing w:after="160" w:before="280"/>
        <w:jc w:val="right"/>
      </w:pPr>
      <w:r>
        <w:rPr>
          <w:rFonts w:ascii="Arial" w:cs="Arial" w:eastAsia="Arial" w:hAnsi="Arial"/>
          <w:b/>
          <w:bCs/>
          <w:color w:val="2E75B6"/>
          <w:sz w:val="30"/>
          <w:szCs w:val="30"/>
          <w:rtl/>
        </w:rPr>
        <w:t xml:space="preserve">1. الإفصاح الفوري (خلال 24 ساعة)</w:t>
      </w:r>
    </w:p>
    <w:p>
      <w:pPr>
        <w:pStyle w:val="Heading3"/>
        <w:bidi/>
        <w:spacing w:after="120" w:before="200"/>
        <w:jc w:val="right"/>
      </w:pPr>
      <w:r>
        <w:rPr>
          <w:rFonts w:ascii="Arial" w:cs="Arial" w:eastAsia="Arial" w:hAnsi="Arial"/>
          <w:b/>
          <w:bCs/>
          <w:color w:val="1F4E79"/>
          <w:sz w:val="26"/>
          <w:szCs w:val="26"/>
          <w:rtl/>
        </w:rPr>
        <w:t xml:space="preserve">للشركات المدرجة</w:t>
      </w:r>
    </w:p>
    <w:p>
      <w:pPr>
        <w:bidi/>
        <w:spacing w:after="140" w:line="320"/>
        <w:jc w:val="both"/>
      </w:pPr>
      <w:r>
        <w:rPr>
          <w:rFonts w:ascii="Arial" w:cs="Arial" w:eastAsia="Arial" w:hAnsi="Arial"/>
          <w:sz w:val="24"/>
          <w:szCs w:val="24"/>
          <w:rtl/>
        </w:rPr>
        <w:t xml:space="preserve">بمجرد انتهاء الجمعية، يجب الإفصاح الفوري عن النتائج وفقاً لمتطلبات هيئة السوق المالية:</w:t>
      </w:r>
    </w:p>
    <w:p>
      <w:pPr>
        <w:pStyle w:val="ListParagraph"/>
        <w:numPr>
          <w:ilvl w:val="0"/>
          <w:numId w:val="3"/>
        </w:numPr>
        <w:bidi/>
        <w:spacing w:after="100" w:line="300"/>
        <w:jc w:val="right"/>
      </w:pPr>
      <w:r>
        <w:rPr>
          <w:rFonts w:ascii="Arial" w:cs="Arial" w:eastAsia="Arial" w:hAnsi="Arial"/>
          <w:sz w:val="24"/>
          <w:szCs w:val="24"/>
          <w:rtl/>
        </w:rPr>
        <w:t xml:space="preserve">**الإعلان الأولي**: خلال الدقائق الأولى من انتهاء الجمعية، يُعلن عن انعقادها ونتائجها الأولية.</w:t>
      </w:r>
    </w:p>
    <w:p>
      <w:pPr>
        <w:pStyle w:val="ListParagraph"/>
        <w:numPr>
          <w:ilvl w:val="0"/>
          <w:numId w:val="3"/>
        </w:numPr>
        <w:bidi/>
        <w:spacing w:after="100" w:line="300"/>
        <w:jc w:val="right"/>
      </w:pPr>
      <w:r>
        <w:rPr>
          <w:rFonts w:ascii="Arial" w:cs="Arial" w:eastAsia="Arial" w:hAnsi="Arial"/>
          <w:sz w:val="24"/>
          <w:szCs w:val="24"/>
          <w:rtl/>
        </w:rPr>
        <w:t xml:space="preserve">**الإفصاح المفصّل**: خلال 24 ساعة، إفصاح شامل عن كل بند ونتيجته.</w:t>
      </w:r>
    </w:p>
    <w:p>
      <w:pPr>
        <w:pStyle w:val="ListParagraph"/>
        <w:numPr>
          <w:ilvl w:val="0"/>
          <w:numId w:val="3"/>
        </w:numPr>
        <w:bidi/>
        <w:spacing w:after="100" w:line="300"/>
        <w:jc w:val="right"/>
      </w:pPr>
      <w:r>
        <w:rPr>
          <w:rFonts w:ascii="Arial" w:cs="Arial" w:eastAsia="Arial" w:hAnsi="Arial"/>
          <w:sz w:val="24"/>
          <w:szCs w:val="24"/>
          <w:rtl/>
        </w:rPr>
        <w:t xml:space="preserve">**نشر المحضر**: خلال أيام قليلة، نشر المحضر الكامل والمصدّق.</w:t>
      </w:r>
    </w:p>
    <w:p>
      <w:pPr>
        <w:pStyle w:val="Heading3"/>
        <w:bidi/>
        <w:spacing w:after="120" w:before="200"/>
        <w:jc w:val="right"/>
      </w:pPr>
      <w:r>
        <w:rPr>
          <w:rFonts w:ascii="Arial" w:cs="Arial" w:eastAsia="Arial" w:hAnsi="Arial"/>
          <w:b/>
          <w:bCs/>
          <w:color w:val="1F4E79"/>
          <w:sz w:val="26"/>
          <w:szCs w:val="26"/>
          <w:rtl/>
        </w:rPr>
        <w:t xml:space="preserve">محتوى الإفصاح</w:t>
      </w:r>
    </w:p>
    <w:p>
      <w:pPr>
        <w:pStyle w:val="ListParagraph"/>
        <w:numPr>
          <w:ilvl w:val="0"/>
          <w:numId w:val="2"/>
        </w:numPr>
        <w:bidi/>
        <w:spacing w:after="100" w:line="300"/>
        <w:jc w:val="right"/>
      </w:pPr>
      <w:r>
        <w:rPr>
          <w:rFonts w:ascii="Arial" w:cs="Arial" w:eastAsia="Arial" w:hAnsi="Arial"/>
          <w:sz w:val="24"/>
          <w:szCs w:val="24"/>
          <w:rtl/>
        </w:rPr>
        <w:t xml:space="preserve">تاريخ ووقت ومكان الجمعية.</w:t>
      </w:r>
    </w:p>
    <w:p>
      <w:pPr>
        <w:pStyle w:val="ListParagraph"/>
        <w:numPr>
          <w:ilvl w:val="0"/>
          <w:numId w:val="2"/>
        </w:numPr>
        <w:bidi/>
        <w:spacing w:after="100" w:line="300"/>
        <w:jc w:val="right"/>
      </w:pPr>
      <w:r>
        <w:rPr>
          <w:rFonts w:ascii="Arial" w:cs="Arial" w:eastAsia="Arial" w:hAnsi="Arial"/>
          <w:sz w:val="24"/>
          <w:szCs w:val="24"/>
          <w:rtl/>
        </w:rPr>
        <w:t xml:space="preserve">الاجتماع الذي انعقدت فيه (الأول، الثاني، الثالث).</w:t>
      </w:r>
    </w:p>
    <w:p>
      <w:pPr>
        <w:pStyle w:val="ListParagraph"/>
        <w:numPr>
          <w:ilvl w:val="0"/>
          <w:numId w:val="2"/>
        </w:numPr>
        <w:bidi/>
        <w:spacing w:after="100" w:line="300"/>
        <w:jc w:val="right"/>
      </w:pPr>
      <w:r>
        <w:rPr>
          <w:rFonts w:ascii="Arial" w:cs="Arial" w:eastAsia="Arial" w:hAnsi="Arial"/>
          <w:sz w:val="24"/>
          <w:szCs w:val="24"/>
          <w:rtl/>
        </w:rPr>
        <w:t xml:space="preserve">نسبة الحضور وتفاصيلها.</w:t>
      </w:r>
    </w:p>
    <w:p>
      <w:pPr>
        <w:pStyle w:val="ListParagraph"/>
        <w:numPr>
          <w:ilvl w:val="0"/>
          <w:numId w:val="2"/>
        </w:numPr>
        <w:bidi/>
        <w:spacing w:after="100" w:line="300"/>
        <w:jc w:val="right"/>
      </w:pPr>
      <w:r>
        <w:rPr>
          <w:rFonts w:ascii="Arial" w:cs="Arial" w:eastAsia="Arial" w:hAnsi="Arial"/>
          <w:sz w:val="24"/>
          <w:szCs w:val="24"/>
          <w:rtl/>
        </w:rPr>
        <w:t xml:space="preserve">لكل بند: النص، نتيجة التصويت، النسب.</w:t>
      </w:r>
    </w:p>
    <w:p>
      <w:pPr>
        <w:pStyle w:val="ListParagraph"/>
        <w:numPr>
          <w:ilvl w:val="0"/>
          <w:numId w:val="2"/>
        </w:numPr>
        <w:bidi/>
        <w:spacing w:after="100" w:line="300"/>
        <w:jc w:val="right"/>
      </w:pPr>
      <w:r>
        <w:rPr>
          <w:rFonts w:ascii="Arial" w:cs="Arial" w:eastAsia="Arial" w:hAnsi="Arial"/>
          <w:sz w:val="24"/>
          <w:szCs w:val="24"/>
          <w:rtl/>
        </w:rPr>
        <w:t xml:space="preserve">الإعلان عن اعتماد أو رفض كل قرار.</w:t>
      </w:r>
    </w:p>
    <w:p>
      <w:pPr>
        <w:pStyle w:val="ListParagraph"/>
        <w:numPr>
          <w:ilvl w:val="0"/>
          <w:numId w:val="2"/>
        </w:numPr>
        <w:bidi/>
        <w:spacing w:after="100" w:line="300"/>
        <w:jc w:val="right"/>
      </w:pPr>
      <w:r>
        <w:rPr>
          <w:rFonts w:ascii="Arial" w:cs="Arial" w:eastAsia="Arial" w:hAnsi="Arial"/>
          <w:sz w:val="24"/>
          <w:szCs w:val="24"/>
          <w:rtl/>
        </w:rPr>
        <w:t xml:space="preserve">أي تطورات استراتيجية ناتجة.</w:t>
      </w:r>
    </w:p>
    <w:p>
      <w:pPr>
        <w:pStyle w:val="Heading2"/>
        <w:bidi/>
        <w:spacing w:after="160" w:before="280"/>
        <w:jc w:val="right"/>
      </w:pPr>
      <w:r>
        <w:rPr>
          <w:rFonts w:ascii="Arial" w:cs="Arial" w:eastAsia="Arial" w:hAnsi="Arial"/>
          <w:b/>
          <w:bCs/>
          <w:color w:val="2E75B6"/>
          <w:sz w:val="30"/>
          <w:szCs w:val="30"/>
          <w:rtl/>
        </w:rPr>
        <w:t xml:space="preserve">2. التواصل الداخلي</w:t>
      </w:r>
    </w:p>
    <w:p>
      <w:pPr>
        <w:pStyle w:val="Heading3"/>
        <w:bidi/>
        <w:spacing w:after="120" w:before="200"/>
        <w:jc w:val="right"/>
      </w:pPr>
      <w:r>
        <w:rPr>
          <w:rFonts w:ascii="Arial" w:cs="Arial" w:eastAsia="Arial" w:hAnsi="Arial"/>
          <w:b/>
          <w:bCs/>
          <w:color w:val="1F4E79"/>
          <w:sz w:val="26"/>
          <w:szCs w:val="26"/>
          <w:rtl/>
        </w:rPr>
        <w:t xml:space="preserve">مع مجلس الإدارة</w:t>
      </w:r>
    </w:p>
    <w:p>
      <w:pPr>
        <w:pStyle w:val="ListParagraph"/>
        <w:numPr>
          <w:ilvl w:val="0"/>
          <w:numId w:val="2"/>
        </w:numPr>
        <w:bidi/>
        <w:spacing w:after="100" w:line="300"/>
        <w:jc w:val="right"/>
      </w:pPr>
      <w:r>
        <w:rPr>
          <w:rFonts w:ascii="Arial" w:cs="Arial" w:eastAsia="Arial" w:hAnsi="Arial"/>
          <w:sz w:val="24"/>
          <w:szCs w:val="24"/>
          <w:rtl/>
        </w:rPr>
        <w:t xml:space="preserve">إبلاغ المجلس بنتائج الجمعية رسمياً.</w:t>
      </w:r>
    </w:p>
    <w:p>
      <w:pPr>
        <w:pStyle w:val="ListParagraph"/>
        <w:numPr>
          <w:ilvl w:val="0"/>
          <w:numId w:val="2"/>
        </w:numPr>
        <w:bidi/>
        <w:spacing w:after="100" w:line="300"/>
        <w:jc w:val="right"/>
      </w:pPr>
      <w:r>
        <w:rPr>
          <w:rFonts w:ascii="Arial" w:cs="Arial" w:eastAsia="Arial" w:hAnsi="Arial"/>
          <w:sz w:val="24"/>
          <w:szCs w:val="24"/>
          <w:rtl/>
        </w:rPr>
        <w:t xml:space="preserve">تحديد المسؤوليات لتنفيذ كل قرار.</w:t>
      </w:r>
    </w:p>
    <w:p>
      <w:pPr>
        <w:pStyle w:val="ListParagraph"/>
        <w:numPr>
          <w:ilvl w:val="0"/>
          <w:numId w:val="2"/>
        </w:numPr>
        <w:bidi/>
        <w:spacing w:after="100" w:line="300"/>
        <w:jc w:val="right"/>
      </w:pPr>
      <w:r>
        <w:rPr>
          <w:rFonts w:ascii="Arial" w:cs="Arial" w:eastAsia="Arial" w:hAnsi="Arial"/>
          <w:sz w:val="24"/>
          <w:szCs w:val="24"/>
          <w:rtl/>
        </w:rPr>
        <w:t xml:space="preserve">جدولة الاجتماع التالي للمجلس لمتابعة التنفيذ.</w:t>
      </w:r>
    </w:p>
    <w:p>
      <w:pPr>
        <w:pStyle w:val="Heading3"/>
        <w:bidi/>
        <w:spacing w:after="120" w:before="200"/>
        <w:jc w:val="right"/>
      </w:pPr>
      <w:r>
        <w:rPr>
          <w:rFonts w:ascii="Arial" w:cs="Arial" w:eastAsia="Arial" w:hAnsi="Arial"/>
          <w:b/>
          <w:bCs/>
          <w:color w:val="1F4E79"/>
          <w:sz w:val="26"/>
          <w:szCs w:val="26"/>
          <w:rtl/>
        </w:rPr>
        <w:t xml:space="preserve">مع الإدارة التنفيذية</w:t>
      </w:r>
    </w:p>
    <w:p>
      <w:pPr>
        <w:pStyle w:val="ListParagraph"/>
        <w:numPr>
          <w:ilvl w:val="0"/>
          <w:numId w:val="2"/>
        </w:numPr>
        <w:bidi/>
        <w:spacing w:after="100" w:line="300"/>
        <w:jc w:val="right"/>
      </w:pPr>
      <w:r>
        <w:rPr>
          <w:rFonts w:ascii="Arial" w:cs="Arial" w:eastAsia="Arial" w:hAnsi="Arial"/>
          <w:sz w:val="24"/>
          <w:szCs w:val="24"/>
          <w:rtl/>
        </w:rPr>
        <w:t xml:space="preserve">تكليف الإدارات المعنية بمهام التنفيذ.</w:t>
      </w:r>
    </w:p>
    <w:p>
      <w:pPr>
        <w:pStyle w:val="ListParagraph"/>
        <w:numPr>
          <w:ilvl w:val="0"/>
          <w:numId w:val="2"/>
        </w:numPr>
        <w:bidi/>
        <w:spacing w:after="100" w:line="300"/>
        <w:jc w:val="right"/>
      </w:pPr>
      <w:r>
        <w:rPr>
          <w:rFonts w:ascii="Arial" w:cs="Arial" w:eastAsia="Arial" w:hAnsi="Arial"/>
          <w:sz w:val="24"/>
          <w:szCs w:val="24"/>
          <w:rtl/>
        </w:rPr>
        <w:t xml:space="preserve">تحديد الجداول الزمنية لكل قرار.</w:t>
      </w:r>
    </w:p>
    <w:p>
      <w:pPr>
        <w:pStyle w:val="ListParagraph"/>
        <w:numPr>
          <w:ilvl w:val="0"/>
          <w:numId w:val="2"/>
        </w:numPr>
        <w:bidi/>
        <w:spacing w:after="100" w:line="300"/>
        <w:jc w:val="right"/>
      </w:pPr>
      <w:r>
        <w:rPr>
          <w:rFonts w:ascii="Arial" w:cs="Arial" w:eastAsia="Arial" w:hAnsi="Arial"/>
          <w:sz w:val="24"/>
          <w:szCs w:val="24"/>
          <w:rtl/>
        </w:rPr>
        <w:t xml:space="preserve">تخصيص الموارد اللازمة.</w:t>
      </w:r>
    </w:p>
    <w:p>
      <w:pPr>
        <w:pStyle w:val="Heading3"/>
        <w:bidi/>
        <w:spacing w:after="120" w:before="200"/>
        <w:jc w:val="right"/>
      </w:pPr>
      <w:r>
        <w:rPr>
          <w:rFonts w:ascii="Arial" w:cs="Arial" w:eastAsia="Arial" w:hAnsi="Arial"/>
          <w:b/>
          <w:bCs/>
          <w:color w:val="1F4E79"/>
          <w:sz w:val="26"/>
          <w:szCs w:val="26"/>
          <w:rtl/>
        </w:rPr>
        <w:t xml:space="preserve">مع الموظفين</w:t>
      </w:r>
    </w:p>
    <w:p>
      <w:pPr>
        <w:pStyle w:val="ListParagraph"/>
        <w:numPr>
          <w:ilvl w:val="0"/>
          <w:numId w:val="2"/>
        </w:numPr>
        <w:bidi/>
        <w:spacing w:after="100" w:line="300"/>
        <w:jc w:val="right"/>
      </w:pPr>
      <w:r>
        <w:rPr>
          <w:rFonts w:ascii="Arial" w:cs="Arial" w:eastAsia="Arial" w:hAnsi="Arial"/>
          <w:sz w:val="24"/>
          <w:szCs w:val="24"/>
          <w:rtl/>
        </w:rPr>
        <w:t xml:space="preserve">إبلاغ الموظفين بالقرارات التي تخصهم.</w:t>
      </w:r>
    </w:p>
    <w:p>
      <w:pPr>
        <w:pStyle w:val="ListParagraph"/>
        <w:numPr>
          <w:ilvl w:val="0"/>
          <w:numId w:val="2"/>
        </w:numPr>
        <w:bidi/>
        <w:spacing w:after="100" w:line="300"/>
        <w:jc w:val="right"/>
      </w:pPr>
      <w:r>
        <w:rPr>
          <w:rFonts w:ascii="Arial" w:cs="Arial" w:eastAsia="Arial" w:hAnsi="Arial"/>
          <w:sz w:val="24"/>
          <w:szCs w:val="24"/>
          <w:rtl/>
        </w:rPr>
        <w:t xml:space="preserve">توضيح الأثر على عملهم.</w:t>
      </w:r>
    </w:p>
    <w:p>
      <w:pPr>
        <w:pStyle w:val="ListParagraph"/>
        <w:numPr>
          <w:ilvl w:val="0"/>
          <w:numId w:val="2"/>
        </w:numPr>
        <w:bidi/>
        <w:spacing w:after="100" w:line="300"/>
        <w:jc w:val="right"/>
      </w:pPr>
      <w:r>
        <w:rPr>
          <w:rFonts w:ascii="Arial" w:cs="Arial" w:eastAsia="Arial" w:hAnsi="Arial"/>
          <w:sz w:val="24"/>
          <w:szCs w:val="24"/>
          <w:rtl/>
        </w:rPr>
        <w:t xml:space="preserve">تأكيد الاستمرارية أو شرح التغييرات.</w:t>
      </w:r>
    </w:p>
    <w:p>
      <w:pPr>
        <w:pStyle w:val="Heading2"/>
        <w:bidi/>
        <w:spacing w:after="160" w:before="280"/>
        <w:jc w:val="right"/>
      </w:pPr>
      <w:r>
        <w:rPr>
          <w:rFonts w:ascii="Arial" w:cs="Arial" w:eastAsia="Arial" w:hAnsi="Arial"/>
          <w:b/>
          <w:bCs/>
          <w:color w:val="2E75B6"/>
          <w:sz w:val="30"/>
          <w:szCs w:val="30"/>
          <w:rtl/>
        </w:rPr>
        <w:t xml:space="preserve">3. الإجراءات الإدارية</w:t>
      </w:r>
    </w:p>
    <w:p>
      <w:pPr>
        <w:pStyle w:val="ListParagraph"/>
        <w:numPr>
          <w:ilvl w:val="0"/>
          <w:numId w:val="3"/>
        </w:numPr>
        <w:bidi/>
        <w:spacing w:after="100" w:line="300"/>
        <w:jc w:val="right"/>
      </w:pPr>
      <w:r>
        <w:rPr>
          <w:rFonts w:ascii="Arial" w:cs="Arial" w:eastAsia="Arial" w:hAnsi="Arial"/>
          <w:sz w:val="24"/>
          <w:szCs w:val="24"/>
          <w:rtl/>
        </w:rPr>
        <w:t xml:space="preserve">توثيق نتائج الجمعية في سجلات الشركة.</w:t>
      </w:r>
    </w:p>
    <w:p>
      <w:pPr>
        <w:pStyle w:val="ListParagraph"/>
        <w:numPr>
          <w:ilvl w:val="0"/>
          <w:numId w:val="3"/>
        </w:numPr>
        <w:bidi/>
        <w:spacing w:after="100" w:line="300"/>
        <w:jc w:val="right"/>
      </w:pPr>
      <w:r>
        <w:rPr>
          <w:rFonts w:ascii="Arial" w:cs="Arial" w:eastAsia="Arial" w:hAnsi="Arial"/>
          <w:sz w:val="24"/>
          <w:szCs w:val="24"/>
          <w:rtl/>
        </w:rPr>
        <w:t xml:space="preserve">تحديث ملفات الحوكمة.</w:t>
      </w:r>
    </w:p>
    <w:p>
      <w:pPr>
        <w:pStyle w:val="ListParagraph"/>
        <w:numPr>
          <w:ilvl w:val="0"/>
          <w:numId w:val="3"/>
        </w:numPr>
        <w:bidi/>
        <w:spacing w:after="100" w:line="300"/>
        <w:jc w:val="right"/>
      </w:pPr>
      <w:r>
        <w:rPr>
          <w:rFonts w:ascii="Arial" w:cs="Arial" w:eastAsia="Arial" w:hAnsi="Arial"/>
          <w:sz w:val="24"/>
          <w:szCs w:val="24"/>
          <w:rtl/>
        </w:rPr>
        <w:t xml:space="preserve">إعداد قائمة بالقرارات وأولوياتها.</w:t>
      </w:r>
    </w:p>
    <w:p>
      <w:pPr>
        <w:pStyle w:val="ListParagraph"/>
        <w:numPr>
          <w:ilvl w:val="0"/>
          <w:numId w:val="3"/>
        </w:numPr>
        <w:bidi/>
        <w:spacing w:after="100" w:line="300"/>
        <w:jc w:val="right"/>
      </w:pPr>
      <w:r>
        <w:rPr>
          <w:rFonts w:ascii="Arial" w:cs="Arial" w:eastAsia="Arial" w:hAnsi="Arial"/>
          <w:sz w:val="24"/>
          <w:szCs w:val="24"/>
          <w:rtl/>
        </w:rPr>
        <w:t xml:space="preserve">تشكيل فرق العمل لكل قرار رئيسي.</w:t>
      </w:r>
    </w:p>
    <w:p>
      <w:pPr>
        <w:pStyle w:val="ListParagraph"/>
        <w:numPr>
          <w:ilvl w:val="0"/>
          <w:numId w:val="3"/>
        </w:numPr>
        <w:bidi/>
        <w:spacing w:after="100" w:line="300"/>
        <w:jc w:val="right"/>
      </w:pPr>
      <w:r>
        <w:rPr>
          <w:rFonts w:ascii="Arial" w:cs="Arial" w:eastAsia="Arial" w:hAnsi="Arial"/>
          <w:sz w:val="24"/>
          <w:szCs w:val="24"/>
          <w:rtl/>
        </w:rPr>
        <w:t xml:space="preserve">إعداد خطط التنفيذ التفصيلية.</w:t>
      </w:r>
    </w:p>
    <w:p>
      <w:pPr>
        <w:pStyle w:val="Heading2"/>
        <w:bidi/>
        <w:spacing w:after="160" w:before="280"/>
        <w:jc w:val="right"/>
      </w:pPr>
      <w:r>
        <w:rPr>
          <w:rFonts w:ascii="Arial" w:cs="Arial" w:eastAsia="Arial" w:hAnsi="Arial"/>
          <w:b/>
          <w:bCs/>
          <w:color w:val="2E75B6"/>
          <w:sz w:val="30"/>
          <w:szCs w:val="30"/>
          <w:rtl/>
        </w:rPr>
        <w:t xml:space="preserve">4. التواصل مع الجهات الخارجية</w:t>
      </w:r>
    </w:p>
    <w:p>
      <w:pPr>
        <w:pStyle w:val="ListParagraph"/>
        <w:numPr>
          <w:ilvl w:val="0"/>
          <w:numId w:val="2"/>
        </w:numPr>
        <w:bidi/>
        <w:spacing w:after="100" w:line="300"/>
        <w:jc w:val="right"/>
      </w:pPr>
      <w:r>
        <w:rPr>
          <w:rFonts w:ascii="Arial" w:cs="Arial" w:eastAsia="Arial" w:hAnsi="Arial"/>
          <w:sz w:val="24"/>
          <w:szCs w:val="24"/>
          <w:rtl/>
        </w:rPr>
        <w:t xml:space="preserve">الجهات التنظيمية (هيئة السوق المالية، وزارة التجارة).</w:t>
      </w:r>
    </w:p>
    <w:p>
      <w:pPr>
        <w:pStyle w:val="ListParagraph"/>
        <w:numPr>
          <w:ilvl w:val="0"/>
          <w:numId w:val="2"/>
        </w:numPr>
        <w:bidi/>
        <w:spacing w:after="100" w:line="300"/>
        <w:jc w:val="right"/>
      </w:pPr>
      <w:r>
        <w:rPr>
          <w:rFonts w:ascii="Arial" w:cs="Arial" w:eastAsia="Arial" w:hAnsi="Arial"/>
          <w:sz w:val="24"/>
          <w:szCs w:val="24"/>
          <w:rtl/>
        </w:rPr>
        <w:t xml:space="preserve">مركز إيداع الأوراق المالية.</w:t>
      </w:r>
    </w:p>
    <w:p>
      <w:pPr>
        <w:pStyle w:val="ListParagraph"/>
        <w:numPr>
          <w:ilvl w:val="0"/>
          <w:numId w:val="2"/>
        </w:numPr>
        <w:bidi/>
        <w:spacing w:after="100" w:line="300"/>
        <w:jc w:val="right"/>
      </w:pPr>
      <w:r>
        <w:rPr>
          <w:rFonts w:ascii="Arial" w:cs="Arial" w:eastAsia="Arial" w:hAnsi="Arial"/>
          <w:sz w:val="24"/>
          <w:szCs w:val="24"/>
          <w:rtl/>
        </w:rPr>
        <w:t xml:space="preserve">البنوك (للتوزيعات والتمويل).</w:t>
      </w:r>
    </w:p>
    <w:p>
      <w:pPr>
        <w:pStyle w:val="ListParagraph"/>
        <w:numPr>
          <w:ilvl w:val="0"/>
          <w:numId w:val="2"/>
        </w:numPr>
        <w:bidi/>
        <w:spacing w:after="100" w:line="300"/>
        <w:jc w:val="right"/>
      </w:pPr>
      <w:r>
        <w:rPr>
          <w:rFonts w:ascii="Arial" w:cs="Arial" w:eastAsia="Arial" w:hAnsi="Arial"/>
          <w:sz w:val="24"/>
          <w:szCs w:val="24"/>
          <w:rtl/>
        </w:rPr>
        <w:t xml:space="preserve">المحاسبين والمراجعين.</w:t>
      </w:r>
    </w:p>
    <w:p>
      <w:pPr>
        <w:pStyle w:val="ListParagraph"/>
        <w:numPr>
          <w:ilvl w:val="0"/>
          <w:numId w:val="2"/>
        </w:numPr>
        <w:bidi/>
        <w:spacing w:after="100" w:line="300"/>
        <w:jc w:val="right"/>
      </w:pPr>
      <w:r>
        <w:rPr>
          <w:rFonts w:ascii="Arial" w:cs="Arial" w:eastAsia="Arial" w:hAnsi="Arial"/>
          <w:sz w:val="24"/>
          <w:szCs w:val="24"/>
          <w:rtl/>
        </w:rPr>
        <w:t xml:space="preserve">الشركاء الاستراتيجيين.</w:t>
      </w:r>
    </w:p>
    <w:p>
      <w:pPr>
        <w:pStyle w:val="ListParagraph"/>
        <w:numPr>
          <w:ilvl w:val="0"/>
          <w:numId w:val="2"/>
        </w:numPr>
        <w:bidi/>
        <w:spacing w:after="100" w:line="300"/>
        <w:jc w:val="right"/>
      </w:pPr>
      <w:r>
        <w:rPr>
          <w:rFonts w:ascii="Arial" w:cs="Arial" w:eastAsia="Arial" w:hAnsi="Arial"/>
          <w:sz w:val="24"/>
          <w:szCs w:val="24"/>
          <w:rtl/>
        </w:rPr>
        <w:t xml:space="preserve">الموردين والعملاء (في حالات معينة).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2F3"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ملاحظة محورية</w:t>
            </w:r>
          </w:p>
          <w:p>
            <w:pPr>
              <w:bidi/>
              <w:spacing w:line="300"/>
              <w:jc w:val="both"/>
            </w:pPr>
            <w:r>
              <w:rPr>
                <w:rFonts w:ascii="Arial" w:cs="Arial" w:eastAsia="Arial" w:hAnsi="Arial"/>
                <w:sz w:val="24"/>
                <w:szCs w:val="24"/>
                <w:rtl/>
              </w:rPr>
              <w:t xml:space="preserve">السرعة في الإفصاح ليست ترفاً، بل التزام نظامي. التأخر في الإفصاح بدون مبرر قد يُعرّض الشركة لمساءلة من هيئة السوق المالية، وقد يُؤثر سلباً على سعر السهم. الشركات الرائدة تستعد لإفصاحات ما بعد الجمعية مسبقاً، بحيث تكون جاهزة للنشر فور انتهاء الجمعية.</w:t>
            </w:r>
          </w:p>
        </w:tc>
      </w:tr>
    </w:tbl>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ثالثاً: تنفيذ القرارات المالية</w:t>
      </w:r>
    </w:p>
    <w:p>
      <w:pPr>
        <w:bidi/>
        <w:spacing w:after="140" w:line="320"/>
        <w:jc w:val="both"/>
      </w:pPr>
      <w:r>
        <w:rPr>
          <w:rFonts w:ascii="Arial" w:cs="Arial" w:eastAsia="Arial" w:hAnsi="Arial"/>
          <w:sz w:val="24"/>
          <w:szCs w:val="24"/>
          <w:rtl/>
        </w:rPr>
        <w:t xml:space="preserve">القرارات المالية هي الأكثر شيوعاً، ولها إجراءات تنفيذية محددة:</w:t>
      </w:r>
    </w:p>
    <w:p>
      <w:pPr>
        <w:pStyle w:val="Heading2"/>
        <w:bidi/>
        <w:spacing w:after="160" w:before="280"/>
        <w:jc w:val="right"/>
      </w:pPr>
      <w:r>
        <w:rPr>
          <w:rFonts w:ascii="Arial" w:cs="Arial" w:eastAsia="Arial" w:hAnsi="Arial"/>
          <w:b/>
          <w:bCs/>
          <w:color w:val="2E75B6"/>
          <w:sz w:val="30"/>
          <w:szCs w:val="30"/>
          <w:rtl/>
        </w:rPr>
        <w:t xml:space="preserve">1. توزيع الأرباح</w:t>
      </w:r>
    </w:p>
    <w:p>
      <w:pPr>
        <w:pStyle w:val="Heading3"/>
        <w:bidi/>
        <w:spacing w:after="120" w:before="200"/>
        <w:jc w:val="right"/>
      </w:pPr>
      <w:r>
        <w:rPr>
          <w:rFonts w:ascii="Arial" w:cs="Arial" w:eastAsia="Arial" w:hAnsi="Arial"/>
          <w:b/>
          <w:bCs/>
          <w:color w:val="1F4E79"/>
          <w:sz w:val="26"/>
          <w:szCs w:val="26"/>
          <w:rtl/>
        </w:rPr>
        <w:t xml:space="preserve">(أ) التحضيرات الفورية</w:t>
      </w:r>
    </w:p>
    <w:p>
      <w:pPr>
        <w:pStyle w:val="ListParagraph"/>
        <w:numPr>
          <w:ilvl w:val="0"/>
          <w:numId w:val="3"/>
        </w:numPr>
        <w:bidi/>
        <w:spacing w:after="100" w:line="300"/>
        <w:jc w:val="right"/>
      </w:pPr>
      <w:r>
        <w:rPr>
          <w:rFonts w:ascii="Arial" w:cs="Arial" w:eastAsia="Arial" w:hAnsi="Arial"/>
          <w:sz w:val="24"/>
          <w:szCs w:val="24"/>
          <w:rtl/>
        </w:rPr>
        <w:t xml:space="preserve">تأكيد قرار التوزيع كتابياً للجهات المعنية.</w:t>
      </w:r>
    </w:p>
    <w:p>
      <w:pPr>
        <w:pStyle w:val="ListParagraph"/>
        <w:numPr>
          <w:ilvl w:val="0"/>
          <w:numId w:val="3"/>
        </w:numPr>
        <w:bidi/>
        <w:spacing w:after="100" w:line="300"/>
        <w:jc w:val="right"/>
      </w:pPr>
      <w:r>
        <w:rPr>
          <w:rFonts w:ascii="Arial" w:cs="Arial" w:eastAsia="Arial" w:hAnsi="Arial"/>
          <w:sz w:val="24"/>
          <w:szCs w:val="24"/>
          <w:rtl/>
        </w:rPr>
        <w:t xml:space="preserve">تحديد التواريخ الحاكمة بدقة (الأحقية، الاستحقاق، الصرف).</w:t>
      </w:r>
    </w:p>
    <w:p>
      <w:pPr>
        <w:pStyle w:val="ListParagraph"/>
        <w:numPr>
          <w:ilvl w:val="0"/>
          <w:numId w:val="3"/>
        </w:numPr>
        <w:bidi/>
        <w:spacing w:after="100" w:line="300"/>
        <w:jc w:val="right"/>
      </w:pPr>
      <w:r>
        <w:rPr>
          <w:rFonts w:ascii="Arial" w:cs="Arial" w:eastAsia="Arial" w:hAnsi="Arial"/>
          <w:sz w:val="24"/>
          <w:szCs w:val="24"/>
          <w:rtl/>
        </w:rPr>
        <w:t xml:space="preserve">الإفصاح عن التواريخ على منصة "تداول".</w:t>
      </w:r>
    </w:p>
    <w:p>
      <w:pPr>
        <w:pStyle w:val="ListParagraph"/>
        <w:numPr>
          <w:ilvl w:val="0"/>
          <w:numId w:val="3"/>
        </w:numPr>
        <w:bidi/>
        <w:spacing w:after="100" w:line="300"/>
        <w:jc w:val="right"/>
      </w:pPr>
      <w:r>
        <w:rPr>
          <w:rFonts w:ascii="Arial" w:cs="Arial" w:eastAsia="Arial" w:hAnsi="Arial"/>
          <w:sz w:val="24"/>
          <w:szCs w:val="24"/>
          <w:rtl/>
        </w:rPr>
        <w:t xml:space="preserve">التواصل مع مركز إيداع لتحديد الأحقية.</w:t>
      </w:r>
    </w:p>
    <w:p>
      <w:pPr>
        <w:pStyle w:val="Heading3"/>
        <w:bidi/>
        <w:spacing w:after="120" w:before="200"/>
        <w:jc w:val="right"/>
      </w:pPr>
      <w:r>
        <w:rPr>
          <w:rFonts w:ascii="Arial" w:cs="Arial" w:eastAsia="Arial" w:hAnsi="Arial"/>
          <w:b/>
          <w:bCs/>
          <w:color w:val="1F4E79"/>
          <w:sz w:val="26"/>
          <w:szCs w:val="26"/>
          <w:rtl/>
        </w:rPr>
        <w:t xml:space="preserve">(ب) إعداد قائمة المستحقين</w:t>
      </w:r>
    </w:p>
    <w:p>
      <w:pPr>
        <w:pStyle w:val="ListParagraph"/>
        <w:numPr>
          <w:ilvl w:val="0"/>
          <w:numId w:val="2"/>
        </w:numPr>
        <w:bidi/>
        <w:spacing w:after="100" w:line="300"/>
        <w:jc w:val="right"/>
      </w:pPr>
      <w:r>
        <w:rPr>
          <w:rFonts w:ascii="Arial" w:cs="Arial" w:eastAsia="Arial" w:hAnsi="Arial"/>
          <w:sz w:val="24"/>
          <w:szCs w:val="24"/>
          <w:rtl/>
        </w:rPr>
        <w:t xml:space="preserve">استخراج قائمة المساهمين في تاريخ الأحقية.</w:t>
      </w:r>
    </w:p>
    <w:p>
      <w:pPr>
        <w:pStyle w:val="ListParagraph"/>
        <w:numPr>
          <w:ilvl w:val="0"/>
          <w:numId w:val="2"/>
        </w:numPr>
        <w:bidi/>
        <w:spacing w:after="100" w:line="300"/>
        <w:jc w:val="right"/>
      </w:pPr>
      <w:r>
        <w:rPr>
          <w:rFonts w:ascii="Arial" w:cs="Arial" w:eastAsia="Arial" w:hAnsi="Arial"/>
          <w:sz w:val="24"/>
          <w:szCs w:val="24"/>
          <w:rtl/>
        </w:rPr>
        <w:t xml:space="preserve">التحقق من بيانات الحسابات البنكية.</w:t>
      </w:r>
    </w:p>
    <w:p>
      <w:pPr>
        <w:pStyle w:val="ListParagraph"/>
        <w:numPr>
          <w:ilvl w:val="0"/>
          <w:numId w:val="2"/>
        </w:numPr>
        <w:bidi/>
        <w:spacing w:after="100" w:line="300"/>
        <w:jc w:val="right"/>
      </w:pPr>
      <w:r>
        <w:rPr>
          <w:rFonts w:ascii="Arial" w:cs="Arial" w:eastAsia="Arial" w:hAnsi="Arial"/>
          <w:sz w:val="24"/>
          <w:szCs w:val="24"/>
          <w:rtl/>
        </w:rPr>
        <w:t xml:space="preserve">معالجة الحالات الخاصة (الورثة، المرهونون).</w:t>
      </w:r>
    </w:p>
    <w:p>
      <w:pPr>
        <w:pStyle w:val="ListParagraph"/>
        <w:numPr>
          <w:ilvl w:val="0"/>
          <w:numId w:val="2"/>
        </w:numPr>
        <w:bidi/>
        <w:spacing w:after="100" w:line="300"/>
        <w:jc w:val="right"/>
      </w:pPr>
      <w:r>
        <w:rPr>
          <w:rFonts w:ascii="Arial" w:cs="Arial" w:eastAsia="Arial" w:hAnsi="Arial"/>
          <w:sz w:val="24"/>
          <w:szCs w:val="24"/>
          <w:rtl/>
        </w:rPr>
        <w:t xml:space="preserve">إعداد قائمة نهائية معتمدة.</w:t>
      </w:r>
    </w:p>
    <w:p>
      <w:pPr>
        <w:pStyle w:val="Heading3"/>
        <w:bidi/>
        <w:spacing w:after="120" w:before="200"/>
        <w:jc w:val="right"/>
      </w:pPr>
      <w:r>
        <w:rPr>
          <w:rFonts w:ascii="Arial" w:cs="Arial" w:eastAsia="Arial" w:hAnsi="Arial"/>
          <w:b/>
          <w:bCs/>
          <w:color w:val="1F4E79"/>
          <w:sz w:val="26"/>
          <w:szCs w:val="26"/>
          <w:rtl/>
        </w:rPr>
        <w:t xml:space="preserve">(ج) الصرف الفعلي</w:t>
      </w:r>
    </w:p>
    <w:p>
      <w:pPr>
        <w:pStyle w:val="ListParagraph"/>
        <w:numPr>
          <w:ilvl w:val="0"/>
          <w:numId w:val="2"/>
        </w:numPr>
        <w:bidi/>
        <w:spacing w:after="100" w:line="300"/>
        <w:jc w:val="right"/>
      </w:pPr>
      <w:r>
        <w:rPr>
          <w:rFonts w:ascii="Arial" w:cs="Arial" w:eastAsia="Arial" w:hAnsi="Arial"/>
          <w:sz w:val="24"/>
          <w:szCs w:val="24"/>
          <w:rtl/>
        </w:rPr>
        <w:t xml:space="preserve">تحويل المبلغ الإجمالي إلى حساب التوزيع.</w:t>
      </w:r>
    </w:p>
    <w:p>
      <w:pPr>
        <w:pStyle w:val="ListParagraph"/>
        <w:numPr>
          <w:ilvl w:val="0"/>
          <w:numId w:val="2"/>
        </w:numPr>
        <w:bidi/>
        <w:spacing w:after="100" w:line="300"/>
        <w:jc w:val="right"/>
      </w:pPr>
      <w:r>
        <w:rPr>
          <w:rFonts w:ascii="Arial" w:cs="Arial" w:eastAsia="Arial" w:hAnsi="Arial"/>
          <w:sz w:val="24"/>
          <w:szCs w:val="24"/>
          <w:rtl/>
        </w:rPr>
        <w:t xml:space="preserve">التنسيق مع مركز إيداع للصرف.</w:t>
      </w:r>
    </w:p>
    <w:p>
      <w:pPr>
        <w:pStyle w:val="ListParagraph"/>
        <w:numPr>
          <w:ilvl w:val="0"/>
          <w:numId w:val="2"/>
        </w:numPr>
        <w:bidi/>
        <w:spacing w:after="100" w:line="300"/>
        <w:jc w:val="right"/>
      </w:pPr>
      <w:r>
        <w:rPr>
          <w:rFonts w:ascii="Arial" w:cs="Arial" w:eastAsia="Arial" w:hAnsi="Arial"/>
          <w:sz w:val="24"/>
          <w:szCs w:val="24"/>
          <w:rtl/>
        </w:rPr>
        <w:t xml:space="preserve">الصرف للمساهمين عبر الحسابات الاستثمارية.</w:t>
      </w:r>
    </w:p>
    <w:p>
      <w:pPr>
        <w:pStyle w:val="ListParagraph"/>
        <w:numPr>
          <w:ilvl w:val="0"/>
          <w:numId w:val="2"/>
        </w:numPr>
        <w:bidi/>
        <w:spacing w:after="100" w:line="300"/>
        <w:jc w:val="right"/>
      </w:pPr>
      <w:r>
        <w:rPr>
          <w:rFonts w:ascii="Arial" w:cs="Arial" w:eastAsia="Arial" w:hAnsi="Arial"/>
          <w:sz w:val="24"/>
          <w:szCs w:val="24"/>
          <w:rtl/>
        </w:rPr>
        <w:t xml:space="preserve">الصرف للحالات الاستثنائية بطرق بديلة.</w:t>
      </w:r>
    </w:p>
    <w:p>
      <w:pPr>
        <w:pStyle w:val="Heading3"/>
        <w:bidi/>
        <w:spacing w:after="120" w:before="200"/>
        <w:jc w:val="right"/>
      </w:pPr>
      <w:r>
        <w:rPr>
          <w:rFonts w:ascii="Arial" w:cs="Arial" w:eastAsia="Arial" w:hAnsi="Arial"/>
          <w:b/>
          <w:bCs/>
          <w:color w:val="1F4E79"/>
          <w:sz w:val="26"/>
          <w:szCs w:val="26"/>
          <w:rtl/>
        </w:rPr>
        <w:t xml:space="preserve">(د) الإفصاح والتقارير</w:t>
      </w:r>
    </w:p>
    <w:p>
      <w:pPr>
        <w:pStyle w:val="ListParagraph"/>
        <w:numPr>
          <w:ilvl w:val="0"/>
          <w:numId w:val="2"/>
        </w:numPr>
        <w:bidi/>
        <w:spacing w:after="100" w:line="300"/>
        <w:jc w:val="right"/>
      </w:pPr>
      <w:r>
        <w:rPr>
          <w:rFonts w:ascii="Arial" w:cs="Arial" w:eastAsia="Arial" w:hAnsi="Arial"/>
          <w:sz w:val="24"/>
          <w:szCs w:val="24"/>
          <w:rtl/>
        </w:rPr>
        <w:t xml:space="preserve">الإفصاح عن إتمام التوزيع.</w:t>
      </w:r>
    </w:p>
    <w:p>
      <w:pPr>
        <w:pStyle w:val="ListParagraph"/>
        <w:numPr>
          <w:ilvl w:val="0"/>
          <w:numId w:val="2"/>
        </w:numPr>
        <w:bidi/>
        <w:spacing w:after="100" w:line="300"/>
        <w:jc w:val="right"/>
      </w:pPr>
      <w:r>
        <w:rPr>
          <w:rFonts w:ascii="Arial" w:cs="Arial" w:eastAsia="Arial" w:hAnsi="Arial"/>
          <w:sz w:val="24"/>
          <w:szCs w:val="24"/>
          <w:rtl/>
        </w:rPr>
        <w:t xml:space="preserve">التقارير الإحصائية.</w:t>
      </w:r>
    </w:p>
    <w:p>
      <w:pPr>
        <w:pStyle w:val="ListParagraph"/>
        <w:numPr>
          <w:ilvl w:val="0"/>
          <w:numId w:val="2"/>
        </w:numPr>
        <w:bidi/>
        <w:spacing w:after="100" w:line="300"/>
        <w:jc w:val="right"/>
      </w:pPr>
      <w:r>
        <w:rPr>
          <w:rFonts w:ascii="Arial" w:cs="Arial" w:eastAsia="Arial" w:hAnsi="Arial"/>
          <w:sz w:val="24"/>
          <w:szCs w:val="24"/>
          <w:rtl/>
        </w:rPr>
        <w:t xml:space="preserve">معالجة الأرباح غير المصروفة.</w:t>
      </w:r>
    </w:p>
    <w:p>
      <w:pPr>
        <w:pStyle w:val="ListParagraph"/>
        <w:numPr>
          <w:ilvl w:val="0"/>
          <w:numId w:val="2"/>
        </w:numPr>
        <w:bidi/>
        <w:spacing w:after="100" w:line="300"/>
        <w:jc w:val="right"/>
      </w:pPr>
      <w:r>
        <w:rPr>
          <w:rFonts w:ascii="Arial" w:cs="Arial" w:eastAsia="Arial" w:hAnsi="Arial"/>
          <w:sz w:val="24"/>
          <w:szCs w:val="24"/>
          <w:rtl/>
        </w:rPr>
        <w:t xml:space="preserve">التواصل مع المساهمين بشأن أرباح لم تُصرف.</w:t>
      </w:r>
    </w:p>
    <w:p>
      <w:pPr>
        <w:pStyle w:val="Heading2"/>
        <w:bidi/>
        <w:spacing w:after="160" w:before="280"/>
        <w:jc w:val="right"/>
      </w:pPr>
      <w:r>
        <w:rPr>
          <w:rFonts w:ascii="Arial" w:cs="Arial" w:eastAsia="Arial" w:hAnsi="Arial"/>
          <w:b/>
          <w:bCs/>
          <w:color w:val="2E75B6"/>
          <w:sz w:val="30"/>
          <w:szCs w:val="30"/>
          <w:rtl/>
        </w:rPr>
        <w:t xml:space="preserve">2. تعيين مراجع الحسابات</w:t>
      </w:r>
    </w:p>
    <w:p>
      <w:pPr>
        <w:pStyle w:val="ListParagraph"/>
        <w:numPr>
          <w:ilvl w:val="0"/>
          <w:numId w:val="3"/>
        </w:numPr>
        <w:bidi/>
        <w:spacing w:after="100" w:line="300"/>
        <w:jc w:val="right"/>
      </w:pPr>
      <w:r>
        <w:rPr>
          <w:rFonts w:ascii="Arial" w:cs="Arial" w:eastAsia="Arial" w:hAnsi="Arial"/>
          <w:sz w:val="24"/>
          <w:szCs w:val="24"/>
          <w:rtl/>
        </w:rPr>
        <w:t xml:space="preserve">إبلاغ مراجع الحسابات المعيّن رسمياً.</w:t>
      </w:r>
    </w:p>
    <w:p>
      <w:pPr>
        <w:pStyle w:val="ListParagraph"/>
        <w:numPr>
          <w:ilvl w:val="0"/>
          <w:numId w:val="3"/>
        </w:numPr>
        <w:bidi/>
        <w:spacing w:after="100" w:line="300"/>
        <w:jc w:val="right"/>
      </w:pPr>
      <w:r>
        <w:rPr>
          <w:rFonts w:ascii="Arial" w:cs="Arial" w:eastAsia="Arial" w:hAnsi="Arial"/>
          <w:sz w:val="24"/>
          <w:szCs w:val="24"/>
          <w:rtl/>
        </w:rPr>
        <w:t xml:space="preserve">توقيع عقد المراجعة الجديد.</w:t>
      </w:r>
    </w:p>
    <w:p>
      <w:pPr>
        <w:pStyle w:val="ListParagraph"/>
        <w:numPr>
          <w:ilvl w:val="0"/>
          <w:numId w:val="3"/>
        </w:numPr>
        <w:bidi/>
        <w:spacing w:after="100" w:line="300"/>
        <w:jc w:val="right"/>
      </w:pPr>
      <w:r>
        <w:rPr>
          <w:rFonts w:ascii="Arial" w:cs="Arial" w:eastAsia="Arial" w:hAnsi="Arial"/>
          <w:sz w:val="24"/>
          <w:szCs w:val="24"/>
          <w:rtl/>
        </w:rPr>
        <w:t xml:space="preserve">تحديد جدول المراجعة للسنة المالية.</w:t>
      </w:r>
    </w:p>
    <w:p>
      <w:pPr>
        <w:pStyle w:val="ListParagraph"/>
        <w:numPr>
          <w:ilvl w:val="0"/>
          <w:numId w:val="3"/>
        </w:numPr>
        <w:bidi/>
        <w:spacing w:after="100" w:line="300"/>
        <w:jc w:val="right"/>
      </w:pPr>
      <w:r>
        <w:rPr>
          <w:rFonts w:ascii="Arial" w:cs="Arial" w:eastAsia="Arial" w:hAnsi="Arial"/>
          <w:sz w:val="24"/>
          <w:szCs w:val="24"/>
          <w:rtl/>
        </w:rPr>
        <w:t xml:space="preserve">التنسيق على الأتعاب المعتمدة.</w:t>
      </w:r>
    </w:p>
    <w:p>
      <w:pPr>
        <w:pStyle w:val="ListParagraph"/>
        <w:numPr>
          <w:ilvl w:val="0"/>
          <w:numId w:val="3"/>
        </w:numPr>
        <w:bidi/>
        <w:spacing w:after="100" w:line="300"/>
        <w:jc w:val="right"/>
      </w:pPr>
      <w:r>
        <w:rPr>
          <w:rFonts w:ascii="Arial" w:cs="Arial" w:eastAsia="Arial" w:hAnsi="Arial"/>
          <w:sz w:val="24"/>
          <w:szCs w:val="24"/>
          <w:rtl/>
        </w:rPr>
        <w:t xml:space="preserve">تسليم الوثائق والسجلات.</w:t>
      </w:r>
    </w:p>
    <w:p>
      <w:pPr>
        <w:pStyle w:val="ListParagraph"/>
        <w:numPr>
          <w:ilvl w:val="0"/>
          <w:numId w:val="3"/>
        </w:numPr>
        <w:bidi/>
        <w:spacing w:after="100" w:line="300"/>
        <w:jc w:val="right"/>
      </w:pPr>
      <w:r>
        <w:rPr>
          <w:rFonts w:ascii="Arial" w:cs="Arial" w:eastAsia="Arial" w:hAnsi="Arial"/>
          <w:sz w:val="24"/>
          <w:szCs w:val="24"/>
          <w:rtl/>
        </w:rPr>
        <w:t xml:space="preserve">الإفصاح للجهات التنظيمية.</w:t>
      </w:r>
    </w:p>
    <w:p>
      <w:pPr>
        <w:pStyle w:val="Heading2"/>
        <w:bidi/>
        <w:spacing w:after="160" w:before="280"/>
        <w:jc w:val="right"/>
      </w:pPr>
      <w:r>
        <w:rPr>
          <w:rFonts w:ascii="Arial" w:cs="Arial" w:eastAsia="Arial" w:hAnsi="Arial"/>
          <w:b/>
          <w:bCs/>
          <w:color w:val="2E75B6"/>
          <w:sz w:val="30"/>
          <w:szCs w:val="30"/>
          <w:rtl/>
        </w:rPr>
        <w:t xml:space="preserve">3. إبراء ذمة أعضاء مجلس الإدارة</w:t>
      </w:r>
    </w:p>
    <w:p>
      <w:pPr>
        <w:pStyle w:val="ListParagraph"/>
        <w:numPr>
          <w:ilvl w:val="0"/>
          <w:numId w:val="2"/>
        </w:numPr>
        <w:bidi/>
        <w:spacing w:after="100" w:line="300"/>
        <w:jc w:val="right"/>
      </w:pPr>
      <w:r>
        <w:rPr>
          <w:rFonts w:ascii="Arial" w:cs="Arial" w:eastAsia="Arial" w:hAnsi="Arial"/>
          <w:sz w:val="24"/>
          <w:szCs w:val="24"/>
          <w:rtl/>
        </w:rPr>
        <w:t xml:space="preserve">توثيق قرار الإبراء في سجلات الشركة.</w:t>
      </w:r>
    </w:p>
    <w:p>
      <w:pPr>
        <w:pStyle w:val="ListParagraph"/>
        <w:numPr>
          <w:ilvl w:val="0"/>
          <w:numId w:val="2"/>
        </w:numPr>
        <w:bidi/>
        <w:spacing w:after="100" w:line="300"/>
        <w:jc w:val="right"/>
      </w:pPr>
      <w:r>
        <w:rPr>
          <w:rFonts w:ascii="Arial" w:cs="Arial" w:eastAsia="Arial" w:hAnsi="Arial"/>
          <w:sz w:val="24"/>
          <w:szCs w:val="24"/>
          <w:rtl/>
        </w:rPr>
        <w:t xml:space="preserve">إبلاغ الأعضاء رسمياً.</w:t>
      </w:r>
    </w:p>
    <w:p>
      <w:pPr>
        <w:pStyle w:val="ListParagraph"/>
        <w:numPr>
          <w:ilvl w:val="0"/>
          <w:numId w:val="2"/>
        </w:numPr>
        <w:bidi/>
        <w:spacing w:after="100" w:line="300"/>
        <w:jc w:val="right"/>
      </w:pPr>
      <w:r>
        <w:rPr>
          <w:rFonts w:ascii="Arial" w:cs="Arial" w:eastAsia="Arial" w:hAnsi="Arial"/>
          <w:sz w:val="24"/>
          <w:szCs w:val="24"/>
          <w:rtl/>
        </w:rPr>
        <w:t xml:space="preserve">الاحتفاظ بالوثائق المرتبطة.</w:t>
      </w:r>
    </w:p>
    <w:p>
      <w:pPr>
        <w:pStyle w:val="ListParagraph"/>
        <w:numPr>
          <w:ilvl w:val="0"/>
          <w:numId w:val="2"/>
        </w:numPr>
        <w:bidi/>
        <w:spacing w:after="100" w:line="300"/>
        <w:jc w:val="right"/>
      </w:pPr>
      <w:r>
        <w:rPr>
          <w:rFonts w:ascii="Arial" w:cs="Arial" w:eastAsia="Arial" w:hAnsi="Arial"/>
          <w:sz w:val="24"/>
          <w:szCs w:val="24"/>
          <w:rtl/>
        </w:rPr>
        <w:t xml:space="preserve">الإفصاح عن القرار.</w:t>
      </w:r>
    </w:p>
    <w:p>
      <w:pPr>
        <w:pStyle w:val="Heading2"/>
        <w:bidi/>
        <w:spacing w:after="160" w:before="280"/>
        <w:jc w:val="right"/>
      </w:pPr>
      <w:r>
        <w:rPr>
          <w:rFonts w:ascii="Arial" w:cs="Arial" w:eastAsia="Arial" w:hAnsi="Arial"/>
          <w:b/>
          <w:bCs/>
          <w:color w:val="2E75B6"/>
          <w:sz w:val="30"/>
          <w:szCs w:val="30"/>
          <w:rtl/>
        </w:rPr>
        <w:t xml:space="preserve">4. صرف مكافآت أعضاء المجلس</w:t>
      </w:r>
    </w:p>
    <w:p>
      <w:pPr>
        <w:pStyle w:val="ListParagraph"/>
        <w:numPr>
          <w:ilvl w:val="0"/>
          <w:numId w:val="3"/>
        </w:numPr>
        <w:bidi/>
        <w:spacing w:after="100" w:line="300"/>
        <w:jc w:val="right"/>
      </w:pPr>
      <w:r>
        <w:rPr>
          <w:rFonts w:ascii="Arial" w:cs="Arial" w:eastAsia="Arial" w:hAnsi="Arial"/>
          <w:sz w:val="24"/>
          <w:szCs w:val="24"/>
          <w:rtl/>
        </w:rPr>
        <w:t xml:space="preserve">احتساب مكافأة كل عضو بحسب القرار.</w:t>
      </w:r>
    </w:p>
    <w:p>
      <w:pPr>
        <w:pStyle w:val="ListParagraph"/>
        <w:numPr>
          <w:ilvl w:val="0"/>
          <w:numId w:val="3"/>
        </w:numPr>
        <w:bidi/>
        <w:spacing w:after="100" w:line="300"/>
        <w:jc w:val="right"/>
      </w:pPr>
      <w:r>
        <w:rPr>
          <w:rFonts w:ascii="Arial" w:cs="Arial" w:eastAsia="Arial" w:hAnsi="Arial"/>
          <w:sz w:val="24"/>
          <w:szCs w:val="24"/>
          <w:rtl/>
        </w:rPr>
        <w:t xml:space="preserve">التنسيق مع المالية للصرف.</w:t>
      </w:r>
    </w:p>
    <w:p>
      <w:pPr>
        <w:pStyle w:val="ListParagraph"/>
        <w:numPr>
          <w:ilvl w:val="0"/>
          <w:numId w:val="3"/>
        </w:numPr>
        <w:bidi/>
        <w:spacing w:after="100" w:line="300"/>
        <w:jc w:val="right"/>
      </w:pPr>
      <w:r>
        <w:rPr>
          <w:rFonts w:ascii="Arial" w:cs="Arial" w:eastAsia="Arial" w:hAnsi="Arial"/>
          <w:sz w:val="24"/>
          <w:szCs w:val="24"/>
          <w:rtl/>
        </w:rPr>
        <w:t xml:space="preserve">التحقق من الاستقطاعات اللازمة.</w:t>
      </w:r>
    </w:p>
    <w:p>
      <w:pPr>
        <w:pStyle w:val="ListParagraph"/>
        <w:numPr>
          <w:ilvl w:val="0"/>
          <w:numId w:val="3"/>
        </w:numPr>
        <w:bidi/>
        <w:spacing w:after="100" w:line="300"/>
        <w:jc w:val="right"/>
      </w:pPr>
      <w:r>
        <w:rPr>
          <w:rFonts w:ascii="Arial" w:cs="Arial" w:eastAsia="Arial" w:hAnsi="Arial"/>
          <w:sz w:val="24"/>
          <w:szCs w:val="24"/>
          <w:rtl/>
        </w:rPr>
        <w:t xml:space="preserve">الصرف خلال المدة المحددة.</w:t>
      </w:r>
    </w:p>
    <w:p>
      <w:pPr>
        <w:pStyle w:val="ListParagraph"/>
        <w:numPr>
          <w:ilvl w:val="0"/>
          <w:numId w:val="3"/>
        </w:numPr>
        <w:bidi/>
        <w:spacing w:after="100" w:line="300"/>
        <w:jc w:val="right"/>
      </w:pPr>
      <w:r>
        <w:rPr>
          <w:rFonts w:ascii="Arial" w:cs="Arial" w:eastAsia="Arial" w:hAnsi="Arial"/>
          <w:sz w:val="24"/>
          <w:szCs w:val="24"/>
          <w:rtl/>
        </w:rPr>
        <w:t xml:space="preserve">التوثيق المحاسبي.</w:t>
      </w:r>
    </w:p>
    <w:p>
      <w:pPr>
        <w:pStyle w:val="Heading2"/>
        <w:bidi/>
        <w:spacing w:after="160" w:before="280"/>
        <w:jc w:val="right"/>
      </w:pPr>
      <w:r>
        <w:rPr>
          <w:rFonts w:ascii="Arial" w:cs="Arial" w:eastAsia="Arial" w:hAnsi="Arial"/>
          <w:b/>
          <w:bCs/>
          <w:color w:val="2E75B6"/>
          <w:sz w:val="30"/>
          <w:szCs w:val="30"/>
          <w:rtl/>
        </w:rPr>
        <w:t xml:space="preserve">5. الموافقة على الأعمال مع الأطراف ذات العلاقة</w:t>
      </w:r>
    </w:p>
    <w:p>
      <w:pPr>
        <w:pStyle w:val="ListParagraph"/>
        <w:numPr>
          <w:ilvl w:val="0"/>
          <w:numId w:val="2"/>
        </w:numPr>
        <w:bidi/>
        <w:spacing w:after="100" w:line="300"/>
        <w:jc w:val="right"/>
      </w:pPr>
      <w:r>
        <w:rPr>
          <w:rFonts w:ascii="Arial" w:cs="Arial" w:eastAsia="Arial" w:hAnsi="Arial"/>
          <w:sz w:val="24"/>
          <w:szCs w:val="24"/>
          <w:rtl/>
        </w:rPr>
        <w:t xml:space="preserve">توثيق الموافقة في السجل.</w:t>
      </w:r>
    </w:p>
    <w:p>
      <w:pPr>
        <w:pStyle w:val="ListParagraph"/>
        <w:numPr>
          <w:ilvl w:val="0"/>
          <w:numId w:val="2"/>
        </w:numPr>
        <w:bidi/>
        <w:spacing w:after="100" w:line="300"/>
        <w:jc w:val="right"/>
      </w:pPr>
      <w:r>
        <w:rPr>
          <w:rFonts w:ascii="Arial" w:cs="Arial" w:eastAsia="Arial" w:hAnsi="Arial"/>
          <w:sz w:val="24"/>
          <w:szCs w:val="24"/>
          <w:rtl/>
        </w:rPr>
        <w:t xml:space="preserve">متابعة تنفيذ المعاملات وفق الشروط.</w:t>
      </w:r>
    </w:p>
    <w:p>
      <w:pPr>
        <w:pStyle w:val="ListParagraph"/>
        <w:numPr>
          <w:ilvl w:val="0"/>
          <w:numId w:val="2"/>
        </w:numPr>
        <w:bidi/>
        <w:spacing w:after="100" w:line="300"/>
        <w:jc w:val="right"/>
      </w:pPr>
      <w:r>
        <w:rPr>
          <w:rFonts w:ascii="Arial" w:cs="Arial" w:eastAsia="Arial" w:hAnsi="Arial"/>
          <w:sz w:val="24"/>
          <w:szCs w:val="24"/>
          <w:rtl/>
        </w:rPr>
        <w:t xml:space="preserve">الإفصاحات الدورية عن المعاملات.</w:t>
      </w:r>
    </w:p>
    <w:p>
      <w:pPr>
        <w:pStyle w:val="ListParagraph"/>
        <w:numPr>
          <w:ilvl w:val="0"/>
          <w:numId w:val="2"/>
        </w:numPr>
        <w:bidi/>
        <w:spacing w:after="100" w:line="300"/>
        <w:jc w:val="right"/>
      </w:pPr>
      <w:r>
        <w:rPr>
          <w:rFonts w:ascii="Arial" w:cs="Arial" w:eastAsia="Arial" w:hAnsi="Arial"/>
          <w:sz w:val="24"/>
          <w:szCs w:val="24"/>
          <w:rtl/>
        </w:rPr>
        <w:t xml:space="preserve">تجميع المعاملات للتقرير السنوي.</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رابعاً: تنفيذ القرارات الاستراتيجية</w:t>
      </w:r>
    </w:p>
    <w:p>
      <w:pPr>
        <w:pStyle w:val="Heading2"/>
        <w:bidi/>
        <w:spacing w:after="160" w:before="280"/>
        <w:jc w:val="right"/>
      </w:pPr>
      <w:r>
        <w:rPr>
          <w:rFonts w:ascii="Arial" w:cs="Arial" w:eastAsia="Arial" w:hAnsi="Arial"/>
          <w:b/>
          <w:bCs/>
          <w:color w:val="2E75B6"/>
          <w:sz w:val="30"/>
          <w:szCs w:val="30"/>
          <w:rtl/>
        </w:rPr>
        <w:t xml:space="preserve">1. زيادة رأس المال</w:t>
      </w:r>
    </w:p>
    <w:p>
      <w:pPr>
        <w:pStyle w:val="Heading3"/>
        <w:bidi/>
        <w:spacing w:after="120" w:before="200"/>
        <w:jc w:val="right"/>
      </w:pPr>
      <w:r>
        <w:rPr>
          <w:rFonts w:ascii="Arial" w:cs="Arial" w:eastAsia="Arial" w:hAnsi="Arial"/>
          <w:b/>
          <w:bCs/>
          <w:color w:val="1F4E79"/>
          <w:sz w:val="26"/>
          <w:szCs w:val="26"/>
          <w:rtl/>
        </w:rPr>
        <w:t xml:space="preserve">(أ) زيادة بأسهم نقدية (حقوق أولوية)</w:t>
      </w:r>
    </w:p>
    <w:p>
      <w:pPr>
        <w:pStyle w:val="ListParagraph"/>
        <w:numPr>
          <w:ilvl w:val="0"/>
          <w:numId w:val="3"/>
        </w:numPr>
        <w:bidi/>
        <w:spacing w:after="100" w:line="300"/>
        <w:jc w:val="right"/>
      </w:pPr>
      <w:r>
        <w:rPr>
          <w:rFonts w:ascii="Arial" w:cs="Arial" w:eastAsia="Arial" w:hAnsi="Arial"/>
          <w:sz w:val="24"/>
          <w:szCs w:val="24"/>
          <w:rtl/>
        </w:rPr>
        <w:t xml:space="preserve">الإفصاح عن قرار الزيادة وتفاصيلها.</w:t>
      </w:r>
    </w:p>
    <w:p>
      <w:pPr>
        <w:pStyle w:val="ListParagraph"/>
        <w:numPr>
          <w:ilvl w:val="0"/>
          <w:numId w:val="3"/>
        </w:numPr>
        <w:bidi/>
        <w:spacing w:after="100" w:line="300"/>
        <w:jc w:val="right"/>
      </w:pPr>
      <w:r>
        <w:rPr>
          <w:rFonts w:ascii="Arial" w:cs="Arial" w:eastAsia="Arial" w:hAnsi="Arial"/>
          <w:sz w:val="24"/>
          <w:szCs w:val="24"/>
          <w:rtl/>
        </w:rPr>
        <w:t xml:space="preserve">التنسيق مع هيئة السوق المالية للموافقة.</w:t>
      </w:r>
    </w:p>
    <w:p>
      <w:pPr>
        <w:pStyle w:val="ListParagraph"/>
        <w:numPr>
          <w:ilvl w:val="0"/>
          <w:numId w:val="3"/>
        </w:numPr>
        <w:bidi/>
        <w:spacing w:after="100" w:line="300"/>
        <w:jc w:val="right"/>
      </w:pPr>
      <w:r>
        <w:rPr>
          <w:rFonts w:ascii="Arial" w:cs="Arial" w:eastAsia="Arial" w:hAnsi="Arial"/>
          <w:sz w:val="24"/>
          <w:szCs w:val="24"/>
          <w:rtl/>
        </w:rPr>
        <w:t xml:space="preserve">إعداد نشرة الإصدار.</w:t>
      </w:r>
    </w:p>
    <w:p>
      <w:pPr>
        <w:pStyle w:val="ListParagraph"/>
        <w:numPr>
          <w:ilvl w:val="0"/>
          <w:numId w:val="3"/>
        </w:numPr>
        <w:bidi/>
        <w:spacing w:after="100" w:line="300"/>
        <w:jc w:val="right"/>
      </w:pPr>
      <w:r>
        <w:rPr>
          <w:rFonts w:ascii="Arial" w:cs="Arial" w:eastAsia="Arial" w:hAnsi="Arial"/>
          <w:sz w:val="24"/>
          <w:szCs w:val="24"/>
          <w:rtl/>
        </w:rPr>
        <w:t xml:space="preserve">الحصول على الموافقات النهائية.</w:t>
      </w:r>
    </w:p>
    <w:p>
      <w:pPr>
        <w:pStyle w:val="ListParagraph"/>
        <w:numPr>
          <w:ilvl w:val="0"/>
          <w:numId w:val="3"/>
        </w:numPr>
        <w:bidi/>
        <w:spacing w:after="100" w:line="300"/>
        <w:jc w:val="right"/>
      </w:pPr>
      <w:r>
        <w:rPr>
          <w:rFonts w:ascii="Arial" w:cs="Arial" w:eastAsia="Arial" w:hAnsi="Arial"/>
          <w:sz w:val="24"/>
          <w:szCs w:val="24"/>
          <w:rtl/>
        </w:rPr>
        <w:t xml:space="preserve">تحديد فترة الاكتتاب.</w:t>
      </w:r>
    </w:p>
    <w:p>
      <w:pPr>
        <w:pStyle w:val="ListParagraph"/>
        <w:numPr>
          <w:ilvl w:val="0"/>
          <w:numId w:val="3"/>
        </w:numPr>
        <w:bidi/>
        <w:spacing w:after="100" w:line="300"/>
        <w:jc w:val="right"/>
      </w:pPr>
      <w:r>
        <w:rPr>
          <w:rFonts w:ascii="Arial" w:cs="Arial" w:eastAsia="Arial" w:hAnsi="Arial"/>
          <w:sz w:val="24"/>
          <w:szCs w:val="24"/>
          <w:rtl/>
        </w:rPr>
        <w:t xml:space="preserve">تنفيذ الاكتتاب عبر إيداع.</w:t>
      </w:r>
    </w:p>
    <w:p>
      <w:pPr>
        <w:pStyle w:val="ListParagraph"/>
        <w:numPr>
          <w:ilvl w:val="0"/>
          <w:numId w:val="3"/>
        </w:numPr>
        <w:bidi/>
        <w:spacing w:after="100" w:line="300"/>
        <w:jc w:val="right"/>
      </w:pPr>
      <w:r>
        <w:rPr>
          <w:rFonts w:ascii="Arial" w:cs="Arial" w:eastAsia="Arial" w:hAnsi="Arial"/>
          <w:sz w:val="24"/>
          <w:szCs w:val="24"/>
          <w:rtl/>
        </w:rPr>
        <w:t xml:space="preserve">إصدار الأسهم الجديدة.</w:t>
      </w:r>
    </w:p>
    <w:p>
      <w:pPr>
        <w:pStyle w:val="ListParagraph"/>
        <w:numPr>
          <w:ilvl w:val="0"/>
          <w:numId w:val="3"/>
        </w:numPr>
        <w:bidi/>
        <w:spacing w:after="100" w:line="300"/>
        <w:jc w:val="right"/>
      </w:pPr>
      <w:r>
        <w:rPr>
          <w:rFonts w:ascii="Arial" w:cs="Arial" w:eastAsia="Arial" w:hAnsi="Arial"/>
          <w:sz w:val="24"/>
          <w:szCs w:val="24"/>
          <w:rtl/>
        </w:rPr>
        <w:t xml:space="preserve">تحديث رأس المال في السجل التجاري.</w:t>
      </w:r>
    </w:p>
    <w:p>
      <w:pPr>
        <w:pStyle w:val="ListParagraph"/>
        <w:numPr>
          <w:ilvl w:val="0"/>
          <w:numId w:val="3"/>
        </w:numPr>
        <w:bidi/>
        <w:spacing w:after="100" w:line="300"/>
        <w:jc w:val="right"/>
      </w:pPr>
      <w:r>
        <w:rPr>
          <w:rFonts w:ascii="Arial" w:cs="Arial" w:eastAsia="Arial" w:hAnsi="Arial"/>
          <w:sz w:val="24"/>
          <w:szCs w:val="24"/>
          <w:rtl/>
        </w:rPr>
        <w:t xml:space="preserve">تعديل النظام الأساس.</w:t>
      </w:r>
    </w:p>
    <w:p>
      <w:pPr>
        <w:pStyle w:val="ListParagraph"/>
        <w:numPr>
          <w:ilvl w:val="0"/>
          <w:numId w:val="3"/>
        </w:numPr>
        <w:bidi/>
        <w:spacing w:after="100" w:line="300"/>
        <w:jc w:val="right"/>
      </w:pPr>
      <w:r>
        <w:rPr>
          <w:rFonts w:ascii="Arial" w:cs="Arial" w:eastAsia="Arial" w:hAnsi="Arial"/>
          <w:sz w:val="24"/>
          <w:szCs w:val="24"/>
          <w:rtl/>
        </w:rPr>
        <w:t xml:space="preserve">الإفصاح عن استكمال الإجراءات.</w:t>
      </w:r>
    </w:p>
    <w:p>
      <w:pPr>
        <w:pStyle w:val="Heading3"/>
        <w:bidi/>
        <w:spacing w:after="120" w:before="200"/>
        <w:jc w:val="right"/>
      </w:pPr>
      <w:r>
        <w:rPr>
          <w:rFonts w:ascii="Arial" w:cs="Arial" w:eastAsia="Arial" w:hAnsi="Arial"/>
          <w:b/>
          <w:bCs/>
          <w:color w:val="1F4E79"/>
          <w:sz w:val="26"/>
          <w:szCs w:val="26"/>
          <w:rtl/>
        </w:rPr>
        <w:t xml:space="preserve">(ب) زيادة بأسهم منحة</w:t>
      </w:r>
    </w:p>
    <w:p>
      <w:pPr>
        <w:pStyle w:val="ListParagraph"/>
        <w:numPr>
          <w:ilvl w:val="0"/>
          <w:numId w:val="3"/>
        </w:numPr>
        <w:bidi/>
        <w:spacing w:after="100" w:line="300"/>
        <w:jc w:val="right"/>
      </w:pPr>
      <w:r>
        <w:rPr>
          <w:rFonts w:ascii="Arial" w:cs="Arial" w:eastAsia="Arial" w:hAnsi="Arial"/>
          <w:sz w:val="24"/>
          <w:szCs w:val="24"/>
          <w:rtl/>
        </w:rPr>
        <w:t xml:space="preserve">تحديد مصدر التمويل (احتياطيات، أرباح مبقاة).</w:t>
      </w:r>
    </w:p>
    <w:p>
      <w:pPr>
        <w:pStyle w:val="ListParagraph"/>
        <w:numPr>
          <w:ilvl w:val="0"/>
          <w:numId w:val="3"/>
        </w:numPr>
        <w:bidi/>
        <w:spacing w:after="100" w:line="300"/>
        <w:jc w:val="right"/>
      </w:pPr>
      <w:r>
        <w:rPr>
          <w:rFonts w:ascii="Arial" w:cs="Arial" w:eastAsia="Arial" w:hAnsi="Arial"/>
          <w:sz w:val="24"/>
          <w:szCs w:val="24"/>
          <w:rtl/>
        </w:rPr>
        <w:t xml:space="preserve">تحديد تاريخ الأحقية.</w:t>
      </w:r>
    </w:p>
    <w:p>
      <w:pPr>
        <w:pStyle w:val="ListParagraph"/>
        <w:numPr>
          <w:ilvl w:val="0"/>
          <w:numId w:val="3"/>
        </w:numPr>
        <w:bidi/>
        <w:spacing w:after="100" w:line="300"/>
        <w:jc w:val="right"/>
      </w:pPr>
      <w:r>
        <w:rPr>
          <w:rFonts w:ascii="Arial" w:cs="Arial" w:eastAsia="Arial" w:hAnsi="Arial"/>
          <w:sz w:val="24"/>
          <w:szCs w:val="24"/>
          <w:rtl/>
        </w:rPr>
        <w:t xml:space="preserve">احتساب الأسهم لكل مساهم.</w:t>
      </w:r>
    </w:p>
    <w:p>
      <w:pPr>
        <w:pStyle w:val="ListParagraph"/>
        <w:numPr>
          <w:ilvl w:val="0"/>
          <w:numId w:val="3"/>
        </w:numPr>
        <w:bidi/>
        <w:spacing w:after="100" w:line="300"/>
        <w:jc w:val="right"/>
      </w:pPr>
      <w:r>
        <w:rPr>
          <w:rFonts w:ascii="Arial" w:cs="Arial" w:eastAsia="Arial" w:hAnsi="Arial"/>
          <w:sz w:val="24"/>
          <w:szCs w:val="24"/>
          <w:rtl/>
        </w:rPr>
        <w:t xml:space="preserve">توزيع الأسهم عبر إيداع.</w:t>
      </w:r>
    </w:p>
    <w:p>
      <w:pPr>
        <w:pStyle w:val="ListParagraph"/>
        <w:numPr>
          <w:ilvl w:val="0"/>
          <w:numId w:val="3"/>
        </w:numPr>
        <w:bidi/>
        <w:spacing w:after="100" w:line="300"/>
        <w:jc w:val="right"/>
      </w:pPr>
      <w:r>
        <w:rPr>
          <w:rFonts w:ascii="Arial" w:cs="Arial" w:eastAsia="Arial" w:hAnsi="Arial"/>
          <w:sz w:val="24"/>
          <w:szCs w:val="24"/>
          <w:rtl/>
        </w:rPr>
        <w:t xml:space="preserve">تحديث رأس المال.</w:t>
      </w:r>
    </w:p>
    <w:p>
      <w:pPr>
        <w:pStyle w:val="ListParagraph"/>
        <w:numPr>
          <w:ilvl w:val="0"/>
          <w:numId w:val="3"/>
        </w:numPr>
        <w:bidi/>
        <w:spacing w:after="100" w:line="300"/>
        <w:jc w:val="right"/>
      </w:pPr>
      <w:r>
        <w:rPr>
          <w:rFonts w:ascii="Arial" w:cs="Arial" w:eastAsia="Arial" w:hAnsi="Arial"/>
          <w:sz w:val="24"/>
          <w:szCs w:val="24"/>
          <w:rtl/>
        </w:rPr>
        <w:t xml:space="preserve">تعديل النظام الأساس.</w:t>
      </w:r>
    </w:p>
    <w:p>
      <w:pPr>
        <w:pStyle w:val="Heading2"/>
        <w:bidi/>
        <w:spacing w:after="160" w:before="280"/>
        <w:jc w:val="right"/>
      </w:pPr>
      <w:r>
        <w:rPr>
          <w:rFonts w:ascii="Arial" w:cs="Arial" w:eastAsia="Arial" w:hAnsi="Arial"/>
          <w:b/>
          <w:bCs/>
          <w:color w:val="2E75B6"/>
          <w:sz w:val="30"/>
          <w:szCs w:val="30"/>
          <w:rtl/>
        </w:rPr>
        <w:t xml:space="preserve">2. تخفيض رأس المال</w:t>
      </w:r>
    </w:p>
    <w:p>
      <w:pPr>
        <w:pStyle w:val="ListParagraph"/>
        <w:numPr>
          <w:ilvl w:val="0"/>
          <w:numId w:val="3"/>
        </w:numPr>
        <w:bidi/>
        <w:spacing w:after="100" w:line="300"/>
        <w:jc w:val="right"/>
      </w:pPr>
      <w:r>
        <w:rPr>
          <w:rFonts w:ascii="Arial" w:cs="Arial" w:eastAsia="Arial" w:hAnsi="Arial"/>
          <w:sz w:val="24"/>
          <w:szCs w:val="24"/>
          <w:rtl/>
        </w:rPr>
        <w:t xml:space="preserve">الحصول على موافقات الجهات التنظيمية.</w:t>
      </w:r>
    </w:p>
    <w:p>
      <w:pPr>
        <w:pStyle w:val="ListParagraph"/>
        <w:numPr>
          <w:ilvl w:val="0"/>
          <w:numId w:val="3"/>
        </w:numPr>
        <w:bidi/>
        <w:spacing w:after="100" w:line="300"/>
        <w:jc w:val="right"/>
      </w:pPr>
      <w:r>
        <w:rPr>
          <w:rFonts w:ascii="Arial" w:cs="Arial" w:eastAsia="Arial" w:hAnsi="Arial"/>
          <w:sz w:val="24"/>
          <w:szCs w:val="24"/>
          <w:rtl/>
        </w:rPr>
        <w:t xml:space="preserve">إخطار الدائنين (إذا اقتضت الحاجة).</w:t>
      </w:r>
    </w:p>
    <w:p>
      <w:pPr>
        <w:pStyle w:val="ListParagraph"/>
        <w:numPr>
          <w:ilvl w:val="0"/>
          <w:numId w:val="3"/>
        </w:numPr>
        <w:bidi/>
        <w:spacing w:after="100" w:line="300"/>
        <w:jc w:val="right"/>
      </w:pPr>
      <w:r>
        <w:rPr>
          <w:rFonts w:ascii="Arial" w:cs="Arial" w:eastAsia="Arial" w:hAnsi="Arial"/>
          <w:sz w:val="24"/>
          <w:szCs w:val="24"/>
          <w:rtl/>
        </w:rPr>
        <w:t xml:space="preserve">معالجة اعتراضات الدائنين.</w:t>
      </w:r>
    </w:p>
    <w:p>
      <w:pPr>
        <w:pStyle w:val="ListParagraph"/>
        <w:numPr>
          <w:ilvl w:val="0"/>
          <w:numId w:val="3"/>
        </w:numPr>
        <w:bidi/>
        <w:spacing w:after="100" w:line="300"/>
        <w:jc w:val="right"/>
      </w:pPr>
      <w:r>
        <w:rPr>
          <w:rFonts w:ascii="Arial" w:cs="Arial" w:eastAsia="Arial" w:hAnsi="Arial"/>
          <w:sz w:val="24"/>
          <w:szCs w:val="24"/>
          <w:rtl/>
        </w:rPr>
        <w:t xml:space="preserve">تنفيذ التخفيض الفعلي.</w:t>
      </w:r>
    </w:p>
    <w:p>
      <w:pPr>
        <w:pStyle w:val="ListParagraph"/>
        <w:numPr>
          <w:ilvl w:val="0"/>
          <w:numId w:val="3"/>
        </w:numPr>
        <w:bidi/>
        <w:spacing w:after="100" w:line="300"/>
        <w:jc w:val="right"/>
      </w:pPr>
      <w:r>
        <w:rPr>
          <w:rFonts w:ascii="Arial" w:cs="Arial" w:eastAsia="Arial" w:hAnsi="Arial"/>
          <w:sz w:val="24"/>
          <w:szCs w:val="24"/>
          <w:rtl/>
        </w:rPr>
        <w:t xml:space="preserve">تعديل النظام الأساس.</w:t>
      </w:r>
    </w:p>
    <w:p>
      <w:pPr>
        <w:pStyle w:val="ListParagraph"/>
        <w:numPr>
          <w:ilvl w:val="0"/>
          <w:numId w:val="3"/>
        </w:numPr>
        <w:bidi/>
        <w:spacing w:after="100" w:line="300"/>
        <w:jc w:val="right"/>
      </w:pPr>
      <w:r>
        <w:rPr>
          <w:rFonts w:ascii="Arial" w:cs="Arial" w:eastAsia="Arial" w:hAnsi="Arial"/>
          <w:sz w:val="24"/>
          <w:szCs w:val="24"/>
          <w:rtl/>
        </w:rPr>
        <w:t xml:space="preserve">تحديث السجل التجاري.</w:t>
      </w:r>
    </w:p>
    <w:p>
      <w:pPr>
        <w:pStyle w:val="ListParagraph"/>
        <w:numPr>
          <w:ilvl w:val="0"/>
          <w:numId w:val="3"/>
        </w:numPr>
        <w:bidi/>
        <w:spacing w:after="100" w:line="300"/>
        <w:jc w:val="right"/>
      </w:pPr>
      <w:r>
        <w:rPr>
          <w:rFonts w:ascii="Arial" w:cs="Arial" w:eastAsia="Arial" w:hAnsi="Arial"/>
          <w:sz w:val="24"/>
          <w:szCs w:val="24"/>
          <w:rtl/>
        </w:rPr>
        <w:t xml:space="preserve">الإفصاح الشامل.</w:t>
      </w:r>
    </w:p>
    <w:p>
      <w:pPr>
        <w:pStyle w:val="Heading2"/>
        <w:bidi/>
        <w:spacing w:after="160" w:before="280"/>
        <w:jc w:val="right"/>
      </w:pPr>
      <w:r>
        <w:rPr>
          <w:rFonts w:ascii="Arial" w:cs="Arial" w:eastAsia="Arial" w:hAnsi="Arial"/>
          <w:b/>
          <w:bCs/>
          <w:color w:val="2E75B6"/>
          <w:sz w:val="30"/>
          <w:szCs w:val="30"/>
          <w:rtl/>
        </w:rPr>
        <w:t xml:space="preserve">3. تعديل النظام الأساس</w:t>
      </w:r>
    </w:p>
    <w:p>
      <w:pPr>
        <w:pStyle w:val="ListParagraph"/>
        <w:numPr>
          <w:ilvl w:val="0"/>
          <w:numId w:val="3"/>
        </w:numPr>
        <w:bidi/>
        <w:spacing w:after="100" w:line="300"/>
        <w:jc w:val="right"/>
      </w:pPr>
      <w:r>
        <w:rPr>
          <w:rFonts w:ascii="Arial" w:cs="Arial" w:eastAsia="Arial" w:hAnsi="Arial"/>
          <w:sz w:val="24"/>
          <w:szCs w:val="24"/>
          <w:rtl/>
        </w:rPr>
        <w:t xml:space="preserve">إعداد النص النهائي للتعديل.</w:t>
      </w:r>
    </w:p>
    <w:p>
      <w:pPr>
        <w:pStyle w:val="ListParagraph"/>
        <w:numPr>
          <w:ilvl w:val="0"/>
          <w:numId w:val="3"/>
        </w:numPr>
        <w:bidi/>
        <w:spacing w:after="100" w:line="300"/>
        <w:jc w:val="right"/>
      </w:pPr>
      <w:r>
        <w:rPr>
          <w:rFonts w:ascii="Arial" w:cs="Arial" w:eastAsia="Arial" w:hAnsi="Arial"/>
          <w:sz w:val="24"/>
          <w:szCs w:val="24"/>
          <w:rtl/>
        </w:rPr>
        <w:t xml:space="preserve">الحصول على موافقات الجهات (إذا لزم).</w:t>
      </w:r>
    </w:p>
    <w:p>
      <w:pPr>
        <w:pStyle w:val="ListParagraph"/>
        <w:numPr>
          <w:ilvl w:val="0"/>
          <w:numId w:val="3"/>
        </w:numPr>
        <w:bidi/>
        <w:spacing w:after="100" w:line="300"/>
        <w:jc w:val="right"/>
      </w:pPr>
      <w:r>
        <w:rPr>
          <w:rFonts w:ascii="Arial" w:cs="Arial" w:eastAsia="Arial" w:hAnsi="Arial"/>
          <w:sz w:val="24"/>
          <w:szCs w:val="24"/>
          <w:rtl/>
        </w:rPr>
        <w:t xml:space="preserve">القيد لدى السجل التجاري خلال 15 يوماً.</w:t>
      </w:r>
    </w:p>
    <w:p>
      <w:pPr>
        <w:pStyle w:val="ListParagraph"/>
        <w:numPr>
          <w:ilvl w:val="0"/>
          <w:numId w:val="3"/>
        </w:numPr>
        <w:bidi/>
        <w:spacing w:after="100" w:line="300"/>
        <w:jc w:val="right"/>
      </w:pPr>
      <w:r>
        <w:rPr>
          <w:rFonts w:ascii="Arial" w:cs="Arial" w:eastAsia="Arial" w:hAnsi="Arial"/>
          <w:sz w:val="24"/>
          <w:szCs w:val="24"/>
          <w:rtl/>
        </w:rPr>
        <w:t xml:space="preserve">تحديث النظام الأساس الإلكتروني.</w:t>
      </w:r>
    </w:p>
    <w:p>
      <w:pPr>
        <w:pStyle w:val="ListParagraph"/>
        <w:numPr>
          <w:ilvl w:val="0"/>
          <w:numId w:val="3"/>
        </w:numPr>
        <w:bidi/>
        <w:spacing w:after="100" w:line="300"/>
        <w:jc w:val="right"/>
      </w:pPr>
      <w:r>
        <w:rPr>
          <w:rFonts w:ascii="Arial" w:cs="Arial" w:eastAsia="Arial" w:hAnsi="Arial"/>
          <w:sz w:val="24"/>
          <w:szCs w:val="24"/>
          <w:rtl/>
        </w:rPr>
        <w:t xml:space="preserve">نشر التعديل.</w:t>
      </w:r>
    </w:p>
    <w:p>
      <w:pPr>
        <w:pStyle w:val="ListParagraph"/>
        <w:numPr>
          <w:ilvl w:val="0"/>
          <w:numId w:val="3"/>
        </w:numPr>
        <w:bidi/>
        <w:spacing w:after="100" w:line="300"/>
        <w:jc w:val="right"/>
      </w:pPr>
      <w:r>
        <w:rPr>
          <w:rFonts w:ascii="Arial" w:cs="Arial" w:eastAsia="Arial" w:hAnsi="Arial"/>
          <w:sz w:val="24"/>
          <w:szCs w:val="24"/>
          <w:rtl/>
        </w:rPr>
        <w:t xml:space="preserve">التواصل مع المساهمين.</w:t>
      </w:r>
    </w:p>
    <w:p>
      <w:pPr>
        <w:pStyle w:val="ListParagraph"/>
        <w:numPr>
          <w:ilvl w:val="0"/>
          <w:numId w:val="3"/>
        </w:numPr>
        <w:bidi/>
        <w:spacing w:after="100" w:line="300"/>
        <w:jc w:val="right"/>
      </w:pPr>
      <w:r>
        <w:rPr>
          <w:rFonts w:ascii="Arial" w:cs="Arial" w:eastAsia="Arial" w:hAnsi="Arial"/>
          <w:sz w:val="24"/>
          <w:szCs w:val="24"/>
          <w:rtl/>
        </w:rPr>
        <w:t xml:space="preserve">تطبيق التغييرات تشغيلياً.</w:t>
      </w:r>
    </w:p>
    <w:p>
      <w:pPr>
        <w:pStyle w:val="Heading2"/>
        <w:bidi/>
        <w:spacing w:after="160" w:before="280"/>
        <w:jc w:val="right"/>
      </w:pPr>
      <w:r>
        <w:rPr>
          <w:rFonts w:ascii="Arial" w:cs="Arial" w:eastAsia="Arial" w:hAnsi="Arial"/>
          <w:b/>
          <w:bCs/>
          <w:color w:val="2E75B6"/>
          <w:sz w:val="30"/>
          <w:szCs w:val="30"/>
          <w:rtl/>
        </w:rPr>
        <w:t xml:space="preserve">4. الاندماج والاستحواذ</w:t>
      </w:r>
    </w:p>
    <w:p>
      <w:pPr>
        <w:pStyle w:val="ListParagraph"/>
        <w:numPr>
          <w:ilvl w:val="0"/>
          <w:numId w:val="3"/>
        </w:numPr>
        <w:bidi/>
        <w:spacing w:after="100" w:line="300"/>
        <w:jc w:val="right"/>
      </w:pPr>
      <w:r>
        <w:rPr>
          <w:rFonts w:ascii="Arial" w:cs="Arial" w:eastAsia="Arial" w:hAnsi="Arial"/>
          <w:sz w:val="24"/>
          <w:szCs w:val="24"/>
          <w:rtl/>
        </w:rPr>
        <w:t xml:space="preserve">استكمال الموافقات النظامية الكاملة.</w:t>
      </w:r>
    </w:p>
    <w:p>
      <w:pPr>
        <w:pStyle w:val="ListParagraph"/>
        <w:numPr>
          <w:ilvl w:val="0"/>
          <w:numId w:val="3"/>
        </w:numPr>
        <w:bidi/>
        <w:spacing w:after="100" w:line="300"/>
        <w:jc w:val="right"/>
      </w:pPr>
      <w:r>
        <w:rPr>
          <w:rFonts w:ascii="Arial" w:cs="Arial" w:eastAsia="Arial" w:hAnsi="Arial"/>
          <w:sz w:val="24"/>
          <w:szCs w:val="24"/>
          <w:rtl/>
        </w:rPr>
        <w:t xml:space="preserve">التواصل مع الشركة المُستحوذ عليها.</w:t>
      </w:r>
    </w:p>
    <w:p>
      <w:pPr>
        <w:pStyle w:val="ListParagraph"/>
        <w:numPr>
          <w:ilvl w:val="0"/>
          <w:numId w:val="3"/>
        </w:numPr>
        <w:bidi/>
        <w:spacing w:after="100" w:line="300"/>
        <w:jc w:val="right"/>
      </w:pPr>
      <w:r>
        <w:rPr>
          <w:rFonts w:ascii="Arial" w:cs="Arial" w:eastAsia="Arial" w:hAnsi="Arial"/>
          <w:sz w:val="24"/>
          <w:szCs w:val="24"/>
          <w:rtl/>
        </w:rPr>
        <w:t xml:space="preserve">تنفيذ شروط الصفقة.</w:t>
      </w:r>
    </w:p>
    <w:p>
      <w:pPr>
        <w:pStyle w:val="ListParagraph"/>
        <w:numPr>
          <w:ilvl w:val="0"/>
          <w:numId w:val="3"/>
        </w:numPr>
        <w:bidi/>
        <w:spacing w:after="100" w:line="300"/>
        <w:jc w:val="right"/>
      </w:pPr>
      <w:r>
        <w:rPr>
          <w:rFonts w:ascii="Arial" w:cs="Arial" w:eastAsia="Arial" w:hAnsi="Arial"/>
          <w:sz w:val="24"/>
          <w:szCs w:val="24"/>
          <w:rtl/>
        </w:rPr>
        <w:t xml:space="preserve">نقل الأصول والالتزامات.</w:t>
      </w:r>
    </w:p>
    <w:p>
      <w:pPr>
        <w:pStyle w:val="ListParagraph"/>
        <w:numPr>
          <w:ilvl w:val="0"/>
          <w:numId w:val="3"/>
        </w:numPr>
        <w:bidi/>
        <w:spacing w:after="100" w:line="300"/>
        <w:jc w:val="right"/>
      </w:pPr>
      <w:r>
        <w:rPr>
          <w:rFonts w:ascii="Arial" w:cs="Arial" w:eastAsia="Arial" w:hAnsi="Arial"/>
          <w:sz w:val="24"/>
          <w:szCs w:val="24"/>
          <w:rtl/>
        </w:rPr>
        <w:t xml:space="preserve">معالجة المساهمين في الشركة المندمجة.</w:t>
      </w:r>
    </w:p>
    <w:p>
      <w:pPr>
        <w:pStyle w:val="ListParagraph"/>
        <w:numPr>
          <w:ilvl w:val="0"/>
          <w:numId w:val="3"/>
        </w:numPr>
        <w:bidi/>
        <w:spacing w:after="100" w:line="300"/>
        <w:jc w:val="right"/>
      </w:pPr>
      <w:r>
        <w:rPr>
          <w:rFonts w:ascii="Arial" w:cs="Arial" w:eastAsia="Arial" w:hAnsi="Arial"/>
          <w:sz w:val="24"/>
          <w:szCs w:val="24"/>
          <w:rtl/>
        </w:rPr>
        <w:t xml:space="preserve">تحديث السجلات التجارية.</w:t>
      </w:r>
    </w:p>
    <w:p>
      <w:pPr>
        <w:pStyle w:val="ListParagraph"/>
        <w:numPr>
          <w:ilvl w:val="0"/>
          <w:numId w:val="3"/>
        </w:numPr>
        <w:bidi/>
        <w:spacing w:after="100" w:line="300"/>
        <w:jc w:val="right"/>
      </w:pPr>
      <w:r>
        <w:rPr>
          <w:rFonts w:ascii="Arial" w:cs="Arial" w:eastAsia="Arial" w:hAnsi="Arial"/>
          <w:sz w:val="24"/>
          <w:szCs w:val="24"/>
          <w:rtl/>
        </w:rPr>
        <w:t xml:space="preserve">الإفصاح الشامل عن استكمال الصفقة.</w:t>
      </w:r>
    </w:p>
    <w:p>
      <w:pPr>
        <w:pStyle w:val="Heading2"/>
        <w:bidi/>
        <w:spacing w:after="160" w:before="280"/>
        <w:jc w:val="right"/>
      </w:pPr>
      <w:r>
        <w:rPr>
          <w:rFonts w:ascii="Arial" w:cs="Arial" w:eastAsia="Arial" w:hAnsi="Arial"/>
          <w:b/>
          <w:bCs/>
          <w:color w:val="2E75B6"/>
          <w:sz w:val="30"/>
          <w:szCs w:val="30"/>
          <w:rtl/>
        </w:rPr>
        <w:t xml:space="preserve">5. شراء أسهم الخزينة</w:t>
      </w:r>
    </w:p>
    <w:p>
      <w:pPr>
        <w:pStyle w:val="ListParagraph"/>
        <w:numPr>
          <w:ilvl w:val="0"/>
          <w:numId w:val="3"/>
        </w:numPr>
        <w:bidi/>
        <w:spacing w:after="100" w:line="300"/>
        <w:jc w:val="right"/>
      </w:pPr>
      <w:r>
        <w:rPr>
          <w:rFonts w:ascii="Arial" w:cs="Arial" w:eastAsia="Arial" w:hAnsi="Arial"/>
          <w:sz w:val="24"/>
          <w:szCs w:val="24"/>
          <w:rtl/>
        </w:rPr>
        <w:t xml:space="preserve">الحصول على الموافقات اللازمة.</w:t>
      </w:r>
    </w:p>
    <w:p>
      <w:pPr>
        <w:pStyle w:val="ListParagraph"/>
        <w:numPr>
          <w:ilvl w:val="0"/>
          <w:numId w:val="3"/>
        </w:numPr>
        <w:bidi/>
        <w:spacing w:after="100" w:line="300"/>
        <w:jc w:val="right"/>
      </w:pPr>
      <w:r>
        <w:rPr>
          <w:rFonts w:ascii="Arial" w:cs="Arial" w:eastAsia="Arial" w:hAnsi="Arial"/>
          <w:sz w:val="24"/>
          <w:szCs w:val="24"/>
          <w:rtl/>
        </w:rPr>
        <w:t xml:space="preserve">تحديد آلية الشراء (سوق مفتوح، عرض عام).</w:t>
      </w:r>
    </w:p>
    <w:p>
      <w:pPr>
        <w:pStyle w:val="ListParagraph"/>
        <w:numPr>
          <w:ilvl w:val="0"/>
          <w:numId w:val="3"/>
        </w:numPr>
        <w:bidi/>
        <w:spacing w:after="100" w:line="300"/>
        <w:jc w:val="right"/>
      </w:pPr>
      <w:r>
        <w:rPr>
          <w:rFonts w:ascii="Arial" w:cs="Arial" w:eastAsia="Arial" w:hAnsi="Arial"/>
          <w:sz w:val="24"/>
          <w:szCs w:val="24"/>
          <w:rtl/>
        </w:rPr>
        <w:t xml:space="preserve">تخصيص الميزانية.</w:t>
      </w:r>
    </w:p>
    <w:p>
      <w:pPr>
        <w:pStyle w:val="ListParagraph"/>
        <w:numPr>
          <w:ilvl w:val="0"/>
          <w:numId w:val="3"/>
        </w:numPr>
        <w:bidi/>
        <w:spacing w:after="100" w:line="300"/>
        <w:jc w:val="right"/>
      </w:pPr>
      <w:r>
        <w:rPr>
          <w:rFonts w:ascii="Arial" w:cs="Arial" w:eastAsia="Arial" w:hAnsi="Arial"/>
          <w:sz w:val="24"/>
          <w:szCs w:val="24"/>
          <w:rtl/>
        </w:rPr>
        <w:t xml:space="preserve">تنفيذ الشراء عبر الفترة المحددة.</w:t>
      </w:r>
    </w:p>
    <w:p>
      <w:pPr>
        <w:pStyle w:val="ListParagraph"/>
        <w:numPr>
          <w:ilvl w:val="0"/>
          <w:numId w:val="3"/>
        </w:numPr>
        <w:bidi/>
        <w:spacing w:after="100" w:line="300"/>
        <w:jc w:val="right"/>
      </w:pPr>
      <w:r>
        <w:rPr>
          <w:rFonts w:ascii="Arial" w:cs="Arial" w:eastAsia="Arial" w:hAnsi="Arial"/>
          <w:sz w:val="24"/>
          <w:szCs w:val="24"/>
          <w:rtl/>
        </w:rPr>
        <w:t xml:space="preserve">الإفصاحات الدورية عن التقدم.</w:t>
      </w:r>
    </w:p>
    <w:p>
      <w:pPr>
        <w:pStyle w:val="ListParagraph"/>
        <w:numPr>
          <w:ilvl w:val="0"/>
          <w:numId w:val="3"/>
        </w:numPr>
        <w:bidi/>
        <w:spacing w:after="100" w:line="300"/>
        <w:jc w:val="right"/>
      </w:pPr>
      <w:r>
        <w:rPr>
          <w:rFonts w:ascii="Arial" w:cs="Arial" w:eastAsia="Arial" w:hAnsi="Arial"/>
          <w:sz w:val="24"/>
          <w:szCs w:val="24"/>
          <w:rtl/>
        </w:rPr>
        <w:t xml:space="preserve">توثيق الأسهم في الخزينة.</w:t>
      </w:r>
    </w:p>
    <w:p>
      <w:pPr>
        <w:pStyle w:val="ListParagraph"/>
        <w:numPr>
          <w:ilvl w:val="0"/>
          <w:numId w:val="3"/>
        </w:numPr>
        <w:bidi/>
        <w:spacing w:after="100" w:line="300"/>
        <w:jc w:val="right"/>
      </w:pPr>
      <w:r>
        <w:rPr>
          <w:rFonts w:ascii="Arial" w:cs="Arial" w:eastAsia="Arial" w:hAnsi="Arial"/>
          <w:sz w:val="24"/>
          <w:szCs w:val="24"/>
          <w:rtl/>
        </w:rPr>
        <w:t xml:space="preserve">اتخاذ القرار بشأن استخدامها لاحقاً.</w:t>
      </w:r>
    </w:p>
    <w:p>
      <w:pPr>
        <w:pStyle w:val="Heading2"/>
        <w:bidi/>
        <w:spacing w:after="160" w:before="280"/>
        <w:jc w:val="right"/>
      </w:pPr>
      <w:r>
        <w:rPr>
          <w:rFonts w:ascii="Arial" w:cs="Arial" w:eastAsia="Arial" w:hAnsi="Arial"/>
          <w:b/>
          <w:bCs/>
          <w:color w:val="2E75B6"/>
          <w:sz w:val="30"/>
          <w:szCs w:val="30"/>
          <w:rtl/>
        </w:rPr>
        <w:t xml:space="preserve">6. حل الشركة وتصفيتها</w:t>
      </w:r>
    </w:p>
    <w:p>
      <w:pPr>
        <w:pStyle w:val="ListParagraph"/>
        <w:numPr>
          <w:ilvl w:val="0"/>
          <w:numId w:val="3"/>
        </w:numPr>
        <w:bidi/>
        <w:spacing w:after="100" w:line="300"/>
        <w:jc w:val="right"/>
      </w:pPr>
      <w:r>
        <w:rPr>
          <w:rFonts w:ascii="Arial" w:cs="Arial" w:eastAsia="Arial" w:hAnsi="Arial"/>
          <w:sz w:val="24"/>
          <w:szCs w:val="24"/>
          <w:rtl/>
        </w:rPr>
        <w:t xml:space="preserve">تعيين المُصفّي رسمياً.</w:t>
      </w:r>
    </w:p>
    <w:p>
      <w:pPr>
        <w:pStyle w:val="ListParagraph"/>
        <w:numPr>
          <w:ilvl w:val="0"/>
          <w:numId w:val="3"/>
        </w:numPr>
        <w:bidi/>
        <w:spacing w:after="100" w:line="300"/>
        <w:jc w:val="right"/>
      </w:pPr>
      <w:r>
        <w:rPr>
          <w:rFonts w:ascii="Arial" w:cs="Arial" w:eastAsia="Arial" w:hAnsi="Arial"/>
          <w:sz w:val="24"/>
          <w:szCs w:val="24"/>
          <w:rtl/>
        </w:rPr>
        <w:t xml:space="preserve">الإفصاح عن قرار الحل.</w:t>
      </w:r>
    </w:p>
    <w:p>
      <w:pPr>
        <w:pStyle w:val="ListParagraph"/>
        <w:numPr>
          <w:ilvl w:val="0"/>
          <w:numId w:val="3"/>
        </w:numPr>
        <w:bidi/>
        <w:spacing w:after="100" w:line="300"/>
        <w:jc w:val="right"/>
      </w:pPr>
      <w:r>
        <w:rPr>
          <w:rFonts w:ascii="Arial" w:cs="Arial" w:eastAsia="Arial" w:hAnsi="Arial"/>
          <w:sz w:val="24"/>
          <w:szCs w:val="24"/>
          <w:rtl/>
        </w:rPr>
        <w:t xml:space="preserve">إعداد قائمة بالأصول والالتزامات.</w:t>
      </w:r>
    </w:p>
    <w:p>
      <w:pPr>
        <w:pStyle w:val="ListParagraph"/>
        <w:numPr>
          <w:ilvl w:val="0"/>
          <w:numId w:val="3"/>
        </w:numPr>
        <w:bidi/>
        <w:spacing w:after="100" w:line="300"/>
        <w:jc w:val="right"/>
      </w:pPr>
      <w:r>
        <w:rPr>
          <w:rFonts w:ascii="Arial" w:cs="Arial" w:eastAsia="Arial" w:hAnsi="Arial"/>
          <w:sz w:val="24"/>
          <w:szCs w:val="24"/>
          <w:rtl/>
        </w:rPr>
        <w:t xml:space="preserve">تسوية الديون والمطالبات.</w:t>
      </w:r>
    </w:p>
    <w:p>
      <w:pPr>
        <w:pStyle w:val="ListParagraph"/>
        <w:numPr>
          <w:ilvl w:val="0"/>
          <w:numId w:val="3"/>
        </w:numPr>
        <w:bidi/>
        <w:spacing w:after="100" w:line="300"/>
        <w:jc w:val="right"/>
      </w:pPr>
      <w:r>
        <w:rPr>
          <w:rFonts w:ascii="Arial" w:cs="Arial" w:eastAsia="Arial" w:hAnsi="Arial"/>
          <w:sz w:val="24"/>
          <w:szCs w:val="24"/>
          <w:rtl/>
        </w:rPr>
        <w:t xml:space="preserve">بيع الأصول.</w:t>
      </w:r>
    </w:p>
    <w:p>
      <w:pPr>
        <w:pStyle w:val="ListParagraph"/>
        <w:numPr>
          <w:ilvl w:val="0"/>
          <w:numId w:val="3"/>
        </w:numPr>
        <w:bidi/>
        <w:spacing w:after="100" w:line="300"/>
        <w:jc w:val="right"/>
      </w:pPr>
      <w:r>
        <w:rPr>
          <w:rFonts w:ascii="Arial" w:cs="Arial" w:eastAsia="Arial" w:hAnsi="Arial"/>
          <w:sz w:val="24"/>
          <w:szCs w:val="24"/>
          <w:rtl/>
        </w:rPr>
        <w:t xml:space="preserve">توزيع الفائض (إن وُجد) على المساهمين.</w:t>
      </w:r>
    </w:p>
    <w:p>
      <w:pPr>
        <w:pStyle w:val="ListParagraph"/>
        <w:numPr>
          <w:ilvl w:val="0"/>
          <w:numId w:val="3"/>
        </w:numPr>
        <w:bidi/>
        <w:spacing w:after="100" w:line="300"/>
        <w:jc w:val="right"/>
      </w:pPr>
      <w:r>
        <w:rPr>
          <w:rFonts w:ascii="Arial" w:cs="Arial" w:eastAsia="Arial" w:hAnsi="Arial"/>
          <w:sz w:val="24"/>
          <w:szCs w:val="24"/>
          <w:rtl/>
        </w:rPr>
        <w:t xml:space="preserve">شطب الشركة من السجل التجاري.</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خامساً: تنفيذ القرارات الإدارية</w:t>
      </w:r>
    </w:p>
    <w:p>
      <w:pPr>
        <w:pStyle w:val="Heading2"/>
        <w:bidi/>
        <w:spacing w:after="160" w:before="280"/>
        <w:jc w:val="right"/>
      </w:pPr>
      <w:r>
        <w:rPr>
          <w:rFonts w:ascii="Arial" w:cs="Arial" w:eastAsia="Arial" w:hAnsi="Arial"/>
          <w:b/>
          <w:bCs/>
          <w:color w:val="2E75B6"/>
          <w:sz w:val="30"/>
          <w:szCs w:val="30"/>
          <w:rtl/>
        </w:rPr>
        <w:t xml:space="preserve">1. انتخاب أعضاء مجلس إدارة جدد</w:t>
      </w:r>
    </w:p>
    <w:p>
      <w:pPr>
        <w:pStyle w:val="ListParagraph"/>
        <w:numPr>
          <w:ilvl w:val="0"/>
          <w:numId w:val="3"/>
        </w:numPr>
        <w:bidi/>
        <w:spacing w:after="100" w:line="300"/>
        <w:jc w:val="right"/>
      </w:pPr>
      <w:r>
        <w:rPr>
          <w:rFonts w:ascii="Arial" w:cs="Arial" w:eastAsia="Arial" w:hAnsi="Arial"/>
          <w:sz w:val="24"/>
          <w:szCs w:val="24"/>
          <w:rtl/>
        </w:rPr>
        <w:t xml:space="preserve">إبلاغ الأعضاء الجدد رسمياً.</w:t>
      </w:r>
    </w:p>
    <w:p>
      <w:pPr>
        <w:pStyle w:val="ListParagraph"/>
        <w:numPr>
          <w:ilvl w:val="0"/>
          <w:numId w:val="3"/>
        </w:numPr>
        <w:bidi/>
        <w:spacing w:after="100" w:line="300"/>
        <w:jc w:val="right"/>
      </w:pPr>
      <w:r>
        <w:rPr>
          <w:rFonts w:ascii="Arial" w:cs="Arial" w:eastAsia="Arial" w:hAnsi="Arial"/>
          <w:sz w:val="24"/>
          <w:szCs w:val="24"/>
          <w:rtl/>
        </w:rPr>
        <w:t xml:space="preserve">تحديد دورة عضويتهم.</w:t>
      </w:r>
    </w:p>
    <w:p>
      <w:pPr>
        <w:pStyle w:val="ListParagraph"/>
        <w:numPr>
          <w:ilvl w:val="0"/>
          <w:numId w:val="3"/>
        </w:numPr>
        <w:bidi/>
        <w:spacing w:after="100" w:line="300"/>
        <w:jc w:val="right"/>
      </w:pPr>
      <w:r>
        <w:rPr>
          <w:rFonts w:ascii="Arial" w:cs="Arial" w:eastAsia="Arial" w:hAnsi="Arial"/>
          <w:sz w:val="24"/>
          <w:szCs w:val="24"/>
          <w:rtl/>
        </w:rPr>
        <w:t xml:space="preserve">جدولة الاجتماع الأول للمجلس.</w:t>
      </w:r>
    </w:p>
    <w:p>
      <w:pPr>
        <w:pStyle w:val="ListParagraph"/>
        <w:numPr>
          <w:ilvl w:val="0"/>
          <w:numId w:val="3"/>
        </w:numPr>
        <w:bidi/>
        <w:spacing w:after="100" w:line="300"/>
        <w:jc w:val="right"/>
      </w:pPr>
      <w:r>
        <w:rPr>
          <w:rFonts w:ascii="Arial" w:cs="Arial" w:eastAsia="Arial" w:hAnsi="Arial"/>
          <w:sz w:val="24"/>
          <w:szCs w:val="24"/>
          <w:rtl/>
        </w:rPr>
        <w:t xml:space="preserve">تعريفهم بالشركة وعملياتها.</w:t>
      </w:r>
    </w:p>
    <w:p>
      <w:pPr>
        <w:pStyle w:val="ListParagraph"/>
        <w:numPr>
          <w:ilvl w:val="0"/>
          <w:numId w:val="3"/>
        </w:numPr>
        <w:bidi/>
        <w:spacing w:after="100" w:line="300"/>
        <w:jc w:val="right"/>
      </w:pPr>
      <w:r>
        <w:rPr>
          <w:rFonts w:ascii="Arial" w:cs="Arial" w:eastAsia="Arial" w:hAnsi="Arial"/>
          <w:sz w:val="24"/>
          <w:szCs w:val="24"/>
          <w:rtl/>
        </w:rPr>
        <w:t xml:space="preserve">تحديث السجلات الرسمية.</w:t>
      </w:r>
    </w:p>
    <w:p>
      <w:pPr>
        <w:pStyle w:val="ListParagraph"/>
        <w:numPr>
          <w:ilvl w:val="0"/>
          <w:numId w:val="3"/>
        </w:numPr>
        <w:bidi/>
        <w:spacing w:after="100" w:line="300"/>
        <w:jc w:val="right"/>
      </w:pPr>
      <w:r>
        <w:rPr>
          <w:rFonts w:ascii="Arial" w:cs="Arial" w:eastAsia="Arial" w:hAnsi="Arial"/>
          <w:sz w:val="24"/>
          <w:szCs w:val="24"/>
          <w:rtl/>
        </w:rPr>
        <w:t xml:space="preserve">الإفصاح عن تشكيلة المجلس الجديدة.</w:t>
      </w:r>
    </w:p>
    <w:p>
      <w:pPr>
        <w:pStyle w:val="ListParagraph"/>
        <w:numPr>
          <w:ilvl w:val="0"/>
          <w:numId w:val="3"/>
        </w:numPr>
        <w:bidi/>
        <w:spacing w:after="100" w:line="300"/>
        <w:jc w:val="right"/>
      </w:pPr>
      <w:r>
        <w:rPr>
          <w:rFonts w:ascii="Arial" w:cs="Arial" w:eastAsia="Arial" w:hAnsi="Arial"/>
          <w:sz w:val="24"/>
          <w:szCs w:val="24"/>
          <w:rtl/>
        </w:rPr>
        <w:t xml:space="preserve">تحديث صلاحيات التوقيع البنكية.</w:t>
      </w:r>
    </w:p>
    <w:p>
      <w:pPr>
        <w:pStyle w:val="ListParagraph"/>
        <w:numPr>
          <w:ilvl w:val="0"/>
          <w:numId w:val="3"/>
        </w:numPr>
        <w:bidi/>
        <w:spacing w:after="100" w:line="300"/>
        <w:jc w:val="right"/>
      </w:pPr>
      <w:r>
        <w:rPr>
          <w:rFonts w:ascii="Arial" w:cs="Arial" w:eastAsia="Arial" w:hAnsi="Arial"/>
          <w:sz w:val="24"/>
          <w:szCs w:val="24"/>
          <w:rtl/>
        </w:rPr>
        <w:t xml:space="preserve">التواصل مع الجهات التنظيمية.</w:t>
      </w:r>
    </w:p>
    <w:p>
      <w:pPr>
        <w:pStyle w:val="Heading2"/>
        <w:bidi/>
        <w:spacing w:after="160" w:before="280"/>
        <w:jc w:val="right"/>
      </w:pPr>
      <w:r>
        <w:rPr>
          <w:rFonts w:ascii="Arial" w:cs="Arial" w:eastAsia="Arial" w:hAnsi="Arial"/>
          <w:b/>
          <w:bCs/>
          <w:color w:val="2E75B6"/>
          <w:sz w:val="30"/>
          <w:szCs w:val="30"/>
          <w:rtl/>
        </w:rPr>
        <w:t xml:space="preserve">2. تكليف اللجان</w:t>
      </w:r>
    </w:p>
    <w:p>
      <w:pPr>
        <w:pStyle w:val="ListParagraph"/>
        <w:numPr>
          <w:ilvl w:val="0"/>
          <w:numId w:val="2"/>
        </w:numPr>
        <w:bidi/>
        <w:spacing w:after="100" w:line="300"/>
        <w:jc w:val="right"/>
      </w:pPr>
      <w:r>
        <w:rPr>
          <w:rFonts w:ascii="Arial" w:cs="Arial" w:eastAsia="Arial" w:hAnsi="Arial"/>
          <w:sz w:val="24"/>
          <w:szCs w:val="24"/>
          <w:rtl/>
        </w:rPr>
        <w:t xml:space="preserve">إعادة تشكيل اللجان (مراجعة، ترشيحات ومكافآت).</w:t>
      </w:r>
    </w:p>
    <w:p>
      <w:pPr>
        <w:pStyle w:val="ListParagraph"/>
        <w:numPr>
          <w:ilvl w:val="0"/>
          <w:numId w:val="2"/>
        </w:numPr>
        <w:bidi/>
        <w:spacing w:after="100" w:line="300"/>
        <w:jc w:val="right"/>
      </w:pPr>
      <w:r>
        <w:rPr>
          <w:rFonts w:ascii="Arial" w:cs="Arial" w:eastAsia="Arial" w:hAnsi="Arial"/>
          <w:sz w:val="24"/>
          <w:szCs w:val="24"/>
          <w:rtl/>
        </w:rPr>
        <w:t xml:space="preserve">تحديث صلاحيات اللجان.</w:t>
      </w:r>
    </w:p>
    <w:p>
      <w:pPr>
        <w:pStyle w:val="ListParagraph"/>
        <w:numPr>
          <w:ilvl w:val="0"/>
          <w:numId w:val="2"/>
        </w:numPr>
        <w:bidi/>
        <w:spacing w:after="100" w:line="300"/>
        <w:jc w:val="right"/>
      </w:pPr>
      <w:r>
        <w:rPr>
          <w:rFonts w:ascii="Arial" w:cs="Arial" w:eastAsia="Arial" w:hAnsi="Arial"/>
          <w:sz w:val="24"/>
          <w:szCs w:val="24"/>
          <w:rtl/>
        </w:rPr>
        <w:t xml:space="preserve">جدولة اجتماعات اللجان.</w:t>
      </w:r>
    </w:p>
    <w:p>
      <w:pPr>
        <w:pStyle w:val="Heading2"/>
        <w:bidi/>
        <w:spacing w:after="160" w:before="280"/>
        <w:jc w:val="right"/>
      </w:pPr>
      <w:r>
        <w:rPr>
          <w:rFonts w:ascii="Arial" w:cs="Arial" w:eastAsia="Arial" w:hAnsi="Arial"/>
          <w:b/>
          <w:bCs/>
          <w:color w:val="2E75B6"/>
          <w:sz w:val="30"/>
          <w:szCs w:val="30"/>
          <w:rtl/>
        </w:rPr>
        <w:t xml:space="preserve">3. اعتماد سياسات الحوكمة</w:t>
      </w:r>
    </w:p>
    <w:p>
      <w:pPr>
        <w:pStyle w:val="ListParagraph"/>
        <w:numPr>
          <w:ilvl w:val="0"/>
          <w:numId w:val="3"/>
        </w:numPr>
        <w:bidi/>
        <w:spacing w:after="100" w:line="300"/>
        <w:jc w:val="right"/>
      </w:pPr>
      <w:r>
        <w:rPr>
          <w:rFonts w:ascii="Arial" w:cs="Arial" w:eastAsia="Arial" w:hAnsi="Arial"/>
          <w:sz w:val="24"/>
          <w:szCs w:val="24"/>
          <w:rtl/>
        </w:rPr>
        <w:t xml:space="preserve">نشر السياسات المعتمدة على الموقع.</w:t>
      </w:r>
    </w:p>
    <w:p>
      <w:pPr>
        <w:pStyle w:val="ListParagraph"/>
        <w:numPr>
          <w:ilvl w:val="0"/>
          <w:numId w:val="3"/>
        </w:numPr>
        <w:bidi/>
        <w:spacing w:after="100" w:line="300"/>
        <w:jc w:val="right"/>
      </w:pPr>
      <w:r>
        <w:rPr>
          <w:rFonts w:ascii="Arial" w:cs="Arial" w:eastAsia="Arial" w:hAnsi="Arial"/>
          <w:sz w:val="24"/>
          <w:szCs w:val="24"/>
          <w:rtl/>
        </w:rPr>
        <w:t xml:space="preserve">تطبيقها على جميع المستويات.</w:t>
      </w:r>
    </w:p>
    <w:p>
      <w:pPr>
        <w:pStyle w:val="ListParagraph"/>
        <w:numPr>
          <w:ilvl w:val="0"/>
          <w:numId w:val="3"/>
        </w:numPr>
        <w:bidi/>
        <w:spacing w:after="100" w:line="300"/>
        <w:jc w:val="right"/>
      </w:pPr>
      <w:r>
        <w:rPr>
          <w:rFonts w:ascii="Arial" w:cs="Arial" w:eastAsia="Arial" w:hAnsi="Arial"/>
          <w:sz w:val="24"/>
          <w:szCs w:val="24"/>
          <w:rtl/>
        </w:rPr>
        <w:t xml:space="preserve">تدريب الموظفين عليها.</w:t>
      </w:r>
    </w:p>
    <w:p>
      <w:pPr>
        <w:pStyle w:val="ListParagraph"/>
        <w:numPr>
          <w:ilvl w:val="0"/>
          <w:numId w:val="3"/>
        </w:numPr>
        <w:bidi/>
        <w:spacing w:after="100" w:line="300"/>
        <w:jc w:val="right"/>
      </w:pPr>
      <w:r>
        <w:rPr>
          <w:rFonts w:ascii="Arial" w:cs="Arial" w:eastAsia="Arial" w:hAnsi="Arial"/>
          <w:sz w:val="24"/>
          <w:szCs w:val="24"/>
          <w:rtl/>
        </w:rPr>
        <w:t xml:space="preserve">متابعة الالتزام.</w:t>
      </w:r>
    </w:p>
    <w:p>
      <w:pPr>
        <w:pStyle w:val="ListParagraph"/>
        <w:numPr>
          <w:ilvl w:val="0"/>
          <w:numId w:val="3"/>
        </w:numPr>
        <w:bidi/>
        <w:spacing w:after="100" w:line="300"/>
        <w:jc w:val="right"/>
      </w:pPr>
      <w:r>
        <w:rPr>
          <w:rFonts w:ascii="Arial" w:cs="Arial" w:eastAsia="Arial" w:hAnsi="Arial"/>
          <w:sz w:val="24"/>
          <w:szCs w:val="24"/>
          <w:rtl/>
        </w:rPr>
        <w:t xml:space="preserve">التقارير الدورية عن التنفيذ.</w:t>
      </w:r>
    </w:p>
    <w:p>
      <w:pPr>
        <w:pStyle w:val="Heading2"/>
        <w:bidi/>
        <w:spacing w:after="160" w:before="280"/>
        <w:jc w:val="right"/>
      </w:pPr>
      <w:r>
        <w:rPr>
          <w:rFonts w:ascii="Arial" w:cs="Arial" w:eastAsia="Arial" w:hAnsi="Arial"/>
          <w:b/>
          <w:bCs/>
          <w:color w:val="2E75B6"/>
          <w:sz w:val="30"/>
          <w:szCs w:val="30"/>
          <w:rtl/>
        </w:rPr>
        <w:t xml:space="preserve">4. اعتماد برامج تحفيز الموظفين</w:t>
      </w:r>
    </w:p>
    <w:p>
      <w:pPr>
        <w:pStyle w:val="ListParagraph"/>
        <w:numPr>
          <w:ilvl w:val="0"/>
          <w:numId w:val="2"/>
        </w:numPr>
        <w:bidi/>
        <w:spacing w:after="100" w:line="300"/>
        <w:jc w:val="right"/>
      </w:pPr>
      <w:r>
        <w:rPr>
          <w:rFonts w:ascii="Arial" w:cs="Arial" w:eastAsia="Arial" w:hAnsi="Arial"/>
          <w:sz w:val="24"/>
          <w:szCs w:val="24"/>
          <w:rtl/>
        </w:rPr>
        <w:t xml:space="preserve">تطبيق البرنامج فعلياً.</w:t>
      </w:r>
    </w:p>
    <w:p>
      <w:pPr>
        <w:pStyle w:val="ListParagraph"/>
        <w:numPr>
          <w:ilvl w:val="0"/>
          <w:numId w:val="2"/>
        </w:numPr>
        <w:bidi/>
        <w:spacing w:after="100" w:line="300"/>
        <w:jc w:val="right"/>
      </w:pPr>
      <w:r>
        <w:rPr>
          <w:rFonts w:ascii="Arial" w:cs="Arial" w:eastAsia="Arial" w:hAnsi="Arial"/>
          <w:sz w:val="24"/>
          <w:szCs w:val="24"/>
          <w:rtl/>
        </w:rPr>
        <w:t xml:space="preserve">تخصيص الأسهم للموظفين المستحقين.</w:t>
      </w:r>
    </w:p>
    <w:p>
      <w:pPr>
        <w:pStyle w:val="ListParagraph"/>
        <w:numPr>
          <w:ilvl w:val="0"/>
          <w:numId w:val="2"/>
        </w:numPr>
        <w:bidi/>
        <w:spacing w:after="100" w:line="300"/>
        <w:jc w:val="right"/>
      </w:pPr>
      <w:r>
        <w:rPr>
          <w:rFonts w:ascii="Arial" w:cs="Arial" w:eastAsia="Arial" w:hAnsi="Arial"/>
          <w:sz w:val="24"/>
          <w:szCs w:val="24"/>
          <w:rtl/>
        </w:rPr>
        <w:t xml:space="preserve">التوثيق المحاسبي.</w:t>
      </w:r>
    </w:p>
    <w:p>
      <w:pPr>
        <w:pStyle w:val="ListParagraph"/>
        <w:numPr>
          <w:ilvl w:val="0"/>
          <w:numId w:val="2"/>
        </w:numPr>
        <w:bidi/>
        <w:spacing w:after="100" w:line="300"/>
        <w:jc w:val="right"/>
      </w:pPr>
      <w:r>
        <w:rPr>
          <w:rFonts w:ascii="Arial" w:cs="Arial" w:eastAsia="Arial" w:hAnsi="Arial"/>
          <w:sz w:val="24"/>
          <w:szCs w:val="24"/>
          <w:rtl/>
        </w:rPr>
        <w:t xml:space="preserve">الإفصاحات اللازمة.</w:t>
      </w:r>
    </w:p>
    <w:p>
      <w:pPr>
        <w:pStyle w:val="ListParagraph"/>
        <w:numPr>
          <w:ilvl w:val="0"/>
          <w:numId w:val="2"/>
        </w:numPr>
        <w:bidi/>
        <w:spacing w:after="100" w:line="300"/>
        <w:jc w:val="right"/>
      </w:pPr>
      <w:r>
        <w:rPr>
          <w:rFonts w:ascii="Arial" w:cs="Arial" w:eastAsia="Arial" w:hAnsi="Arial"/>
          <w:sz w:val="24"/>
          <w:szCs w:val="24"/>
          <w:rtl/>
        </w:rPr>
        <w:t xml:space="preserve">التقييم الدوري.</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سادساً: التواصل مع المساهمين</w:t>
      </w:r>
    </w:p>
    <w:p>
      <w:pPr>
        <w:bidi/>
        <w:spacing w:after="140" w:line="320"/>
        <w:jc w:val="both"/>
      </w:pPr>
      <w:r>
        <w:rPr>
          <w:rFonts w:ascii="Arial" w:cs="Arial" w:eastAsia="Arial" w:hAnsi="Arial"/>
          <w:sz w:val="24"/>
          <w:szCs w:val="24"/>
          <w:rtl/>
        </w:rPr>
        <w:t xml:space="preserve">التواصل مع المساهمين بعد الجمعية لا يقل أهمية عن التواصل قبلها. فهو يبني الثقة ويُعزز العلاقة:</w:t>
      </w:r>
    </w:p>
    <w:p>
      <w:pPr>
        <w:pStyle w:val="Heading2"/>
        <w:bidi/>
        <w:spacing w:after="160" w:before="280"/>
        <w:jc w:val="right"/>
      </w:pPr>
      <w:r>
        <w:rPr>
          <w:rFonts w:ascii="Arial" w:cs="Arial" w:eastAsia="Arial" w:hAnsi="Arial"/>
          <w:b/>
          <w:bCs/>
          <w:color w:val="2E75B6"/>
          <w:sz w:val="30"/>
          <w:szCs w:val="30"/>
          <w:rtl/>
        </w:rPr>
        <w:t xml:space="preserve">1. الإفصاح الفوري</w:t>
      </w:r>
    </w:p>
    <w:p>
      <w:pPr>
        <w:pStyle w:val="ListParagraph"/>
        <w:numPr>
          <w:ilvl w:val="0"/>
          <w:numId w:val="2"/>
        </w:numPr>
        <w:bidi/>
        <w:spacing w:after="100" w:line="300"/>
        <w:jc w:val="right"/>
      </w:pPr>
      <w:r>
        <w:rPr>
          <w:rFonts w:ascii="Arial" w:cs="Arial" w:eastAsia="Arial" w:hAnsi="Arial"/>
          <w:sz w:val="24"/>
          <w:szCs w:val="24"/>
          <w:rtl/>
        </w:rPr>
        <w:t xml:space="preserve">نشر النتائج عبر القنوات الرسمية.</w:t>
      </w:r>
    </w:p>
    <w:p>
      <w:pPr>
        <w:pStyle w:val="ListParagraph"/>
        <w:numPr>
          <w:ilvl w:val="0"/>
          <w:numId w:val="2"/>
        </w:numPr>
        <w:bidi/>
        <w:spacing w:after="100" w:line="300"/>
        <w:jc w:val="right"/>
      </w:pPr>
      <w:r>
        <w:rPr>
          <w:rFonts w:ascii="Arial" w:cs="Arial" w:eastAsia="Arial" w:hAnsi="Arial"/>
          <w:sz w:val="24"/>
          <w:szCs w:val="24"/>
          <w:rtl/>
        </w:rPr>
        <w:t xml:space="preserve">إرسال إشعارات للمساهمين.</w:t>
      </w:r>
    </w:p>
    <w:p>
      <w:pPr>
        <w:pStyle w:val="ListParagraph"/>
        <w:numPr>
          <w:ilvl w:val="0"/>
          <w:numId w:val="2"/>
        </w:numPr>
        <w:bidi/>
        <w:spacing w:after="100" w:line="300"/>
        <w:jc w:val="right"/>
      </w:pPr>
      <w:r>
        <w:rPr>
          <w:rFonts w:ascii="Arial" w:cs="Arial" w:eastAsia="Arial" w:hAnsi="Arial"/>
          <w:sz w:val="24"/>
          <w:szCs w:val="24"/>
          <w:rtl/>
        </w:rPr>
        <w:t xml:space="preserve">التواصل مع المستثمرين المؤسسيين.</w:t>
      </w:r>
    </w:p>
    <w:p>
      <w:pPr>
        <w:pStyle w:val="ListParagraph"/>
        <w:numPr>
          <w:ilvl w:val="0"/>
          <w:numId w:val="2"/>
        </w:numPr>
        <w:bidi/>
        <w:spacing w:after="100" w:line="300"/>
        <w:jc w:val="right"/>
      </w:pPr>
      <w:r>
        <w:rPr>
          <w:rFonts w:ascii="Arial" w:cs="Arial" w:eastAsia="Arial" w:hAnsi="Arial"/>
          <w:sz w:val="24"/>
          <w:szCs w:val="24"/>
          <w:rtl/>
        </w:rPr>
        <w:t xml:space="preserve">الرد على استفسارات الإعلام.</w:t>
      </w:r>
    </w:p>
    <w:p>
      <w:pPr>
        <w:pStyle w:val="Heading2"/>
        <w:bidi/>
        <w:spacing w:after="160" w:before="280"/>
        <w:jc w:val="right"/>
      </w:pPr>
      <w:r>
        <w:rPr>
          <w:rFonts w:ascii="Arial" w:cs="Arial" w:eastAsia="Arial" w:hAnsi="Arial"/>
          <w:b/>
          <w:bCs/>
          <w:color w:val="2E75B6"/>
          <w:sz w:val="30"/>
          <w:szCs w:val="30"/>
          <w:rtl/>
        </w:rPr>
        <w:t xml:space="preserve">2. توزيع المحضر</w:t>
      </w:r>
    </w:p>
    <w:p>
      <w:pPr>
        <w:pStyle w:val="ListParagraph"/>
        <w:numPr>
          <w:ilvl w:val="0"/>
          <w:numId w:val="2"/>
        </w:numPr>
        <w:bidi/>
        <w:spacing w:after="100" w:line="300"/>
        <w:jc w:val="right"/>
      </w:pPr>
      <w:r>
        <w:rPr>
          <w:rFonts w:ascii="Arial" w:cs="Arial" w:eastAsia="Arial" w:hAnsi="Arial"/>
          <w:sz w:val="24"/>
          <w:szCs w:val="24"/>
          <w:rtl/>
        </w:rPr>
        <w:t xml:space="preserve">نشر المحضر كاملاً على منصة "تداول".</w:t>
      </w:r>
    </w:p>
    <w:p>
      <w:pPr>
        <w:pStyle w:val="ListParagraph"/>
        <w:numPr>
          <w:ilvl w:val="0"/>
          <w:numId w:val="2"/>
        </w:numPr>
        <w:bidi/>
        <w:spacing w:after="100" w:line="300"/>
        <w:jc w:val="right"/>
      </w:pPr>
      <w:r>
        <w:rPr>
          <w:rFonts w:ascii="Arial" w:cs="Arial" w:eastAsia="Arial" w:hAnsi="Arial"/>
          <w:sz w:val="24"/>
          <w:szCs w:val="24"/>
          <w:rtl/>
        </w:rPr>
        <w:t xml:space="preserve">نشره على الموقع الإلكتروني.</w:t>
      </w:r>
    </w:p>
    <w:p>
      <w:pPr>
        <w:pStyle w:val="ListParagraph"/>
        <w:numPr>
          <w:ilvl w:val="0"/>
          <w:numId w:val="2"/>
        </w:numPr>
        <w:bidi/>
        <w:spacing w:after="100" w:line="300"/>
        <w:jc w:val="right"/>
      </w:pPr>
      <w:r>
        <w:rPr>
          <w:rFonts w:ascii="Arial" w:cs="Arial" w:eastAsia="Arial" w:hAnsi="Arial"/>
          <w:sz w:val="24"/>
          <w:szCs w:val="24"/>
          <w:rtl/>
        </w:rPr>
        <w:t xml:space="preserve">إتاحة نسخ للمساهمين الراغبين.</w:t>
      </w:r>
    </w:p>
    <w:p>
      <w:pPr>
        <w:pStyle w:val="ListParagraph"/>
        <w:numPr>
          <w:ilvl w:val="0"/>
          <w:numId w:val="2"/>
        </w:numPr>
        <w:bidi/>
        <w:spacing w:after="100" w:line="300"/>
        <w:jc w:val="right"/>
      </w:pPr>
      <w:r>
        <w:rPr>
          <w:rFonts w:ascii="Arial" w:cs="Arial" w:eastAsia="Arial" w:hAnsi="Arial"/>
          <w:sz w:val="24"/>
          <w:szCs w:val="24"/>
          <w:rtl/>
        </w:rPr>
        <w:t xml:space="preserve">الترجمة إلى الإنجليزية.</w:t>
      </w:r>
    </w:p>
    <w:p>
      <w:pPr>
        <w:pStyle w:val="Heading2"/>
        <w:bidi/>
        <w:spacing w:after="160" w:before="280"/>
        <w:jc w:val="right"/>
      </w:pPr>
      <w:r>
        <w:rPr>
          <w:rFonts w:ascii="Arial" w:cs="Arial" w:eastAsia="Arial" w:hAnsi="Arial"/>
          <w:b/>
          <w:bCs/>
          <w:color w:val="2E75B6"/>
          <w:sz w:val="30"/>
          <w:szCs w:val="30"/>
          <w:rtl/>
        </w:rPr>
        <w:t xml:space="preserve">3. التقارير الدورية</w:t>
      </w:r>
    </w:p>
    <w:p>
      <w:pPr>
        <w:pStyle w:val="ListParagraph"/>
        <w:numPr>
          <w:ilvl w:val="0"/>
          <w:numId w:val="2"/>
        </w:numPr>
        <w:bidi/>
        <w:spacing w:after="100" w:line="300"/>
        <w:jc w:val="right"/>
      </w:pPr>
      <w:r>
        <w:rPr>
          <w:rFonts w:ascii="Arial" w:cs="Arial" w:eastAsia="Arial" w:hAnsi="Arial"/>
          <w:sz w:val="24"/>
          <w:szCs w:val="24"/>
          <w:rtl/>
        </w:rPr>
        <w:t xml:space="preserve">نشرة دورية بإنجازات الجمعية.</w:t>
      </w:r>
    </w:p>
    <w:p>
      <w:pPr>
        <w:pStyle w:val="ListParagraph"/>
        <w:numPr>
          <w:ilvl w:val="0"/>
          <w:numId w:val="2"/>
        </w:numPr>
        <w:bidi/>
        <w:spacing w:after="100" w:line="300"/>
        <w:jc w:val="right"/>
      </w:pPr>
      <w:r>
        <w:rPr>
          <w:rFonts w:ascii="Arial" w:cs="Arial" w:eastAsia="Arial" w:hAnsi="Arial"/>
          <w:sz w:val="24"/>
          <w:szCs w:val="24"/>
          <w:rtl/>
        </w:rPr>
        <w:t xml:space="preserve">تقارير عن تقدم تنفيذ القرارات.</w:t>
      </w:r>
    </w:p>
    <w:p>
      <w:pPr>
        <w:pStyle w:val="ListParagraph"/>
        <w:numPr>
          <w:ilvl w:val="0"/>
          <w:numId w:val="2"/>
        </w:numPr>
        <w:bidi/>
        <w:spacing w:after="100" w:line="300"/>
        <w:jc w:val="right"/>
      </w:pPr>
      <w:r>
        <w:rPr>
          <w:rFonts w:ascii="Arial" w:cs="Arial" w:eastAsia="Arial" w:hAnsi="Arial"/>
          <w:sz w:val="24"/>
          <w:szCs w:val="24"/>
          <w:rtl/>
        </w:rPr>
        <w:t xml:space="preserve">الإفصاح عن أي تطورات جوهرية.</w:t>
      </w:r>
    </w:p>
    <w:p>
      <w:pPr>
        <w:pStyle w:val="ListParagraph"/>
        <w:numPr>
          <w:ilvl w:val="0"/>
          <w:numId w:val="2"/>
        </w:numPr>
        <w:bidi/>
        <w:spacing w:after="100" w:line="300"/>
        <w:jc w:val="right"/>
      </w:pPr>
      <w:r>
        <w:rPr>
          <w:rFonts w:ascii="Arial" w:cs="Arial" w:eastAsia="Arial" w:hAnsi="Arial"/>
          <w:sz w:val="24"/>
          <w:szCs w:val="24"/>
          <w:rtl/>
        </w:rPr>
        <w:t xml:space="preserve">التواصل الاستباقي بالأخبار الإيجابية.</w:t>
      </w:r>
    </w:p>
    <w:p>
      <w:pPr>
        <w:pStyle w:val="Heading2"/>
        <w:bidi/>
        <w:spacing w:after="160" w:before="280"/>
        <w:jc w:val="right"/>
      </w:pPr>
      <w:r>
        <w:rPr>
          <w:rFonts w:ascii="Arial" w:cs="Arial" w:eastAsia="Arial" w:hAnsi="Arial"/>
          <w:b/>
          <w:bCs/>
          <w:color w:val="2E75B6"/>
          <w:sz w:val="30"/>
          <w:szCs w:val="30"/>
          <w:rtl/>
        </w:rPr>
        <w:t xml:space="preserve">4. معالجة الاستفسارات</w:t>
      </w:r>
    </w:p>
    <w:p>
      <w:pPr>
        <w:pStyle w:val="ListParagraph"/>
        <w:numPr>
          <w:ilvl w:val="0"/>
          <w:numId w:val="2"/>
        </w:numPr>
        <w:bidi/>
        <w:spacing w:after="100" w:line="300"/>
        <w:jc w:val="right"/>
      </w:pPr>
      <w:r>
        <w:rPr>
          <w:rFonts w:ascii="Arial" w:cs="Arial" w:eastAsia="Arial" w:hAnsi="Arial"/>
          <w:sz w:val="24"/>
          <w:szCs w:val="24"/>
          <w:rtl/>
        </w:rPr>
        <w:t xml:space="preserve">فتح قنوات للاستفسارات.</w:t>
      </w:r>
    </w:p>
    <w:p>
      <w:pPr>
        <w:pStyle w:val="ListParagraph"/>
        <w:numPr>
          <w:ilvl w:val="0"/>
          <w:numId w:val="2"/>
        </w:numPr>
        <w:bidi/>
        <w:spacing w:after="100" w:line="300"/>
        <w:jc w:val="right"/>
      </w:pPr>
      <w:r>
        <w:rPr>
          <w:rFonts w:ascii="Arial" w:cs="Arial" w:eastAsia="Arial" w:hAnsi="Arial"/>
          <w:sz w:val="24"/>
          <w:szCs w:val="24"/>
          <w:rtl/>
        </w:rPr>
        <w:t xml:space="preserve">الرد السريع (خلال 48 ساعة).</w:t>
      </w:r>
    </w:p>
    <w:p>
      <w:pPr>
        <w:pStyle w:val="ListParagraph"/>
        <w:numPr>
          <w:ilvl w:val="0"/>
          <w:numId w:val="2"/>
        </w:numPr>
        <w:bidi/>
        <w:spacing w:after="100" w:line="300"/>
        <w:jc w:val="right"/>
      </w:pPr>
      <w:r>
        <w:rPr>
          <w:rFonts w:ascii="Arial" w:cs="Arial" w:eastAsia="Arial" w:hAnsi="Arial"/>
          <w:sz w:val="24"/>
          <w:szCs w:val="24"/>
          <w:rtl/>
        </w:rPr>
        <w:t xml:space="preserve">التوثيق الكامل.</w:t>
      </w:r>
    </w:p>
    <w:p>
      <w:pPr>
        <w:pStyle w:val="ListParagraph"/>
        <w:numPr>
          <w:ilvl w:val="0"/>
          <w:numId w:val="2"/>
        </w:numPr>
        <w:bidi/>
        <w:spacing w:after="100" w:line="300"/>
        <w:jc w:val="right"/>
      </w:pPr>
      <w:r>
        <w:rPr>
          <w:rFonts w:ascii="Arial" w:cs="Arial" w:eastAsia="Arial" w:hAnsi="Arial"/>
          <w:sz w:val="24"/>
          <w:szCs w:val="24"/>
          <w:rtl/>
        </w:rPr>
        <w:t xml:space="preserve">معالجة الشكاوى المحتملة.</w:t>
      </w:r>
    </w:p>
    <w:p>
      <w:pPr>
        <w:pStyle w:val="Heading2"/>
        <w:bidi/>
        <w:spacing w:after="160" w:before="280"/>
        <w:jc w:val="right"/>
      </w:pPr>
      <w:r>
        <w:rPr>
          <w:rFonts w:ascii="Arial" w:cs="Arial" w:eastAsia="Arial" w:hAnsi="Arial"/>
          <w:b/>
          <w:bCs/>
          <w:color w:val="2E75B6"/>
          <w:sz w:val="30"/>
          <w:szCs w:val="30"/>
          <w:rtl/>
        </w:rPr>
        <w:t xml:space="preserve">5. الاجتماعات مع المستثمرين</w:t>
      </w:r>
    </w:p>
    <w:p>
      <w:pPr>
        <w:pStyle w:val="ListParagraph"/>
        <w:numPr>
          <w:ilvl w:val="0"/>
          <w:numId w:val="2"/>
        </w:numPr>
        <w:bidi/>
        <w:spacing w:after="100" w:line="300"/>
        <w:jc w:val="right"/>
      </w:pPr>
      <w:r>
        <w:rPr>
          <w:rFonts w:ascii="Arial" w:cs="Arial" w:eastAsia="Arial" w:hAnsi="Arial"/>
          <w:sz w:val="24"/>
          <w:szCs w:val="24"/>
          <w:rtl/>
        </w:rPr>
        <w:t xml:space="preserve">الاجتماعات مع المستثمرين المؤسسيين.</w:t>
      </w:r>
    </w:p>
    <w:p>
      <w:pPr>
        <w:pStyle w:val="ListParagraph"/>
        <w:numPr>
          <w:ilvl w:val="0"/>
          <w:numId w:val="2"/>
        </w:numPr>
        <w:bidi/>
        <w:spacing w:after="100" w:line="300"/>
        <w:jc w:val="right"/>
      </w:pPr>
      <w:r>
        <w:rPr>
          <w:rFonts w:ascii="Arial" w:cs="Arial" w:eastAsia="Arial" w:hAnsi="Arial"/>
          <w:sz w:val="24"/>
          <w:szCs w:val="24"/>
          <w:rtl/>
        </w:rPr>
        <w:t xml:space="preserve">مؤتمرات للمحللين الماليين.</w:t>
      </w:r>
    </w:p>
    <w:p>
      <w:pPr>
        <w:pStyle w:val="ListParagraph"/>
        <w:numPr>
          <w:ilvl w:val="0"/>
          <w:numId w:val="2"/>
        </w:numPr>
        <w:bidi/>
        <w:spacing w:after="100" w:line="300"/>
        <w:jc w:val="right"/>
      </w:pPr>
      <w:r>
        <w:rPr>
          <w:rFonts w:ascii="Arial" w:cs="Arial" w:eastAsia="Arial" w:hAnsi="Arial"/>
          <w:sz w:val="24"/>
          <w:szCs w:val="24"/>
          <w:rtl/>
        </w:rPr>
        <w:t xml:space="preserve">اللقاءات الفردية حسب الحاجة.</w:t>
      </w:r>
    </w:p>
    <w:p>
      <w:pPr>
        <w:pStyle w:val="ListParagraph"/>
        <w:numPr>
          <w:ilvl w:val="0"/>
          <w:numId w:val="2"/>
        </w:numPr>
        <w:bidi/>
        <w:spacing w:after="100" w:line="300"/>
        <w:jc w:val="right"/>
      </w:pPr>
      <w:r>
        <w:rPr>
          <w:rFonts w:ascii="Arial" w:cs="Arial" w:eastAsia="Arial" w:hAnsi="Arial"/>
          <w:sz w:val="24"/>
          <w:szCs w:val="24"/>
          <w:rtl/>
        </w:rPr>
        <w:t xml:space="preserve">المشاركة في فعاليات السوق.</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سابعاً: التنسيق مع الجهات التنظيمية</w:t>
      </w:r>
    </w:p>
    <w:p>
      <w:pPr>
        <w:pStyle w:val="Heading2"/>
        <w:bidi/>
        <w:spacing w:after="160" w:before="280"/>
        <w:jc w:val="right"/>
      </w:pPr>
      <w:r>
        <w:rPr>
          <w:rFonts w:ascii="Arial" w:cs="Arial" w:eastAsia="Arial" w:hAnsi="Arial"/>
          <w:b/>
          <w:bCs/>
          <w:color w:val="2E75B6"/>
          <w:sz w:val="30"/>
          <w:szCs w:val="30"/>
          <w:rtl/>
        </w:rPr>
        <w:t xml:space="preserve">1. هيئة السوق المالية</w:t>
      </w:r>
    </w:p>
    <w:p>
      <w:pPr>
        <w:pStyle w:val="Heading3"/>
        <w:bidi/>
        <w:spacing w:after="120" w:before="200"/>
        <w:jc w:val="right"/>
      </w:pPr>
      <w:r>
        <w:rPr>
          <w:rFonts w:ascii="Arial" w:cs="Arial" w:eastAsia="Arial" w:hAnsi="Arial"/>
          <w:b/>
          <w:bCs/>
          <w:color w:val="1F4E79"/>
          <w:sz w:val="26"/>
          <w:szCs w:val="26"/>
          <w:rtl/>
        </w:rPr>
        <w:t xml:space="preserve">الإفصاحات المطلوبة</w:t>
      </w:r>
    </w:p>
    <w:p>
      <w:pPr>
        <w:pStyle w:val="ListParagraph"/>
        <w:numPr>
          <w:ilvl w:val="0"/>
          <w:numId w:val="2"/>
        </w:numPr>
        <w:bidi/>
        <w:spacing w:after="100" w:line="300"/>
        <w:jc w:val="right"/>
      </w:pPr>
      <w:r>
        <w:rPr>
          <w:rFonts w:ascii="Arial" w:cs="Arial" w:eastAsia="Arial" w:hAnsi="Arial"/>
          <w:sz w:val="24"/>
          <w:szCs w:val="24"/>
          <w:rtl/>
        </w:rPr>
        <w:t xml:space="preserve">الإفصاح الفوري عن نتائج الجمعية.</w:t>
      </w:r>
    </w:p>
    <w:p>
      <w:pPr>
        <w:pStyle w:val="ListParagraph"/>
        <w:numPr>
          <w:ilvl w:val="0"/>
          <w:numId w:val="2"/>
        </w:numPr>
        <w:bidi/>
        <w:spacing w:after="100" w:line="300"/>
        <w:jc w:val="right"/>
      </w:pPr>
      <w:r>
        <w:rPr>
          <w:rFonts w:ascii="Arial" w:cs="Arial" w:eastAsia="Arial" w:hAnsi="Arial"/>
          <w:sz w:val="24"/>
          <w:szCs w:val="24"/>
          <w:rtl/>
        </w:rPr>
        <w:t xml:space="preserve">نشر المحضر الكامل.</w:t>
      </w:r>
    </w:p>
    <w:p>
      <w:pPr>
        <w:pStyle w:val="ListParagraph"/>
        <w:numPr>
          <w:ilvl w:val="0"/>
          <w:numId w:val="2"/>
        </w:numPr>
        <w:bidi/>
        <w:spacing w:after="100" w:line="300"/>
        <w:jc w:val="right"/>
      </w:pPr>
      <w:r>
        <w:rPr>
          <w:rFonts w:ascii="Arial" w:cs="Arial" w:eastAsia="Arial" w:hAnsi="Arial"/>
          <w:sz w:val="24"/>
          <w:szCs w:val="24"/>
          <w:rtl/>
        </w:rPr>
        <w:t xml:space="preserve">الإفصاحات الخاصة بكل قرار.</w:t>
      </w:r>
    </w:p>
    <w:p>
      <w:pPr>
        <w:pStyle w:val="ListParagraph"/>
        <w:numPr>
          <w:ilvl w:val="0"/>
          <w:numId w:val="2"/>
        </w:numPr>
        <w:bidi/>
        <w:spacing w:after="100" w:line="300"/>
        <w:jc w:val="right"/>
      </w:pPr>
      <w:r>
        <w:rPr>
          <w:rFonts w:ascii="Arial" w:cs="Arial" w:eastAsia="Arial" w:hAnsi="Arial"/>
          <w:sz w:val="24"/>
          <w:szCs w:val="24"/>
          <w:rtl/>
        </w:rPr>
        <w:t xml:space="preserve">متابعة تنفيذ القرارات.</w:t>
      </w:r>
    </w:p>
    <w:p>
      <w:pPr>
        <w:pStyle w:val="Heading3"/>
        <w:bidi/>
        <w:spacing w:after="120" w:before="200"/>
        <w:jc w:val="right"/>
      </w:pPr>
      <w:r>
        <w:rPr>
          <w:rFonts w:ascii="Arial" w:cs="Arial" w:eastAsia="Arial" w:hAnsi="Arial"/>
          <w:b/>
          <w:bCs/>
          <w:color w:val="1F4E79"/>
          <w:sz w:val="26"/>
          <w:szCs w:val="26"/>
          <w:rtl/>
        </w:rPr>
        <w:t xml:space="preserve">الموافقات اللاحقة</w:t>
      </w:r>
    </w:p>
    <w:p>
      <w:pPr>
        <w:pStyle w:val="ListParagraph"/>
        <w:numPr>
          <w:ilvl w:val="0"/>
          <w:numId w:val="2"/>
        </w:numPr>
        <w:bidi/>
        <w:spacing w:after="100" w:line="300"/>
        <w:jc w:val="right"/>
      </w:pPr>
      <w:r>
        <w:rPr>
          <w:rFonts w:ascii="Arial" w:cs="Arial" w:eastAsia="Arial" w:hAnsi="Arial"/>
          <w:sz w:val="24"/>
          <w:szCs w:val="24"/>
          <w:rtl/>
        </w:rPr>
        <w:t xml:space="preserve">الموافقات على زيادة رأس المال.</w:t>
      </w:r>
    </w:p>
    <w:p>
      <w:pPr>
        <w:pStyle w:val="ListParagraph"/>
        <w:numPr>
          <w:ilvl w:val="0"/>
          <w:numId w:val="2"/>
        </w:numPr>
        <w:bidi/>
        <w:spacing w:after="100" w:line="300"/>
        <w:jc w:val="right"/>
      </w:pPr>
      <w:r>
        <w:rPr>
          <w:rFonts w:ascii="Arial" w:cs="Arial" w:eastAsia="Arial" w:hAnsi="Arial"/>
          <w:sz w:val="24"/>
          <w:szCs w:val="24"/>
          <w:rtl/>
        </w:rPr>
        <w:t xml:space="preserve">الموافقات على الاستحواذ.</w:t>
      </w:r>
    </w:p>
    <w:p>
      <w:pPr>
        <w:pStyle w:val="ListParagraph"/>
        <w:numPr>
          <w:ilvl w:val="0"/>
          <w:numId w:val="2"/>
        </w:numPr>
        <w:bidi/>
        <w:spacing w:after="100" w:line="300"/>
        <w:jc w:val="right"/>
      </w:pPr>
      <w:r>
        <w:rPr>
          <w:rFonts w:ascii="Arial" w:cs="Arial" w:eastAsia="Arial" w:hAnsi="Arial"/>
          <w:sz w:val="24"/>
          <w:szCs w:val="24"/>
          <w:rtl/>
        </w:rPr>
        <w:t xml:space="preserve">الموافقات على إصدارات الأوراق المالية.</w:t>
      </w:r>
    </w:p>
    <w:p>
      <w:pPr>
        <w:pStyle w:val="ListParagraph"/>
        <w:numPr>
          <w:ilvl w:val="0"/>
          <w:numId w:val="2"/>
        </w:numPr>
        <w:bidi/>
        <w:spacing w:after="100" w:line="300"/>
        <w:jc w:val="right"/>
      </w:pPr>
      <w:r>
        <w:rPr>
          <w:rFonts w:ascii="Arial" w:cs="Arial" w:eastAsia="Arial" w:hAnsi="Arial"/>
          <w:sz w:val="24"/>
          <w:szCs w:val="24"/>
          <w:rtl/>
        </w:rPr>
        <w:t xml:space="preserve">الإفصاحات الخاصة بالشركات المدرجة.</w:t>
      </w:r>
    </w:p>
    <w:p>
      <w:pPr>
        <w:pStyle w:val="Heading2"/>
        <w:bidi/>
        <w:spacing w:after="160" w:before="280"/>
        <w:jc w:val="right"/>
      </w:pPr>
      <w:r>
        <w:rPr>
          <w:rFonts w:ascii="Arial" w:cs="Arial" w:eastAsia="Arial" w:hAnsi="Arial"/>
          <w:b/>
          <w:bCs/>
          <w:color w:val="2E75B6"/>
          <w:sz w:val="30"/>
          <w:szCs w:val="30"/>
          <w:rtl/>
        </w:rPr>
        <w:t xml:space="preserve">2. وزارة التجارة</w:t>
      </w:r>
    </w:p>
    <w:p>
      <w:pPr>
        <w:pStyle w:val="Heading3"/>
        <w:bidi/>
        <w:spacing w:after="120" w:before="200"/>
        <w:jc w:val="right"/>
      </w:pPr>
      <w:r>
        <w:rPr>
          <w:rFonts w:ascii="Arial" w:cs="Arial" w:eastAsia="Arial" w:hAnsi="Arial"/>
          <w:b/>
          <w:bCs/>
          <w:color w:val="1F4E79"/>
          <w:sz w:val="26"/>
          <w:szCs w:val="26"/>
          <w:rtl/>
        </w:rPr>
        <w:t xml:space="preserve">القيد في السجل التجاري</w:t>
      </w:r>
    </w:p>
    <w:p>
      <w:pPr>
        <w:pStyle w:val="ListParagraph"/>
        <w:numPr>
          <w:ilvl w:val="0"/>
          <w:numId w:val="2"/>
        </w:numPr>
        <w:bidi/>
        <w:spacing w:after="100" w:line="300"/>
        <w:jc w:val="right"/>
      </w:pPr>
      <w:r>
        <w:rPr>
          <w:rFonts w:ascii="Arial" w:cs="Arial" w:eastAsia="Arial" w:hAnsi="Arial"/>
          <w:sz w:val="24"/>
          <w:szCs w:val="24"/>
          <w:rtl/>
        </w:rPr>
        <w:t xml:space="preserve">القيد خلال 15 يوماً للقرارات الجوهرية.</w:t>
      </w:r>
    </w:p>
    <w:p>
      <w:pPr>
        <w:pStyle w:val="ListParagraph"/>
        <w:numPr>
          <w:ilvl w:val="0"/>
          <w:numId w:val="2"/>
        </w:numPr>
        <w:bidi/>
        <w:spacing w:after="100" w:line="300"/>
        <w:jc w:val="right"/>
      </w:pPr>
      <w:r>
        <w:rPr>
          <w:rFonts w:ascii="Arial" w:cs="Arial" w:eastAsia="Arial" w:hAnsi="Arial"/>
          <w:sz w:val="24"/>
          <w:szCs w:val="24"/>
          <w:rtl/>
        </w:rPr>
        <w:t xml:space="preserve">تحديث النظام الأساس.</w:t>
      </w:r>
    </w:p>
    <w:p>
      <w:pPr>
        <w:pStyle w:val="ListParagraph"/>
        <w:numPr>
          <w:ilvl w:val="0"/>
          <w:numId w:val="2"/>
        </w:numPr>
        <w:bidi/>
        <w:spacing w:after="100" w:line="300"/>
        <w:jc w:val="right"/>
      </w:pPr>
      <w:r>
        <w:rPr>
          <w:rFonts w:ascii="Arial" w:cs="Arial" w:eastAsia="Arial" w:hAnsi="Arial"/>
          <w:sz w:val="24"/>
          <w:szCs w:val="24"/>
          <w:rtl/>
        </w:rPr>
        <w:t xml:space="preserve">تحديث رأس المال.</w:t>
      </w:r>
    </w:p>
    <w:p>
      <w:pPr>
        <w:pStyle w:val="ListParagraph"/>
        <w:numPr>
          <w:ilvl w:val="0"/>
          <w:numId w:val="2"/>
        </w:numPr>
        <w:bidi/>
        <w:spacing w:after="100" w:line="300"/>
        <w:jc w:val="right"/>
      </w:pPr>
      <w:r>
        <w:rPr>
          <w:rFonts w:ascii="Arial" w:cs="Arial" w:eastAsia="Arial" w:hAnsi="Arial"/>
          <w:sz w:val="24"/>
          <w:szCs w:val="24"/>
          <w:rtl/>
        </w:rPr>
        <w:t xml:space="preserve">تحديث أعضاء المجلس.</w:t>
      </w:r>
    </w:p>
    <w:p>
      <w:pPr>
        <w:pStyle w:val="Heading3"/>
        <w:bidi/>
        <w:spacing w:after="120" w:before="200"/>
        <w:jc w:val="right"/>
      </w:pPr>
      <w:r>
        <w:rPr>
          <w:rFonts w:ascii="Arial" w:cs="Arial" w:eastAsia="Arial" w:hAnsi="Arial"/>
          <w:b/>
          <w:bCs/>
          <w:color w:val="1F4E79"/>
          <w:sz w:val="26"/>
          <w:szCs w:val="26"/>
          <w:rtl/>
        </w:rPr>
        <w:t xml:space="preserve">الإحاطة بقرارات الجمعية</w:t>
      </w:r>
    </w:p>
    <w:p>
      <w:pPr>
        <w:pStyle w:val="ListParagraph"/>
        <w:numPr>
          <w:ilvl w:val="0"/>
          <w:numId w:val="2"/>
        </w:numPr>
        <w:bidi/>
        <w:spacing w:after="100" w:line="300"/>
        <w:jc w:val="right"/>
      </w:pPr>
      <w:r>
        <w:rPr>
          <w:rFonts w:ascii="Arial" w:cs="Arial" w:eastAsia="Arial" w:hAnsi="Arial"/>
          <w:sz w:val="24"/>
          <w:szCs w:val="24"/>
          <w:rtl/>
        </w:rPr>
        <w:t xml:space="preserve">استخدام منصة "إحاطة الوزارة".</w:t>
      </w:r>
    </w:p>
    <w:p>
      <w:pPr>
        <w:pStyle w:val="ListParagraph"/>
        <w:numPr>
          <w:ilvl w:val="0"/>
          <w:numId w:val="2"/>
        </w:numPr>
        <w:bidi/>
        <w:spacing w:after="100" w:line="300"/>
        <w:jc w:val="right"/>
      </w:pPr>
      <w:r>
        <w:rPr>
          <w:rFonts w:ascii="Arial" w:cs="Arial" w:eastAsia="Arial" w:hAnsi="Arial"/>
          <w:sz w:val="24"/>
          <w:szCs w:val="24"/>
          <w:rtl/>
        </w:rPr>
        <w:t xml:space="preserve">تقديم الوثائق المطلوبة.</w:t>
      </w:r>
    </w:p>
    <w:p>
      <w:pPr>
        <w:pStyle w:val="ListParagraph"/>
        <w:numPr>
          <w:ilvl w:val="0"/>
          <w:numId w:val="2"/>
        </w:numPr>
        <w:bidi/>
        <w:spacing w:after="100" w:line="300"/>
        <w:jc w:val="right"/>
      </w:pPr>
      <w:r>
        <w:rPr>
          <w:rFonts w:ascii="Arial" w:cs="Arial" w:eastAsia="Arial" w:hAnsi="Arial"/>
          <w:sz w:val="24"/>
          <w:szCs w:val="24"/>
          <w:rtl/>
        </w:rPr>
        <w:t xml:space="preserve">متابعة الإجراءات.</w:t>
      </w:r>
    </w:p>
    <w:p>
      <w:pPr>
        <w:pStyle w:val="Heading2"/>
        <w:bidi/>
        <w:spacing w:after="160" w:before="280"/>
        <w:jc w:val="right"/>
      </w:pPr>
      <w:r>
        <w:rPr>
          <w:rFonts w:ascii="Arial" w:cs="Arial" w:eastAsia="Arial" w:hAnsi="Arial"/>
          <w:b/>
          <w:bCs/>
          <w:color w:val="2E75B6"/>
          <w:sz w:val="30"/>
          <w:szCs w:val="30"/>
          <w:rtl/>
        </w:rPr>
        <w:t xml:space="preserve">3. مركز إيداع الأوراق المالية</w:t>
      </w:r>
    </w:p>
    <w:p>
      <w:pPr>
        <w:pStyle w:val="ListParagraph"/>
        <w:numPr>
          <w:ilvl w:val="0"/>
          <w:numId w:val="2"/>
        </w:numPr>
        <w:bidi/>
        <w:spacing w:after="100" w:line="300"/>
        <w:jc w:val="right"/>
      </w:pPr>
      <w:r>
        <w:rPr>
          <w:rFonts w:ascii="Arial" w:cs="Arial" w:eastAsia="Arial" w:hAnsi="Arial"/>
          <w:sz w:val="24"/>
          <w:szCs w:val="24"/>
          <w:rtl/>
        </w:rPr>
        <w:t xml:space="preserve">تنفيذ التوزيعات.</w:t>
      </w:r>
    </w:p>
    <w:p>
      <w:pPr>
        <w:pStyle w:val="ListParagraph"/>
        <w:numPr>
          <w:ilvl w:val="0"/>
          <w:numId w:val="2"/>
        </w:numPr>
        <w:bidi/>
        <w:spacing w:after="100" w:line="300"/>
        <w:jc w:val="right"/>
      </w:pPr>
      <w:r>
        <w:rPr>
          <w:rFonts w:ascii="Arial" w:cs="Arial" w:eastAsia="Arial" w:hAnsi="Arial"/>
          <w:sz w:val="24"/>
          <w:szCs w:val="24"/>
          <w:rtl/>
        </w:rPr>
        <w:t xml:space="preserve">تحديث سجلات المساهمين.</w:t>
      </w:r>
    </w:p>
    <w:p>
      <w:pPr>
        <w:pStyle w:val="ListParagraph"/>
        <w:numPr>
          <w:ilvl w:val="0"/>
          <w:numId w:val="2"/>
        </w:numPr>
        <w:bidi/>
        <w:spacing w:after="100" w:line="300"/>
        <w:jc w:val="right"/>
      </w:pPr>
      <w:r>
        <w:rPr>
          <w:rFonts w:ascii="Arial" w:cs="Arial" w:eastAsia="Arial" w:hAnsi="Arial"/>
          <w:sz w:val="24"/>
          <w:szCs w:val="24"/>
          <w:rtl/>
        </w:rPr>
        <w:t xml:space="preserve">تنفيذ زيادات وتخفيضات رأس المال.</w:t>
      </w:r>
    </w:p>
    <w:p>
      <w:pPr>
        <w:pStyle w:val="ListParagraph"/>
        <w:numPr>
          <w:ilvl w:val="0"/>
          <w:numId w:val="2"/>
        </w:numPr>
        <w:bidi/>
        <w:spacing w:after="100" w:line="300"/>
        <w:jc w:val="right"/>
      </w:pPr>
      <w:r>
        <w:rPr>
          <w:rFonts w:ascii="Arial" w:cs="Arial" w:eastAsia="Arial" w:hAnsi="Arial"/>
          <w:sz w:val="24"/>
          <w:szCs w:val="24"/>
          <w:rtl/>
        </w:rPr>
        <w:t xml:space="preserve">معالجة الإصدارات الجديدة.</w:t>
      </w:r>
    </w:p>
    <w:p>
      <w:pPr>
        <w:pStyle w:val="Heading2"/>
        <w:bidi/>
        <w:spacing w:after="160" w:before="280"/>
        <w:jc w:val="right"/>
      </w:pPr>
      <w:r>
        <w:rPr>
          <w:rFonts w:ascii="Arial" w:cs="Arial" w:eastAsia="Arial" w:hAnsi="Arial"/>
          <w:b/>
          <w:bCs/>
          <w:color w:val="2E75B6"/>
          <w:sz w:val="30"/>
          <w:szCs w:val="30"/>
          <w:rtl/>
        </w:rPr>
        <w:t xml:space="preserve">4. هيئة الزكاة والضريبة والجمارك</w:t>
      </w:r>
    </w:p>
    <w:p>
      <w:pPr>
        <w:pStyle w:val="ListParagraph"/>
        <w:numPr>
          <w:ilvl w:val="0"/>
          <w:numId w:val="2"/>
        </w:numPr>
        <w:bidi/>
        <w:spacing w:after="100" w:line="300"/>
        <w:jc w:val="right"/>
      </w:pPr>
      <w:r>
        <w:rPr>
          <w:rFonts w:ascii="Arial" w:cs="Arial" w:eastAsia="Arial" w:hAnsi="Arial"/>
          <w:sz w:val="24"/>
          <w:szCs w:val="24"/>
          <w:rtl/>
        </w:rPr>
        <w:t xml:space="preserve">الإفصاح عن التوزيعات.</w:t>
      </w:r>
    </w:p>
    <w:p>
      <w:pPr>
        <w:pStyle w:val="ListParagraph"/>
        <w:numPr>
          <w:ilvl w:val="0"/>
          <w:numId w:val="2"/>
        </w:numPr>
        <w:bidi/>
        <w:spacing w:after="100" w:line="300"/>
        <w:jc w:val="right"/>
      </w:pPr>
      <w:r>
        <w:rPr>
          <w:rFonts w:ascii="Arial" w:cs="Arial" w:eastAsia="Arial" w:hAnsi="Arial"/>
          <w:sz w:val="24"/>
          <w:szCs w:val="24"/>
          <w:rtl/>
        </w:rPr>
        <w:t xml:space="preserve">الإقرارات الضريبية المتأثرة.</w:t>
      </w:r>
    </w:p>
    <w:p>
      <w:pPr>
        <w:pStyle w:val="ListParagraph"/>
        <w:numPr>
          <w:ilvl w:val="0"/>
          <w:numId w:val="2"/>
        </w:numPr>
        <w:bidi/>
        <w:spacing w:after="100" w:line="300"/>
        <w:jc w:val="right"/>
      </w:pPr>
      <w:r>
        <w:rPr>
          <w:rFonts w:ascii="Arial" w:cs="Arial" w:eastAsia="Arial" w:hAnsi="Arial"/>
          <w:sz w:val="24"/>
          <w:szCs w:val="24"/>
          <w:rtl/>
        </w:rPr>
        <w:t xml:space="preserve">معالجة الضرائب على المساهمين.</w:t>
      </w:r>
    </w:p>
    <w:p>
      <w:pPr>
        <w:pStyle w:val="Heading2"/>
        <w:bidi/>
        <w:spacing w:after="160" w:before="280"/>
        <w:jc w:val="right"/>
      </w:pPr>
      <w:r>
        <w:rPr>
          <w:rFonts w:ascii="Arial" w:cs="Arial" w:eastAsia="Arial" w:hAnsi="Arial"/>
          <w:b/>
          <w:bCs/>
          <w:color w:val="2E75B6"/>
          <w:sz w:val="30"/>
          <w:szCs w:val="30"/>
          <w:rtl/>
        </w:rPr>
        <w:t xml:space="preserve">5. الجهات الأخرى</w:t>
      </w:r>
    </w:p>
    <w:p>
      <w:pPr>
        <w:pStyle w:val="ListParagraph"/>
        <w:numPr>
          <w:ilvl w:val="0"/>
          <w:numId w:val="2"/>
        </w:numPr>
        <w:bidi/>
        <w:spacing w:after="100" w:line="300"/>
        <w:jc w:val="right"/>
      </w:pPr>
      <w:r>
        <w:rPr>
          <w:rFonts w:ascii="Arial" w:cs="Arial" w:eastAsia="Arial" w:hAnsi="Arial"/>
          <w:sz w:val="24"/>
          <w:szCs w:val="24"/>
          <w:rtl/>
        </w:rPr>
        <w:t xml:space="preserve">البنك المركزي السعودي (للشركات المالية).</w:t>
      </w:r>
    </w:p>
    <w:p>
      <w:pPr>
        <w:pStyle w:val="ListParagraph"/>
        <w:numPr>
          <w:ilvl w:val="0"/>
          <w:numId w:val="2"/>
        </w:numPr>
        <w:bidi/>
        <w:spacing w:after="100" w:line="300"/>
        <w:jc w:val="right"/>
      </w:pPr>
      <w:r>
        <w:rPr>
          <w:rFonts w:ascii="Arial" w:cs="Arial" w:eastAsia="Arial" w:hAnsi="Arial"/>
          <w:sz w:val="24"/>
          <w:szCs w:val="24"/>
          <w:rtl/>
        </w:rPr>
        <w:t xml:space="preserve">هيئات أخرى حسب نشاط الشركة.</w:t>
      </w:r>
    </w:p>
    <w:p>
      <w:pPr>
        <w:pStyle w:val="ListParagraph"/>
        <w:numPr>
          <w:ilvl w:val="0"/>
          <w:numId w:val="2"/>
        </w:numPr>
        <w:bidi/>
        <w:spacing w:after="100" w:line="300"/>
        <w:jc w:val="right"/>
      </w:pPr>
      <w:r>
        <w:rPr>
          <w:rFonts w:ascii="Arial" w:cs="Arial" w:eastAsia="Arial" w:hAnsi="Arial"/>
          <w:sz w:val="24"/>
          <w:szCs w:val="24"/>
          <w:rtl/>
        </w:rPr>
        <w:t xml:space="preserve">الجهات الدولية (للشركات متعددة الجنسيات).</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ثامناً: المتابعة والتقييم</w:t>
      </w:r>
    </w:p>
    <w:p>
      <w:pPr>
        <w:pStyle w:val="Heading2"/>
        <w:bidi/>
        <w:spacing w:after="160" w:before="280"/>
        <w:jc w:val="right"/>
      </w:pPr>
      <w:r>
        <w:rPr>
          <w:rFonts w:ascii="Arial" w:cs="Arial" w:eastAsia="Arial" w:hAnsi="Arial"/>
          <w:b/>
          <w:bCs/>
          <w:color w:val="2E75B6"/>
          <w:sz w:val="30"/>
          <w:szCs w:val="30"/>
          <w:rtl/>
        </w:rPr>
        <w:t xml:space="preserve">1. إعداد خطة التنفيذ</w:t>
      </w:r>
    </w:p>
    <w:p>
      <w:pPr>
        <w:pStyle w:val="ListParagraph"/>
        <w:numPr>
          <w:ilvl w:val="0"/>
          <w:numId w:val="2"/>
        </w:numPr>
        <w:bidi/>
        <w:spacing w:after="100" w:line="300"/>
        <w:jc w:val="right"/>
      </w:pPr>
      <w:r>
        <w:rPr>
          <w:rFonts w:ascii="Arial" w:cs="Arial" w:eastAsia="Arial" w:hAnsi="Arial"/>
          <w:sz w:val="24"/>
          <w:szCs w:val="24"/>
          <w:rtl/>
        </w:rPr>
        <w:t xml:space="preserve">قائمة بجميع القرارات.</w:t>
      </w:r>
    </w:p>
    <w:p>
      <w:pPr>
        <w:pStyle w:val="ListParagraph"/>
        <w:numPr>
          <w:ilvl w:val="0"/>
          <w:numId w:val="2"/>
        </w:numPr>
        <w:bidi/>
        <w:spacing w:after="100" w:line="300"/>
        <w:jc w:val="right"/>
      </w:pPr>
      <w:r>
        <w:rPr>
          <w:rFonts w:ascii="Arial" w:cs="Arial" w:eastAsia="Arial" w:hAnsi="Arial"/>
          <w:sz w:val="24"/>
          <w:szCs w:val="24"/>
          <w:rtl/>
        </w:rPr>
        <w:t xml:space="preserve">الجدول الزمني لكل قرار.</w:t>
      </w:r>
    </w:p>
    <w:p>
      <w:pPr>
        <w:pStyle w:val="ListParagraph"/>
        <w:numPr>
          <w:ilvl w:val="0"/>
          <w:numId w:val="2"/>
        </w:numPr>
        <w:bidi/>
        <w:spacing w:after="100" w:line="300"/>
        <w:jc w:val="right"/>
      </w:pPr>
      <w:r>
        <w:rPr>
          <w:rFonts w:ascii="Arial" w:cs="Arial" w:eastAsia="Arial" w:hAnsi="Arial"/>
          <w:sz w:val="24"/>
          <w:szCs w:val="24"/>
          <w:rtl/>
        </w:rPr>
        <w:t xml:space="preserve">المسؤول عن التنفيذ.</w:t>
      </w:r>
    </w:p>
    <w:p>
      <w:pPr>
        <w:pStyle w:val="ListParagraph"/>
        <w:numPr>
          <w:ilvl w:val="0"/>
          <w:numId w:val="2"/>
        </w:numPr>
        <w:bidi/>
        <w:spacing w:after="100" w:line="300"/>
        <w:jc w:val="right"/>
      </w:pPr>
      <w:r>
        <w:rPr>
          <w:rFonts w:ascii="Arial" w:cs="Arial" w:eastAsia="Arial" w:hAnsi="Arial"/>
          <w:sz w:val="24"/>
          <w:szCs w:val="24"/>
          <w:rtl/>
        </w:rPr>
        <w:t xml:space="preserve">الموارد المطلوبة.</w:t>
      </w:r>
    </w:p>
    <w:p>
      <w:pPr>
        <w:pStyle w:val="ListParagraph"/>
        <w:numPr>
          <w:ilvl w:val="0"/>
          <w:numId w:val="2"/>
        </w:numPr>
        <w:bidi/>
        <w:spacing w:after="100" w:line="300"/>
        <w:jc w:val="right"/>
      </w:pPr>
      <w:r>
        <w:rPr>
          <w:rFonts w:ascii="Arial" w:cs="Arial" w:eastAsia="Arial" w:hAnsi="Arial"/>
          <w:sz w:val="24"/>
          <w:szCs w:val="24"/>
          <w:rtl/>
        </w:rPr>
        <w:t xml:space="preserve">مؤشرات الأداء.</w:t>
      </w:r>
    </w:p>
    <w:p>
      <w:pPr>
        <w:pStyle w:val="Heading2"/>
        <w:bidi/>
        <w:spacing w:after="160" w:before="280"/>
        <w:jc w:val="right"/>
      </w:pPr>
      <w:r>
        <w:rPr>
          <w:rFonts w:ascii="Arial" w:cs="Arial" w:eastAsia="Arial" w:hAnsi="Arial"/>
          <w:b/>
          <w:bCs/>
          <w:color w:val="2E75B6"/>
          <w:sz w:val="30"/>
          <w:szCs w:val="30"/>
          <w:rtl/>
        </w:rPr>
        <w:t xml:space="preserve">2. الاجتماعات الدورية للمتابعة</w:t>
      </w:r>
    </w:p>
    <w:p>
      <w:pPr>
        <w:pStyle w:val="Heading3"/>
        <w:bidi/>
        <w:spacing w:after="120" w:before="200"/>
        <w:jc w:val="right"/>
      </w:pPr>
      <w:r>
        <w:rPr>
          <w:rFonts w:ascii="Arial" w:cs="Arial" w:eastAsia="Arial" w:hAnsi="Arial"/>
          <w:b/>
          <w:bCs/>
          <w:color w:val="1F4E79"/>
          <w:sz w:val="26"/>
          <w:szCs w:val="26"/>
          <w:rtl/>
        </w:rPr>
        <w:t xml:space="preserve">على مستوى مجلس الإدارة</w:t>
      </w:r>
    </w:p>
    <w:p>
      <w:pPr>
        <w:pStyle w:val="ListParagraph"/>
        <w:numPr>
          <w:ilvl w:val="0"/>
          <w:numId w:val="2"/>
        </w:numPr>
        <w:bidi/>
        <w:spacing w:after="100" w:line="300"/>
        <w:jc w:val="right"/>
      </w:pPr>
      <w:r>
        <w:rPr>
          <w:rFonts w:ascii="Arial" w:cs="Arial" w:eastAsia="Arial" w:hAnsi="Arial"/>
          <w:sz w:val="24"/>
          <w:szCs w:val="24"/>
          <w:rtl/>
        </w:rPr>
        <w:t xml:space="preserve">اجتماعات شهرية للمتابعة.</w:t>
      </w:r>
    </w:p>
    <w:p>
      <w:pPr>
        <w:pStyle w:val="ListParagraph"/>
        <w:numPr>
          <w:ilvl w:val="0"/>
          <w:numId w:val="2"/>
        </w:numPr>
        <w:bidi/>
        <w:spacing w:after="100" w:line="300"/>
        <w:jc w:val="right"/>
      </w:pPr>
      <w:r>
        <w:rPr>
          <w:rFonts w:ascii="Arial" w:cs="Arial" w:eastAsia="Arial" w:hAnsi="Arial"/>
          <w:sz w:val="24"/>
          <w:szCs w:val="24"/>
          <w:rtl/>
        </w:rPr>
        <w:t xml:space="preserve">تقارير تنفيذ مفصّلة.</w:t>
      </w:r>
    </w:p>
    <w:p>
      <w:pPr>
        <w:pStyle w:val="ListParagraph"/>
        <w:numPr>
          <w:ilvl w:val="0"/>
          <w:numId w:val="2"/>
        </w:numPr>
        <w:bidi/>
        <w:spacing w:after="100" w:line="300"/>
        <w:jc w:val="right"/>
      </w:pPr>
      <w:r>
        <w:rPr>
          <w:rFonts w:ascii="Arial" w:cs="Arial" w:eastAsia="Arial" w:hAnsi="Arial"/>
          <w:sz w:val="24"/>
          <w:szCs w:val="24"/>
          <w:rtl/>
        </w:rPr>
        <w:t xml:space="preserve">معالجة العقبات.</w:t>
      </w:r>
    </w:p>
    <w:p>
      <w:pPr>
        <w:pStyle w:val="ListParagraph"/>
        <w:numPr>
          <w:ilvl w:val="0"/>
          <w:numId w:val="2"/>
        </w:numPr>
        <w:bidi/>
        <w:spacing w:after="100" w:line="300"/>
        <w:jc w:val="right"/>
      </w:pPr>
      <w:r>
        <w:rPr>
          <w:rFonts w:ascii="Arial" w:cs="Arial" w:eastAsia="Arial" w:hAnsi="Arial"/>
          <w:sz w:val="24"/>
          <w:szCs w:val="24"/>
          <w:rtl/>
        </w:rPr>
        <w:t xml:space="preserve">اتخاذ قرارات تصحيحية.</w:t>
      </w:r>
    </w:p>
    <w:p>
      <w:pPr>
        <w:pStyle w:val="Heading3"/>
        <w:bidi/>
        <w:spacing w:after="120" w:before="200"/>
        <w:jc w:val="right"/>
      </w:pPr>
      <w:r>
        <w:rPr>
          <w:rFonts w:ascii="Arial" w:cs="Arial" w:eastAsia="Arial" w:hAnsi="Arial"/>
          <w:b/>
          <w:bCs/>
          <w:color w:val="1F4E79"/>
          <w:sz w:val="26"/>
          <w:szCs w:val="26"/>
          <w:rtl/>
        </w:rPr>
        <w:t xml:space="preserve">على مستوى الإدارة التنفيذية</w:t>
      </w:r>
    </w:p>
    <w:p>
      <w:pPr>
        <w:pStyle w:val="ListParagraph"/>
        <w:numPr>
          <w:ilvl w:val="0"/>
          <w:numId w:val="2"/>
        </w:numPr>
        <w:bidi/>
        <w:spacing w:after="100" w:line="300"/>
        <w:jc w:val="right"/>
      </w:pPr>
      <w:r>
        <w:rPr>
          <w:rFonts w:ascii="Arial" w:cs="Arial" w:eastAsia="Arial" w:hAnsi="Arial"/>
          <w:sz w:val="24"/>
          <w:szCs w:val="24"/>
          <w:rtl/>
        </w:rPr>
        <w:t xml:space="preserve">اجتماعات أسبوعية.</w:t>
      </w:r>
    </w:p>
    <w:p>
      <w:pPr>
        <w:pStyle w:val="ListParagraph"/>
        <w:numPr>
          <w:ilvl w:val="0"/>
          <w:numId w:val="2"/>
        </w:numPr>
        <w:bidi/>
        <w:spacing w:after="100" w:line="300"/>
        <w:jc w:val="right"/>
      </w:pPr>
      <w:r>
        <w:rPr>
          <w:rFonts w:ascii="Arial" w:cs="Arial" w:eastAsia="Arial" w:hAnsi="Arial"/>
          <w:sz w:val="24"/>
          <w:szCs w:val="24"/>
          <w:rtl/>
        </w:rPr>
        <w:t xml:space="preserve">متابعة المهام التفصيلية.</w:t>
      </w:r>
    </w:p>
    <w:p>
      <w:pPr>
        <w:pStyle w:val="ListParagraph"/>
        <w:numPr>
          <w:ilvl w:val="0"/>
          <w:numId w:val="2"/>
        </w:numPr>
        <w:bidi/>
        <w:spacing w:after="100" w:line="300"/>
        <w:jc w:val="right"/>
      </w:pPr>
      <w:r>
        <w:rPr>
          <w:rFonts w:ascii="Arial" w:cs="Arial" w:eastAsia="Arial" w:hAnsi="Arial"/>
          <w:sz w:val="24"/>
          <w:szCs w:val="24"/>
          <w:rtl/>
        </w:rPr>
        <w:t xml:space="preserve">معالجة المشاكل اليومية.</w:t>
      </w:r>
    </w:p>
    <w:p>
      <w:pPr>
        <w:pStyle w:val="Heading2"/>
        <w:bidi/>
        <w:spacing w:after="160" w:before="280"/>
        <w:jc w:val="right"/>
      </w:pPr>
      <w:r>
        <w:rPr>
          <w:rFonts w:ascii="Arial" w:cs="Arial" w:eastAsia="Arial" w:hAnsi="Arial"/>
          <w:b/>
          <w:bCs/>
          <w:color w:val="2E75B6"/>
          <w:sz w:val="30"/>
          <w:szCs w:val="30"/>
          <w:rtl/>
        </w:rPr>
        <w:t xml:space="preserve">3. مؤشرات الأداء</w:t>
      </w:r>
    </w:p>
    <w:p>
      <w:pPr>
        <w:pStyle w:val="ListParagraph"/>
        <w:numPr>
          <w:ilvl w:val="0"/>
          <w:numId w:val="2"/>
        </w:numPr>
        <w:bidi/>
        <w:spacing w:after="100" w:line="300"/>
        <w:jc w:val="right"/>
      </w:pPr>
      <w:r>
        <w:rPr>
          <w:rFonts w:ascii="Arial" w:cs="Arial" w:eastAsia="Arial" w:hAnsi="Arial"/>
          <w:sz w:val="24"/>
          <w:szCs w:val="24"/>
          <w:rtl/>
        </w:rPr>
        <w:t xml:space="preserve">نسبة القرارات المُنفّذة.</w:t>
      </w:r>
    </w:p>
    <w:p>
      <w:pPr>
        <w:pStyle w:val="ListParagraph"/>
        <w:numPr>
          <w:ilvl w:val="0"/>
          <w:numId w:val="2"/>
        </w:numPr>
        <w:bidi/>
        <w:spacing w:after="100" w:line="300"/>
        <w:jc w:val="right"/>
      </w:pPr>
      <w:r>
        <w:rPr>
          <w:rFonts w:ascii="Arial" w:cs="Arial" w:eastAsia="Arial" w:hAnsi="Arial"/>
          <w:sz w:val="24"/>
          <w:szCs w:val="24"/>
          <w:rtl/>
        </w:rPr>
        <w:t xml:space="preserve">الالتزام بالجداول الزمنية.</w:t>
      </w:r>
    </w:p>
    <w:p>
      <w:pPr>
        <w:pStyle w:val="ListParagraph"/>
        <w:numPr>
          <w:ilvl w:val="0"/>
          <w:numId w:val="2"/>
        </w:numPr>
        <w:bidi/>
        <w:spacing w:after="100" w:line="300"/>
        <w:jc w:val="right"/>
      </w:pPr>
      <w:r>
        <w:rPr>
          <w:rFonts w:ascii="Arial" w:cs="Arial" w:eastAsia="Arial" w:hAnsi="Arial"/>
          <w:sz w:val="24"/>
          <w:szCs w:val="24"/>
          <w:rtl/>
        </w:rPr>
        <w:t xml:space="preserve">الفعالية في التنفيذ.</w:t>
      </w:r>
    </w:p>
    <w:p>
      <w:pPr>
        <w:pStyle w:val="ListParagraph"/>
        <w:numPr>
          <w:ilvl w:val="0"/>
          <w:numId w:val="2"/>
        </w:numPr>
        <w:bidi/>
        <w:spacing w:after="100" w:line="300"/>
        <w:jc w:val="right"/>
      </w:pPr>
      <w:r>
        <w:rPr>
          <w:rFonts w:ascii="Arial" w:cs="Arial" w:eastAsia="Arial" w:hAnsi="Arial"/>
          <w:sz w:val="24"/>
          <w:szCs w:val="24"/>
          <w:rtl/>
        </w:rPr>
        <w:t xml:space="preserve">رضا المساهمين.</w:t>
      </w:r>
    </w:p>
    <w:p>
      <w:pPr>
        <w:pStyle w:val="ListParagraph"/>
        <w:numPr>
          <w:ilvl w:val="0"/>
          <w:numId w:val="2"/>
        </w:numPr>
        <w:bidi/>
        <w:spacing w:after="100" w:line="300"/>
        <w:jc w:val="right"/>
      </w:pPr>
      <w:r>
        <w:rPr>
          <w:rFonts w:ascii="Arial" w:cs="Arial" w:eastAsia="Arial" w:hAnsi="Arial"/>
          <w:sz w:val="24"/>
          <w:szCs w:val="24"/>
          <w:rtl/>
        </w:rPr>
        <w:t xml:space="preserve">التكاليف الفعلية مقابل المخطّطة.</w:t>
      </w:r>
    </w:p>
    <w:p>
      <w:pPr>
        <w:pStyle w:val="ListParagraph"/>
        <w:numPr>
          <w:ilvl w:val="0"/>
          <w:numId w:val="2"/>
        </w:numPr>
        <w:bidi/>
        <w:spacing w:after="100" w:line="300"/>
        <w:jc w:val="right"/>
      </w:pPr>
      <w:r>
        <w:rPr>
          <w:rFonts w:ascii="Arial" w:cs="Arial" w:eastAsia="Arial" w:hAnsi="Arial"/>
          <w:sz w:val="24"/>
          <w:szCs w:val="24"/>
          <w:rtl/>
        </w:rPr>
        <w:t xml:space="preserve">الأثر على الأداء العام للشركة.</w:t>
      </w:r>
    </w:p>
    <w:p>
      <w:pPr>
        <w:pStyle w:val="Heading2"/>
        <w:bidi/>
        <w:spacing w:after="160" w:before="280"/>
        <w:jc w:val="right"/>
      </w:pPr>
      <w:r>
        <w:rPr>
          <w:rFonts w:ascii="Arial" w:cs="Arial" w:eastAsia="Arial" w:hAnsi="Arial"/>
          <w:b/>
          <w:bCs/>
          <w:color w:val="2E75B6"/>
          <w:sz w:val="30"/>
          <w:szCs w:val="30"/>
          <w:rtl/>
        </w:rPr>
        <w:t xml:space="preserve">4. التقارير للجمعية القادمة</w:t>
      </w:r>
    </w:p>
    <w:p>
      <w:pPr>
        <w:pStyle w:val="ListParagraph"/>
        <w:numPr>
          <w:ilvl w:val="0"/>
          <w:numId w:val="2"/>
        </w:numPr>
        <w:bidi/>
        <w:spacing w:after="100" w:line="300"/>
        <w:jc w:val="right"/>
      </w:pPr>
      <w:r>
        <w:rPr>
          <w:rFonts w:ascii="Arial" w:cs="Arial" w:eastAsia="Arial" w:hAnsi="Arial"/>
          <w:sz w:val="24"/>
          <w:szCs w:val="24"/>
          <w:rtl/>
        </w:rPr>
        <w:t xml:space="preserve">تقرير شامل عن تنفيذ قرارات الجمعية السابقة.</w:t>
      </w:r>
    </w:p>
    <w:p>
      <w:pPr>
        <w:pStyle w:val="ListParagraph"/>
        <w:numPr>
          <w:ilvl w:val="0"/>
          <w:numId w:val="2"/>
        </w:numPr>
        <w:bidi/>
        <w:spacing w:after="100" w:line="300"/>
        <w:jc w:val="right"/>
      </w:pPr>
      <w:r>
        <w:rPr>
          <w:rFonts w:ascii="Arial" w:cs="Arial" w:eastAsia="Arial" w:hAnsi="Arial"/>
          <w:sz w:val="24"/>
          <w:szCs w:val="24"/>
          <w:rtl/>
        </w:rPr>
        <w:t xml:space="preserve">إنجازات وعقبات.</w:t>
      </w:r>
    </w:p>
    <w:p>
      <w:pPr>
        <w:pStyle w:val="ListParagraph"/>
        <w:numPr>
          <w:ilvl w:val="0"/>
          <w:numId w:val="2"/>
        </w:numPr>
        <w:bidi/>
        <w:spacing w:after="100" w:line="300"/>
        <w:jc w:val="right"/>
      </w:pPr>
      <w:r>
        <w:rPr>
          <w:rFonts w:ascii="Arial" w:cs="Arial" w:eastAsia="Arial" w:hAnsi="Arial"/>
          <w:sz w:val="24"/>
          <w:szCs w:val="24"/>
          <w:rtl/>
        </w:rPr>
        <w:t xml:space="preserve">الدروس المستفادة.</w:t>
      </w:r>
    </w:p>
    <w:p>
      <w:pPr>
        <w:pStyle w:val="ListParagraph"/>
        <w:numPr>
          <w:ilvl w:val="0"/>
          <w:numId w:val="2"/>
        </w:numPr>
        <w:bidi/>
        <w:spacing w:after="100" w:line="300"/>
        <w:jc w:val="right"/>
      </w:pPr>
      <w:r>
        <w:rPr>
          <w:rFonts w:ascii="Arial" w:cs="Arial" w:eastAsia="Arial" w:hAnsi="Arial"/>
          <w:sz w:val="24"/>
          <w:szCs w:val="24"/>
          <w:rtl/>
        </w:rPr>
        <w:t xml:space="preserve">التوصيات للجمعية القادمة.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تاسعاً: التحديات الشائعة وحلولها</w:t>
      </w:r>
    </w:p>
    <w:p>
      <w:pPr>
        <w:pStyle w:val="Heading2"/>
        <w:bidi/>
        <w:spacing w:after="160" w:before="280"/>
        <w:jc w:val="right"/>
      </w:pPr>
      <w:r>
        <w:rPr>
          <w:rFonts w:ascii="Arial" w:cs="Arial" w:eastAsia="Arial" w:hAnsi="Arial"/>
          <w:b/>
          <w:bCs/>
          <w:color w:val="2E75B6"/>
          <w:sz w:val="30"/>
          <w:szCs w:val="30"/>
          <w:rtl/>
        </w:rPr>
        <w:t xml:space="preserve">1. التأخر في التنفيذ</w:t>
      </w:r>
    </w:p>
    <w:p>
      <w:pPr>
        <w:pStyle w:val="ListParagraph"/>
        <w:numPr>
          <w:ilvl w:val="0"/>
          <w:numId w:val="2"/>
        </w:numPr>
        <w:bidi/>
        <w:spacing w:after="100" w:line="300"/>
        <w:jc w:val="right"/>
      </w:pPr>
      <w:r>
        <w:rPr>
          <w:rFonts w:ascii="Arial" w:cs="Arial" w:eastAsia="Arial" w:hAnsi="Arial"/>
          <w:sz w:val="24"/>
          <w:szCs w:val="24"/>
          <w:rtl/>
        </w:rPr>
        <w:t xml:space="preserve">**المشكلة**: تأخر في تنفيذ بعض القرارات.</w:t>
      </w:r>
    </w:p>
    <w:p>
      <w:pPr>
        <w:pStyle w:val="ListParagraph"/>
        <w:numPr>
          <w:ilvl w:val="0"/>
          <w:numId w:val="2"/>
        </w:numPr>
        <w:bidi/>
        <w:spacing w:after="100" w:line="300"/>
        <w:jc w:val="right"/>
      </w:pPr>
      <w:r>
        <w:rPr>
          <w:rFonts w:ascii="Arial" w:cs="Arial" w:eastAsia="Arial" w:hAnsi="Arial"/>
          <w:sz w:val="24"/>
          <w:szCs w:val="24"/>
          <w:rtl/>
        </w:rPr>
        <w:t xml:space="preserve">**الأسباب**: ضعف التخطيط، نقص الموارد، عقبات تنظيمية.</w:t>
      </w:r>
    </w:p>
    <w:p>
      <w:pPr>
        <w:pStyle w:val="ListParagraph"/>
        <w:numPr>
          <w:ilvl w:val="0"/>
          <w:numId w:val="2"/>
        </w:numPr>
        <w:bidi/>
        <w:spacing w:after="100" w:line="300"/>
        <w:jc w:val="right"/>
      </w:pPr>
      <w:r>
        <w:rPr>
          <w:rFonts w:ascii="Arial" w:cs="Arial" w:eastAsia="Arial" w:hAnsi="Arial"/>
          <w:sz w:val="24"/>
          <w:szCs w:val="24"/>
          <w:rtl/>
        </w:rPr>
        <w:t xml:space="preserve">**الحلول**: خطة تنفيذ مفصّلة، تخصيص موارد كافية، متابعة لصيقة.</w:t>
      </w:r>
    </w:p>
    <w:p>
      <w:pPr>
        <w:pStyle w:val="Heading2"/>
        <w:bidi/>
        <w:spacing w:after="160" w:before="280"/>
        <w:jc w:val="right"/>
      </w:pPr>
      <w:r>
        <w:rPr>
          <w:rFonts w:ascii="Arial" w:cs="Arial" w:eastAsia="Arial" w:hAnsi="Arial"/>
          <w:b/>
          <w:bCs/>
          <w:color w:val="2E75B6"/>
          <w:sz w:val="30"/>
          <w:szCs w:val="30"/>
          <w:rtl/>
        </w:rPr>
        <w:t xml:space="preserve">2. عقبات تنظيمية</w:t>
      </w:r>
    </w:p>
    <w:p>
      <w:pPr>
        <w:pStyle w:val="ListParagraph"/>
        <w:numPr>
          <w:ilvl w:val="0"/>
          <w:numId w:val="2"/>
        </w:numPr>
        <w:bidi/>
        <w:spacing w:after="100" w:line="300"/>
        <w:jc w:val="right"/>
      </w:pPr>
      <w:r>
        <w:rPr>
          <w:rFonts w:ascii="Arial" w:cs="Arial" w:eastAsia="Arial" w:hAnsi="Arial"/>
          <w:sz w:val="24"/>
          <w:szCs w:val="24"/>
          <w:rtl/>
        </w:rPr>
        <w:t xml:space="preserve">**المشكلة**: تأخر الموافقات من الجهات التنظيمية.</w:t>
      </w:r>
    </w:p>
    <w:p>
      <w:pPr>
        <w:pStyle w:val="ListParagraph"/>
        <w:numPr>
          <w:ilvl w:val="0"/>
          <w:numId w:val="2"/>
        </w:numPr>
        <w:bidi/>
        <w:spacing w:after="100" w:line="300"/>
        <w:jc w:val="right"/>
      </w:pPr>
      <w:r>
        <w:rPr>
          <w:rFonts w:ascii="Arial" w:cs="Arial" w:eastAsia="Arial" w:hAnsi="Arial"/>
          <w:sz w:val="24"/>
          <w:szCs w:val="24"/>
          <w:rtl/>
        </w:rPr>
        <w:t xml:space="preserve">**الحلول**: التواصل المسبق، استكمال الوثائق، المتابعة الدورية.</w:t>
      </w:r>
    </w:p>
    <w:p>
      <w:pPr>
        <w:pStyle w:val="Heading2"/>
        <w:bidi/>
        <w:spacing w:after="160" w:before="280"/>
        <w:jc w:val="right"/>
      </w:pPr>
      <w:r>
        <w:rPr>
          <w:rFonts w:ascii="Arial" w:cs="Arial" w:eastAsia="Arial" w:hAnsi="Arial"/>
          <w:b/>
          <w:bCs/>
          <w:color w:val="2E75B6"/>
          <w:sz w:val="30"/>
          <w:szCs w:val="30"/>
          <w:rtl/>
        </w:rPr>
        <w:t xml:space="preserve">3. اعتراضات المساهمين</w:t>
      </w:r>
    </w:p>
    <w:p>
      <w:pPr>
        <w:pStyle w:val="ListParagraph"/>
        <w:numPr>
          <w:ilvl w:val="0"/>
          <w:numId w:val="2"/>
        </w:numPr>
        <w:bidi/>
        <w:spacing w:after="100" w:line="300"/>
        <w:jc w:val="right"/>
      </w:pPr>
      <w:r>
        <w:rPr>
          <w:rFonts w:ascii="Arial" w:cs="Arial" w:eastAsia="Arial" w:hAnsi="Arial"/>
          <w:sz w:val="24"/>
          <w:szCs w:val="24"/>
          <w:rtl/>
        </w:rPr>
        <w:t xml:space="preserve">**المشكلة**: اعتراضات أو طعون من المساهمين على القرارات.</w:t>
      </w:r>
    </w:p>
    <w:p>
      <w:pPr>
        <w:pStyle w:val="ListParagraph"/>
        <w:numPr>
          <w:ilvl w:val="0"/>
          <w:numId w:val="2"/>
        </w:numPr>
        <w:bidi/>
        <w:spacing w:after="100" w:line="300"/>
        <w:jc w:val="right"/>
      </w:pPr>
      <w:r>
        <w:rPr>
          <w:rFonts w:ascii="Arial" w:cs="Arial" w:eastAsia="Arial" w:hAnsi="Arial"/>
          <w:sz w:val="24"/>
          <w:szCs w:val="24"/>
          <w:rtl/>
        </w:rPr>
        <w:t xml:space="preserve">**الحلول**: الشفافية، التواصل، الاستجابة السريعة، الدفاع القانوني عند الحاجة.</w:t>
      </w:r>
    </w:p>
    <w:p>
      <w:pPr>
        <w:pStyle w:val="Heading2"/>
        <w:bidi/>
        <w:spacing w:after="160" w:before="280"/>
        <w:jc w:val="right"/>
      </w:pPr>
      <w:r>
        <w:rPr>
          <w:rFonts w:ascii="Arial" w:cs="Arial" w:eastAsia="Arial" w:hAnsi="Arial"/>
          <w:b/>
          <w:bCs/>
          <w:color w:val="2E75B6"/>
          <w:sz w:val="30"/>
          <w:szCs w:val="30"/>
          <w:rtl/>
        </w:rPr>
        <w:t xml:space="preserve">4. تغير الظروف</w:t>
      </w:r>
    </w:p>
    <w:p>
      <w:pPr>
        <w:pStyle w:val="ListParagraph"/>
        <w:numPr>
          <w:ilvl w:val="0"/>
          <w:numId w:val="2"/>
        </w:numPr>
        <w:bidi/>
        <w:spacing w:after="100" w:line="300"/>
        <w:jc w:val="right"/>
      </w:pPr>
      <w:r>
        <w:rPr>
          <w:rFonts w:ascii="Arial" w:cs="Arial" w:eastAsia="Arial" w:hAnsi="Arial"/>
          <w:sz w:val="24"/>
          <w:szCs w:val="24"/>
          <w:rtl/>
        </w:rPr>
        <w:t xml:space="preserve">**المشكلة**: تغير الظروف الاقتصادية أو التشغيلية يُؤثر على التنفيذ.</w:t>
      </w:r>
    </w:p>
    <w:p>
      <w:pPr>
        <w:pStyle w:val="ListParagraph"/>
        <w:numPr>
          <w:ilvl w:val="0"/>
          <w:numId w:val="2"/>
        </w:numPr>
        <w:bidi/>
        <w:spacing w:after="100" w:line="300"/>
        <w:jc w:val="right"/>
      </w:pPr>
      <w:r>
        <w:rPr>
          <w:rFonts w:ascii="Arial" w:cs="Arial" w:eastAsia="Arial" w:hAnsi="Arial"/>
          <w:sz w:val="24"/>
          <w:szCs w:val="24"/>
          <w:rtl/>
        </w:rPr>
        <w:t xml:space="preserve">**الحلول**: المرونة في الخطط، تقييم دوري، الإفصاح عن أي تعديلات.</w:t>
      </w:r>
    </w:p>
    <w:p>
      <w:pPr>
        <w:pStyle w:val="Heading2"/>
        <w:bidi/>
        <w:spacing w:after="160" w:before="280"/>
        <w:jc w:val="right"/>
      </w:pPr>
      <w:r>
        <w:rPr>
          <w:rFonts w:ascii="Arial" w:cs="Arial" w:eastAsia="Arial" w:hAnsi="Arial"/>
          <w:b/>
          <w:bCs/>
          <w:color w:val="2E75B6"/>
          <w:sz w:val="30"/>
          <w:szCs w:val="30"/>
          <w:rtl/>
        </w:rPr>
        <w:t xml:space="preserve">5. ضعف التنسيق</w:t>
      </w:r>
    </w:p>
    <w:p>
      <w:pPr>
        <w:pStyle w:val="ListParagraph"/>
        <w:numPr>
          <w:ilvl w:val="0"/>
          <w:numId w:val="2"/>
        </w:numPr>
        <w:bidi/>
        <w:spacing w:after="100" w:line="300"/>
        <w:jc w:val="right"/>
      </w:pPr>
      <w:r>
        <w:rPr>
          <w:rFonts w:ascii="Arial" w:cs="Arial" w:eastAsia="Arial" w:hAnsi="Arial"/>
          <w:sz w:val="24"/>
          <w:szCs w:val="24"/>
          <w:rtl/>
        </w:rPr>
        <w:t xml:space="preserve">**المشكلة**: ضعف التنسيق بين الإدارات.</w:t>
      </w:r>
    </w:p>
    <w:p>
      <w:pPr>
        <w:pStyle w:val="ListParagraph"/>
        <w:numPr>
          <w:ilvl w:val="0"/>
          <w:numId w:val="2"/>
        </w:numPr>
        <w:bidi/>
        <w:spacing w:after="100" w:line="300"/>
        <w:jc w:val="right"/>
      </w:pPr>
      <w:r>
        <w:rPr>
          <w:rFonts w:ascii="Arial" w:cs="Arial" w:eastAsia="Arial" w:hAnsi="Arial"/>
          <w:sz w:val="24"/>
          <w:szCs w:val="24"/>
          <w:rtl/>
        </w:rPr>
        <w:t xml:space="preserve">**الحلول**: تشكيل لجنة تنفيذية، اجتماعات منتظمة، أدوات إدارة المشاريع.</w:t>
      </w:r>
    </w:p>
    <w:p>
      <w:pPr>
        <w:pStyle w:val="Heading2"/>
        <w:bidi/>
        <w:spacing w:after="160" w:before="280"/>
        <w:jc w:val="right"/>
      </w:pPr>
      <w:r>
        <w:rPr>
          <w:rFonts w:ascii="Arial" w:cs="Arial" w:eastAsia="Arial" w:hAnsi="Arial"/>
          <w:b/>
          <w:bCs/>
          <w:color w:val="2E75B6"/>
          <w:sz w:val="30"/>
          <w:szCs w:val="30"/>
          <w:rtl/>
        </w:rPr>
        <w:t xml:space="preserve">6. تكاليف غير متوقعة</w:t>
      </w:r>
    </w:p>
    <w:p>
      <w:pPr>
        <w:pStyle w:val="ListParagraph"/>
        <w:numPr>
          <w:ilvl w:val="0"/>
          <w:numId w:val="2"/>
        </w:numPr>
        <w:bidi/>
        <w:spacing w:after="100" w:line="300"/>
        <w:jc w:val="right"/>
      </w:pPr>
      <w:r>
        <w:rPr>
          <w:rFonts w:ascii="Arial" w:cs="Arial" w:eastAsia="Arial" w:hAnsi="Arial"/>
          <w:sz w:val="24"/>
          <w:szCs w:val="24"/>
          <w:rtl/>
        </w:rPr>
        <w:t xml:space="preserve">**المشكلة**: تجاوز التكاليف المتوقعة.</w:t>
      </w:r>
    </w:p>
    <w:p>
      <w:pPr>
        <w:pStyle w:val="ListParagraph"/>
        <w:numPr>
          <w:ilvl w:val="0"/>
          <w:numId w:val="2"/>
        </w:numPr>
        <w:bidi/>
        <w:spacing w:after="100" w:line="300"/>
        <w:jc w:val="right"/>
      </w:pPr>
      <w:r>
        <w:rPr>
          <w:rFonts w:ascii="Arial" w:cs="Arial" w:eastAsia="Arial" w:hAnsi="Arial"/>
          <w:sz w:val="24"/>
          <w:szCs w:val="24"/>
          <w:rtl/>
        </w:rPr>
        <w:t xml:space="preserve">**الحلول**: ميزانية احتياطية، مراقبة دقيقة، إفصاح للمساهمين عند الحاجة.</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عاشراً: أفضل الممارسات</w:t>
      </w:r>
    </w:p>
    <w:p>
      <w:pPr>
        <w:pStyle w:val="ListParagraph"/>
        <w:numPr>
          <w:ilvl w:val="0"/>
          <w:numId w:val="3"/>
        </w:numPr>
        <w:bidi/>
        <w:spacing w:after="100" w:line="300"/>
        <w:jc w:val="right"/>
      </w:pPr>
      <w:r>
        <w:rPr>
          <w:rFonts w:ascii="Arial" w:cs="Arial" w:eastAsia="Arial" w:hAnsi="Arial"/>
          <w:sz w:val="24"/>
          <w:szCs w:val="24"/>
          <w:rtl/>
        </w:rPr>
        <w:t xml:space="preserve">**التخطيط المسبق**: إعداد خطة تنفيذ قبل الجمعية للقرارات المتوقعة.</w:t>
      </w:r>
    </w:p>
    <w:p>
      <w:pPr>
        <w:pStyle w:val="ListParagraph"/>
        <w:numPr>
          <w:ilvl w:val="0"/>
          <w:numId w:val="3"/>
        </w:numPr>
        <w:bidi/>
        <w:spacing w:after="100" w:line="300"/>
        <w:jc w:val="right"/>
      </w:pPr>
      <w:r>
        <w:rPr>
          <w:rFonts w:ascii="Arial" w:cs="Arial" w:eastAsia="Arial" w:hAnsi="Arial"/>
          <w:sz w:val="24"/>
          <w:szCs w:val="24"/>
          <w:rtl/>
        </w:rPr>
        <w:t xml:space="preserve">**السرعة في الإفصاح**: الإفصاح الفوري عن نتائج الجمعية.</w:t>
      </w:r>
    </w:p>
    <w:p>
      <w:pPr>
        <w:pStyle w:val="ListParagraph"/>
        <w:numPr>
          <w:ilvl w:val="0"/>
          <w:numId w:val="3"/>
        </w:numPr>
        <w:bidi/>
        <w:spacing w:after="100" w:line="300"/>
        <w:jc w:val="right"/>
      </w:pPr>
      <w:r>
        <w:rPr>
          <w:rFonts w:ascii="Arial" w:cs="Arial" w:eastAsia="Arial" w:hAnsi="Arial"/>
          <w:sz w:val="24"/>
          <w:szCs w:val="24"/>
          <w:rtl/>
        </w:rPr>
        <w:t xml:space="preserve">**التواصل المستمر**: مع المساهمين، الجهات التنظيمية، والإدارة.</w:t>
      </w:r>
    </w:p>
    <w:p>
      <w:pPr>
        <w:pStyle w:val="ListParagraph"/>
        <w:numPr>
          <w:ilvl w:val="0"/>
          <w:numId w:val="3"/>
        </w:numPr>
        <w:bidi/>
        <w:spacing w:after="100" w:line="300"/>
        <w:jc w:val="right"/>
      </w:pPr>
      <w:r>
        <w:rPr>
          <w:rFonts w:ascii="Arial" w:cs="Arial" w:eastAsia="Arial" w:hAnsi="Arial"/>
          <w:sz w:val="24"/>
          <w:szCs w:val="24"/>
          <w:rtl/>
        </w:rPr>
        <w:t xml:space="preserve">**التوثيق الشامل**: لكل خطوة من خطوات التنفيذ.</w:t>
      </w:r>
    </w:p>
    <w:p>
      <w:pPr>
        <w:pStyle w:val="ListParagraph"/>
        <w:numPr>
          <w:ilvl w:val="0"/>
          <w:numId w:val="3"/>
        </w:numPr>
        <w:bidi/>
        <w:spacing w:after="100" w:line="300"/>
        <w:jc w:val="right"/>
      </w:pPr>
      <w:r>
        <w:rPr>
          <w:rFonts w:ascii="Arial" w:cs="Arial" w:eastAsia="Arial" w:hAnsi="Arial"/>
          <w:sz w:val="24"/>
          <w:szCs w:val="24"/>
          <w:rtl/>
        </w:rPr>
        <w:t xml:space="preserve">**المتابعة الدورية**: اجتماعات منتظمة لمتابعة التقدم.</w:t>
      </w:r>
    </w:p>
    <w:p>
      <w:pPr>
        <w:pStyle w:val="ListParagraph"/>
        <w:numPr>
          <w:ilvl w:val="0"/>
          <w:numId w:val="3"/>
        </w:numPr>
        <w:bidi/>
        <w:spacing w:after="100" w:line="300"/>
        <w:jc w:val="right"/>
      </w:pPr>
      <w:r>
        <w:rPr>
          <w:rFonts w:ascii="Arial" w:cs="Arial" w:eastAsia="Arial" w:hAnsi="Arial"/>
          <w:sz w:val="24"/>
          <w:szCs w:val="24"/>
          <w:rtl/>
        </w:rPr>
        <w:t xml:space="preserve">**المؤشرات الواضحة**: قياس الأداء بمؤشرات محددة.</w:t>
      </w:r>
    </w:p>
    <w:p>
      <w:pPr>
        <w:pStyle w:val="ListParagraph"/>
        <w:numPr>
          <w:ilvl w:val="0"/>
          <w:numId w:val="3"/>
        </w:numPr>
        <w:bidi/>
        <w:spacing w:after="100" w:line="300"/>
        <w:jc w:val="right"/>
      </w:pPr>
      <w:r>
        <w:rPr>
          <w:rFonts w:ascii="Arial" w:cs="Arial" w:eastAsia="Arial" w:hAnsi="Arial"/>
          <w:sz w:val="24"/>
          <w:szCs w:val="24"/>
          <w:rtl/>
        </w:rPr>
        <w:t xml:space="preserve">**المرونة المنضبطة**: التكيف مع المستجدات دون الإخلال بالأهداف.</w:t>
      </w:r>
    </w:p>
    <w:p>
      <w:pPr>
        <w:pStyle w:val="ListParagraph"/>
        <w:numPr>
          <w:ilvl w:val="0"/>
          <w:numId w:val="3"/>
        </w:numPr>
        <w:bidi/>
        <w:spacing w:after="100" w:line="300"/>
        <w:jc w:val="right"/>
      </w:pPr>
      <w:r>
        <w:rPr>
          <w:rFonts w:ascii="Arial" w:cs="Arial" w:eastAsia="Arial" w:hAnsi="Arial"/>
          <w:sz w:val="24"/>
          <w:szCs w:val="24"/>
          <w:rtl/>
        </w:rPr>
        <w:t xml:space="preserve">**الشفافية الكاملة**: مع كل الأطراف.</w:t>
      </w:r>
    </w:p>
    <w:p>
      <w:pPr>
        <w:pStyle w:val="ListParagraph"/>
        <w:numPr>
          <w:ilvl w:val="0"/>
          <w:numId w:val="3"/>
        </w:numPr>
        <w:bidi/>
        <w:spacing w:after="100" w:line="300"/>
        <w:jc w:val="right"/>
      </w:pPr>
      <w:r>
        <w:rPr>
          <w:rFonts w:ascii="Arial" w:cs="Arial" w:eastAsia="Arial" w:hAnsi="Arial"/>
          <w:sz w:val="24"/>
          <w:szCs w:val="24"/>
          <w:rtl/>
        </w:rPr>
        <w:t xml:space="preserve">**الاستفادة من الدروس**: التعلم من التجارب للجمعيات القادمة.</w:t>
      </w:r>
    </w:p>
    <w:p>
      <w:pPr>
        <w:pStyle w:val="ListParagraph"/>
        <w:numPr>
          <w:ilvl w:val="0"/>
          <w:numId w:val="3"/>
        </w:numPr>
        <w:bidi/>
        <w:spacing w:after="100" w:line="300"/>
        <w:jc w:val="right"/>
      </w:pPr>
      <w:r>
        <w:rPr>
          <w:rFonts w:ascii="Arial" w:cs="Arial" w:eastAsia="Arial" w:hAnsi="Arial"/>
          <w:sz w:val="24"/>
          <w:szCs w:val="24"/>
          <w:rtl/>
        </w:rPr>
        <w:t xml:space="preserve">**التطوير المستمر**: تحسين أنظمة التنفيذ باستمرار.</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الحادي عشر: قائمة مراجعة شاملة</w:t>
      </w:r>
    </w:p>
    <w:p>
      <w:pPr>
        <w:pStyle w:val="Heading3"/>
        <w:bidi/>
        <w:spacing w:after="120" w:before="200"/>
        <w:jc w:val="right"/>
      </w:pPr>
      <w:r>
        <w:rPr>
          <w:rFonts w:ascii="Arial" w:cs="Arial" w:eastAsia="Arial" w:hAnsi="Arial"/>
          <w:b/>
          <w:bCs/>
          <w:color w:val="1F4E79"/>
          <w:sz w:val="26"/>
          <w:szCs w:val="26"/>
          <w:rtl/>
        </w:rPr>
        <w:t xml:space="preserve">اليوم الأول (يوم الجمعية)</w:t>
      </w:r>
    </w:p>
    <w:p>
      <w:pPr>
        <w:pStyle w:val="ListParagraph"/>
        <w:numPr>
          <w:ilvl w:val="0"/>
          <w:numId w:val="2"/>
        </w:numPr>
        <w:bidi/>
        <w:spacing w:after="100" w:line="300"/>
        <w:jc w:val="right"/>
      </w:pPr>
      <w:r>
        <w:rPr>
          <w:rFonts w:ascii="Arial" w:cs="Arial" w:eastAsia="Arial" w:hAnsi="Arial"/>
          <w:sz w:val="24"/>
          <w:szCs w:val="24"/>
          <w:rtl/>
        </w:rPr>
        <w:t xml:space="preserve">الإفصاح الأولي عن النتائج.</w:t>
      </w:r>
    </w:p>
    <w:p>
      <w:pPr>
        <w:pStyle w:val="ListParagraph"/>
        <w:numPr>
          <w:ilvl w:val="0"/>
          <w:numId w:val="2"/>
        </w:numPr>
        <w:bidi/>
        <w:spacing w:after="100" w:line="300"/>
        <w:jc w:val="right"/>
      </w:pPr>
      <w:r>
        <w:rPr>
          <w:rFonts w:ascii="Arial" w:cs="Arial" w:eastAsia="Arial" w:hAnsi="Arial"/>
          <w:sz w:val="24"/>
          <w:szCs w:val="24"/>
          <w:rtl/>
        </w:rPr>
        <w:t xml:space="preserve">التواصل الداخلي مع الإدارة.</w:t>
      </w:r>
    </w:p>
    <w:p>
      <w:pPr>
        <w:pStyle w:val="ListParagraph"/>
        <w:numPr>
          <w:ilvl w:val="0"/>
          <w:numId w:val="2"/>
        </w:numPr>
        <w:bidi/>
        <w:spacing w:after="100" w:line="300"/>
        <w:jc w:val="right"/>
      </w:pPr>
      <w:r>
        <w:rPr>
          <w:rFonts w:ascii="Arial" w:cs="Arial" w:eastAsia="Arial" w:hAnsi="Arial"/>
          <w:sz w:val="24"/>
          <w:szCs w:val="24"/>
          <w:rtl/>
        </w:rPr>
        <w:t xml:space="preserve">بدء إعداد المحضر.</w:t>
      </w:r>
    </w:p>
    <w:p>
      <w:pPr>
        <w:pStyle w:val="ListParagraph"/>
        <w:numPr>
          <w:ilvl w:val="0"/>
          <w:numId w:val="2"/>
        </w:numPr>
        <w:bidi/>
        <w:spacing w:after="100" w:line="300"/>
        <w:jc w:val="right"/>
      </w:pPr>
      <w:r>
        <w:rPr>
          <w:rFonts w:ascii="Arial" w:cs="Arial" w:eastAsia="Arial" w:hAnsi="Arial"/>
          <w:sz w:val="24"/>
          <w:szCs w:val="24"/>
          <w:rtl/>
        </w:rPr>
        <w:t xml:space="preserve">التحضيرات الأولية للتنفيذ.</w:t>
      </w:r>
    </w:p>
    <w:p>
      <w:pPr>
        <w:pStyle w:val="Heading3"/>
        <w:bidi/>
        <w:spacing w:after="120" w:before="200"/>
        <w:jc w:val="right"/>
      </w:pPr>
      <w:r>
        <w:rPr>
          <w:rFonts w:ascii="Arial" w:cs="Arial" w:eastAsia="Arial" w:hAnsi="Arial"/>
          <w:b/>
          <w:bCs/>
          <w:color w:val="1F4E79"/>
          <w:sz w:val="26"/>
          <w:szCs w:val="26"/>
          <w:rtl/>
        </w:rPr>
        <w:t xml:space="preserve">الأسبوع الأول</w:t>
      </w:r>
    </w:p>
    <w:p>
      <w:pPr>
        <w:pStyle w:val="ListParagraph"/>
        <w:numPr>
          <w:ilvl w:val="0"/>
          <w:numId w:val="2"/>
        </w:numPr>
        <w:bidi/>
        <w:spacing w:after="100" w:line="300"/>
        <w:jc w:val="right"/>
      </w:pPr>
      <w:r>
        <w:rPr>
          <w:rFonts w:ascii="Arial" w:cs="Arial" w:eastAsia="Arial" w:hAnsi="Arial"/>
          <w:sz w:val="24"/>
          <w:szCs w:val="24"/>
          <w:rtl/>
        </w:rPr>
        <w:t xml:space="preserve">استكمال المحضر النهائي.</w:t>
      </w:r>
    </w:p>
    <w:p>
      <w:pPr>
        <w:pStyle w:val="ListParagraph"/>
        <w:numPr>
          <w:ilvl w:val="0"/>
          <w:numId w:val="2"/>
        </w:numPr>
        <w:bidi/>
        <w:spacing w:after="100" w:line="300"/>
        <w:jc w:val="right"/>
      </w:pPr>
      <w:r>
        <w:rPr>
          <w:rFonts w:ascii="Arial" w:cs="Arial" w:eastAsia="Arial" w:hAnsi="Arial"/>
          <w:sz w:val="24"/>
          <w:szCs w:val="24"/>
          <w:rtl/>
        </w:rPr>
        <w:t xml:space="preserve">الحصول على التوقيعات.</w:t>
      </w:r>
    </w:p>
    <w:p>
      <w:pPr>
        <w:pStyle w:val="ListParagraph"/>
        <w:numPr>
          <w:ilvl w:val="0"/>
          <w:numId w:val="2"/>
        </w:numPr>
        <w:bidi/>
        <w:spacing w:after="100" w:line="300"/>
        <w:jc w:val="right"/>
      </w:pPr>
      <w:r>
        <w:rPr>
          <w:rFonts w:ascii="Arial" w:cs="Arial" w:eastAsia="Arial" w:hAnsi="Arial"/>
          <w:sz w:val="24"/>
          <w:szCs w:val="24"/>
          <w:rtl/>
        </w:rPr>
        <w:t xml:space="preserve">نشر المحضر الكامل.</w:t>
      </w:r>
    </w:p>
    <w:p>
      <w:pPr>
        <w:pStyle w:val="ListParagraph"/>
        <w:numPr>
          <w:ilvl w:val="0"/>
          <w:numId w:val="2"/>
        </w:numPr>
        <w:bidi/>
        <w:spacing w:after="100" w:line="300"/>
        <w:jc w:val="right"/>
      </w:pPr>
      <w:r>
        <w:rPr>
          <w:rFonts w:ascii="Arial" w:cs="Arial" w:eastAsia="Arial" w:hAnsi="Arial"/>
          <w:sz w:val="24"/>
          <w:szCs w:val="24"/>
          <w:rtl/>
        </w:rPr>
        <w:t xml:space="preserve">بدء الإجراءات الفورية.</w:t>
      </w:r>
    </w:p>
    <w:p>
      <w:pPr>
        <w:pStyle w:val="ListParagraph"/>
        <w:numPr>
          <w:ilvl w:val="0"/>
          <w:numId w:val="2"/>
        </w:numPr>
        <w:bidi/>
        <w:spacing w:after="100" w:line="300"/>
        <w:jc w:val="right"/>
      </w:pPr>
      <w:r>
        <w:rPr>
          <w:rFonts w:ascii="Arial" w:cs="Arial" w:eastAsia="Arial" w:hAnsi="Arial"/>
          <w:sz w:val="24"/>
          <w:szCs w:val="24"/>
          <w:rtl/>
        </w:rPr>
        <w:t xml:space="preserve">التواصل مع الجهات التنظيمية.</w:t>
      </w:r>
    </w:p>
    <w:p>
      <w:pPr>
        <w:pStyle w:val="Heading3"/>
        <w:bidi/>
        <w:spacing w:after="120" w:before="200"/>
        <w:jc w:val="right"/>
      </w:pPr>
      <w:r>
        <w:rPr>
          <w:rFonts w:ascii="Arial" w:cs="Arial" w:eastAsia="Arial" w:hAnsi="Arial"/>
          <w:b/>
          <w:bCs/>
          <w:color w:val="1F4E79"/>
          <w:sz w:val="26"/>
          <w:szCs w:val="26"/>
          <w:rtl/>
        </w:rPr>
        <w:t xml:space="preserve">الشهر الأول</w:t>
      </w:r>
    </w:p>
    <w:p>
      <w:pPr>
        <w:pStyle w:val="ListParagraph"/>
        <w:numPr>
          <w:ilvl w:val="0"/>
          <w:numId w:val="2"/>
        </w:numPr>
        <w:bidi/>
        <w:spacing w:after="100" w:line="300"/>
        <w:jc w:val="right"/>
      </w:pPr>
      <w:r>
        <w:rPr>
          <w:rFonts w:ascii="Arial" w:cs="Arial" w:eastAsia="Arial" w:hAnsi="Arial"/>
          <w:sz w:val="24"/>
          <w:szCs w:val="24"/>
          <w:rtl/>
        </w:rPr>
        <w:t xml:space="preserve">تنفيذ التوزيعات.</w:t>
      </w:r>
    </w:p>
    <w:p>
      <w:pPr>
        <w:pStyle w:val="ListParagraph"/>
        <w:numPr>
          <w:ilvl w:val="0"/>
          <w:numId w:val="2"/>
        </w:numPr>
        <w:bidi/>
        <w:spacing w:after="100" w:line="300"/>
        <w:jc w:val="right"/>
      </w:pPr>
      <w:r>
        <w:rPr>
          <w:rFonts w:ascii="Arial" w:cs="Arial" w:eastAsia="Arial" w:hAnsi="Arial"/>
          <w:sz w:val="24"/>
          <w:szCs w:val="24"/>
          <w:rtl/>
        </w:rPr>
        <w:t xml:space="preserve">القيد لدى السجل التجاري.</w:t>
      </w:r>
    </w:p>
    <w:p>
      <w:pPr>
        <w:pStyle w:val="ListParagraph"/>
        <w:numPr>
          <w:ilvl w:val="0"/>
          <w:numId w:val="2"/>
        </w:numPr>
        <w:bidi/>
        <w:spacing w:after="100" w:line="300"/>
        <w:jc w:val="right"/>
      </w:pPr>
      <w:r>
        <w:rPr>
          <w:rFonts w:ascii="Arial" w:cs="Arial" w:eastAsia="Arial" w:hAnsi="Arial"/>
          <w:sz w:val="24"/>
          <w:szCs w:val="24"/>
          <w:rtl/>
        </w:rPr>
        <w:t xml:space="preserve">تحديث النظام الأساس.</w:t>
      </w:r>
    </w:p>
    <w:p>
      <w:pPr>
        <w:pStyle w:val="ListParagraph"/>
        <w:numPr>
          <w:ilvl w:val="0"/>
          <w:numId w:val="2"/>
        </w:numPr>
        <w:bidi/>
        <w:spacing w:after="100" w:line="300"/>
        <w:jc w:val="right"/>
      </w:pPr>
      <w:r>
        <w:rPr>
          <w:rFonts w:ascii="Arial" w:cs="Arial" w:eastAsia="Arial" w:hAnsi="Arial"/>
          <w:sz w:val="24"/>
          <w:szCs w:val="24"/>
          <w:rtl/>
        </w:rPr>
        <w:t xml:space="preserve">تنفيذ القرارات الإدارية.</w:t>
      </w:r>
    </w:p>
    <w:p>
      <w:pPr>
        <w:pStyle w:val="ListParagraph"/>
        <w:numPr>
          <w:ilvl w:val="0"/>
          <w:numId w:val="2"/>
        </w:numPr>
        <w:bidi/>
        <w:spacing w:after="100" w:line="300"/>
        <w:jc w:val="right"/>
      </w:pPr>
      <w:r>
        <w:rPr>
          <w:rFonts w:ascii="Arial" w:cs="Arial" w:eastAsia="Arial" w:hAnsi="Arial"/>
          <w:sz w:val="24"/>
          <w:szCs w:val="24"/>
          <w:rtl/>
        </w:rPr>
        <w:t xml:space="preserve">التواصل مع المساهمين.</w:t>
      </w:r>
    </w:p>
    <w:p>
      <w:pPr>
        <w:pStyle w:val="Heading3"/>
        <w:bidi/>
        <w:spacing w:after="120" w:before="200"/>
        <w:jc w:val="right"/>
      </w:pPr>
      <w:r>
        <w:rPr>
          <w:rFonts w:ascii="Arial" w:cs="Arial" w:eastAsia="Arial" w:hAnsi="Arial"/>
          <w:b/>
          <w:bCs/>
          <w:color w:val="1F4E79"/>
          <w:sz w:val="26"/>
          <w:szCs w:val="26"/>
          <w:rtl/>
        </w:rPr>
        <w:t xml:space="preserve">الأشهر التالية</w:t>
      </w:r>
    </w:p>
    <w:p>
      <w:pPr>
        <w:pStyle w:val="ListParagraph"/>
        <w:numPr>
          <w:ilvl w:val="0"/>
          <w:numId w:val="2"/>
        </w:numPr>
        <w:bidi/>
        <w:spacing w:after="100" w:line="300"/>
        <w:jc w:val="right"/>
      </w:pPr>
      <w:r>
        <w:rPr>
          <w:rFonts w:ascii="Arial" w:cs="Arial" w:eastAsia="Arial" w:hAnsi="Arial"/>
          <w:sz w:val="24"/>
          <w:szCs w:val="24"/>
          <w:rtl/>
        </w:rPr>
        <w:t xml:space="preserve">تنفيذ القرارات الكبرى.</w:t>
      </w:r>
    </w:p>
    <w:p>
      <w:pPr>
        <w:pStyle w:val="ListParagraph"/>
        <w:numPr>
          <w:ilvl w:val="0"/>
          <w:numId w:val="2"/>
        </w:numPr>
        <w:bidi/>
        <w:spacing w:after="100" w:line="300"/>
        <w:jc w:val="right"/>
      </w:pPr>
      <w:r>
        <w:rPr>
          <w:rFonts w:ascii="Arial" w:cs="Arial" w:eastAsia="Arial" w:hAnsi="Arial"/>
          <w:sz w:val="24"/>
          <w:szCs w:val="24"/>
          <w:rtl/>
        </w:rPr>
        <w:t xml:space="preserve">المتابعة الدورية.</w:t>
      </w:r>
    </w:p>
    <w:p>
      <w:pPr>
        <w:pStyle w:val="ListParagraph"/>
        <w:numPr>
          <w:ilvl w:val="0"/>
          <w:numId w:val="2"/>
        </w:numPr>
        <w:bidi/>
        <w:spacing w:after="100" w:line="300"/>
        <w:jc w:val="right"/>
      </w:pPr>
      <w:r>
        <w:rPr>
          <w:rFonts w:ascii="Arial" w:cs="Arial" w:eastAsia="Arial" w:hAnsi="Arial"/>
          <w:sz w:val="24"/>
          <w:szCs w:val="24"/>
          <w:rtl/>
        </w:rPr>
        <w:t xml:space="preserve">التقارير المرحلية.</w:t>
      </w:r>
    </w:p>
    <w:p>
      <w:pPr>
        <w:pStyle w:val="ListParagraph"/>
        <w:numPr>
          <w:ilvl w:val="0"/>
          <w:numId w:val="2"/>
        </w:numPr>
        <w:bidi/>
        <w:spacing w:after="100" w:line="300"/>
        <w:jc w:val="right"/>
      </w:pPr>
      <w:r>
        <w:rPr>
          <w:rFonts w:ascii="Arial" w:cs="Arial" w:eastAsia="Arial" w:hAnsi="Arial"/>
          <w:sz w:val="24"/>
          <w:szCs w:val="24"/>
          <w:rtl/>
        </w:rPr>
        <w:t xml:space="preserve">معالجة العقبات.</w:t>
      </w:r>
    </w:p>
    <w:p>
      <w:pPr>
        <w:pStyle w:val="ListParagraph"/>
        <w:numPr>
          <w:ilvl w:val="0"/>
          <w:numId w:val="2"/>
        </w:numPr>
        <w:bidi/>
        <w:spacing w:after="100" w:line="300"/>
        <w:jc w:val="right"/>
      </w:pPr>
      <w:r>
        <w:rPr>
          <w:rFonts w:ascii="Arial" w:cs="Arial" w:eastAsia="Arial" w:hAnsi="Arial"/>
          <w:sz w:val="24"/>
          <w:szCs w:val="24"/>
          <w:rtl/>
        </w:rPr>
        <w:t xml:space="preserve">التحضير للجمعية القادمة.</w:t>
      </w:r>
    </w:p>
    <w:p>
      <w:pPr>
        <w:pStyle w:val="Heading3"/>
        <w:bidi/>
        <w:spacing w:after="120" w:before="200"/>
        <w:jc w:val="right"/>
      </w:pPr>
      <w:r>
        <w:rPr>
          <w:rFonts w:ascii="Arial" w:cs="Arial" w:eastAsia="Arial" w:hAnsi="Arial"/>
          <w:b/>
          <w:bCs/>
          <w:color w:val="1F4E79"/>
          <w:sz w:val="26"/>
          <w:szCs w:val="26"/>
          <w:rtl/>
        </w:rPr>
        <w:t xml:space="preserve">التقييم النهائي</w:t>
      </w:r>
    </w:p>
    <w:p>
      <w:pPr>
        <w:pStyle w:val="ListParagraph"/>
        <w:numPr>
          <w:ilvl w:val="0"/>
          <w:numId w:val="2"/>
        </w:numPr>
        <w:bidi/>
        <w:spacing w:after="100" w:line="300"/>
        <w:jc w:val="right"/>
      </w:pPr>
      <w:r>
        <w:rPr>
          <w:rFonts w:ascii="Arial" w:cs="Arial" w:eastAsia="Arial" w:hAnsi="Arial"/>
          <w:sz w:val="24"/>
          <w:szCs w:val="24"/>
          <w:rtl/>
        </w:rPr>
        <w:t xml:space="preserve">مراجعة شاملة للتنفيذ.</w:t>
      </w:r>
    </w:p>
    <w:p>
      <w:pPr>
        <w:pStyle w:val="ListParagraph"/>
        <w:numPr>
          <w:ilvl w:val="0"/>
          <w:numId w:val="2"/>
        </w:numPr>
        <w:bidi/>
        <w:spacing w:after="100" w:line="300"/>
        <w:jc w:val="right"/>
      </w:pPr>
      <w:r>
        <w:rPr>
          <w:rFonts w:ascii="Arial" w:cs="Arial" w:eastAsia="Arial" w:hAnsi="Arial"/>
          <w:sz w:val="24"/>
          <w:szCs w:val="24"/>
          <w:rtl/>
        </w:rPr>
        <w:t xml:space="preserve">استخلاص الدروس.</w:t>
      </w:r>
    </w:p>
    <w:p>
      <w:pPr>
        <w:pStyle w:val="ListParagraph"/>
        <w:numPr>
          <w:ilvl w:val="0"/>
          <w:numId w:val="2"/>
        </w:numPr>
        <w:bidi/>
        <w:spacing w:after="100" w:line="300"/>
        <w:jc w:val="right"/>
      </w:pPr>
      <w:r>
        <w:rPr>
          <w:rFonts w:ascii="Arial" w:cs="Arial" w:eastAsia="Arial" w:hAnsi="Arial"/>
          <w:sz w:val="24"/>
          <w:szCs w:val="24"/>
          <w:rtl/>
        </w:rPr>
        <w:t xml:space="preserve">التقرير للجمعية القادمة.</w:t>
      </w:r>
    </w:p>
    <w:p>
      <w:pPr>
        <w:pStyle w:val="ListParagraph"/>
        <w:numPr>
          <w:ilvl w:val="0"/>
          <w:numId w:val="2"/>
        </w:numPr>
        <w:bidi/>
        <w:spacing w:after="100" w:line="300"/>
        <w:jc w:val="right"/>
      </w:pPr>
      <w:r>
        <w:rPr>
          <w:rFonts w:ascii="Arial" w:cs="Arial" w:eastAsia="Arial" w:hAnsi="Arial"/>
          <w:sz w:val="24"/>
          <w:szCs w:val="24"/>
          <w:rtl/>
        </w:rPr>
        <w:t xml:space="preserve">تطوير الإجراءات.</w:t>
      </w:r>
    </w:p>
    <w:p>
      <w:pPr>
        <w:spacing w:after="80"/>
      </w:pPr>
      <w:r>
        <w:rPr>
          <w:sz w:val="16"/>
          <w:szCs w:val="16"/>
        </w:rPr>
        <w:t xml:space="preserve"/>
      </w:r>
    </w:p>
    <w:p>
      <w:pPr>
        <w:pStyle w:val="Heading1"/>
        <w:bidi/>
        <w:spacing w:after="200" w:before="360"/>
        <w:jc w:val="right"/>
      </w:pPr>
      <w:r>
        <w:rPr>
          <w:rFonts w:ascii="Arial" w:cs="Arial" w:eastAsia="Arial" w:hAnsi="Arial"/>
          <w:b/>
          <w:bCs/>
          <w:color w:val="1F4E79"/>
          <w:sz w:val="36"/>
          <w:szCs w:val="36"/>
          <w:rtl/>
        </w:rPr>
        <w:t xml:space="preserve">الخلاصة والنقاط الرئيسية</w:t>
      </w:r>
    </w:p>
    <w:p>
      <w:pPr>
        <w:bidi/>
        <w:spacing w:after="140" w:line="320"/>
        <w:jc w:val="both"/>
      </w:pPr>
      <w:r>
        <w:rPr>
          <w:rFonts w:ascii="Arial" w:cs="Arial" w:eastAsia="Arial" w:hAnsi="Arial"/>
          <w:sz w:val="24"/>
          <w:szCs w:val="24"/>
          <w:rtl/>
        </w:rPr>
        <w:t xml:space="preserve">تنفيذ قرارات الجمعية العمومية هو المرحلة التي تُحوّل القرارات النظرية إلى واقع تطبيقي. وهي مرحلة دقيقة تستوجب تخطيطاً محكماً، تنسيقاً بين أطراف متعددة، متابعة مستمرة، وشفافية كاملة. والشركات الناجحة لا تنظر إلى انتهاء الجمعية كنهاية المهمة، بل كبدايتها.</w:t>
      </w:r>
    </w:p>
    <w:p>
      <w:pPr>
        <w:bidi/>
        <w:spacing w:after="140" w:line="320"/>
        <w:jc w:val="both"/>
      </w:pPr>
      <w:r>
        <w:rPr>
          <w:rFonts w:ascii="Arial" w:cs="Arial" w:eastAsia="Arial" w:hAnsi="Arial"/>
          <w:sz w:val="24"/>
          <w:szCs w:val="24"/>
          <w:rtl/>
        </w:rPr>
        <w:t xml:space="preserve">الإفصاح الفوري، التواصل المستمر، التوثيق الشامل، والمتابعة الدورية - كل ذلك يُسهم في تنفيذ سلس وفعّال للقرارات. ومع تطور الأدوات التقنية والمنظومات التنظيمية في المملكة العربية السعودية، أصبحت عملية التنفيذ أكثر كفاءة وشفافية. والشركات الرائدة تستثمر في تطوير أنظمتها الداخلية لإدارة هذه المرحلة بمهنية عالية.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FF2CC" w:val="clear"/>
            <w:tcMar>
              <w:top w:type="dxa" w:w="160"/>
              <w:left w:type="dxa" w:w="200"/>
              <w:bottom w:type="dxa" w:w="160"/>
              <w:right w:type="dxa" w:w="200"/>
            </w:tcMar>
          </w:tcPr>
          <w:p>
            <w:pPr>
              <w:bidi/>
              <w:spacing w:after="100"/>
              <w:jc w:val="right"/>
            </w:pPr>
            <w:r>
              <w:rPr>
                <w:rFonts w:ascii="Arial" w:cs="Arial" w:eastAsia="Arial" w:hAnsi="Arial"/>
                <w:b/>
                <w:bCs/>
                <w:color w:val="1F4E79"/>
                <w:sz w:val="26"/>
                <w:szCs w:val="26"/>
                <w:rtl/>
              </w:rPr>
              <w:t xml:space="preserve">🎯 النقاط الجوهرية للحفظ</w:t>
            </w:r>
          </w:p>
          <w:p>
            <w:pPr>
              <w:bidi/>
              <w:spacing w:line="300"/>
              <w:jc w:val="both"/>
            </w:pPr>
            <w:r>
              <w:rPr>
                <w:rFonts w:ascii="Arial" w:cs="Arial" w:eastAsia="Arial" w:hAnsi="Arial"/>
                <w:sz w:val="24"/>
                <w:szCs w:val="24"/>
                <w:rtl/>
              </w:rPr>
              <w:t xml:space="preserve">1) التنفيذ يمر بأربع مراحل: فورية، قصيرة المدى، متوسطة، طويلة. 2) الإفصاح الفوري التزام نظامي للشركات المدرجة. 3) القرارات الجوهرية تُقيّد بالسجل التجاري خلال 15 يوماً. 4) القرارات المالية (التوزيعات) تستوجب تنسيقاً مع إيداع. 5) القرارات الاستراتيجية (الاندماج، التصفية) قد تستغرق أشهراً أو سنوات. 6) التواصل المستمر مع المساهمين والجهات التنظيمية ضرورة. 7) المتابعة الدورية للتنفيذ بمؤشرات أداء واضحة. 8) التقرير للجمعية القادمة عن تنفيذ قرارات الجمعية السابقة من أفضل الممارسات.</w:t>
            </w:r>
          </w:p>
        </w:tc>
      </w:tr>
    </w:tbl>
    <w:p>
      <w:pPr>
        <w:spacing w:after="80"/>
      </w:pPr>
      <w:r>
        <w:rPr>
          <w:sz w:val="16"/>
          <w:szCs w:val="16"/>
        </w:rPr>
        <w:t xml:space="preserve"/>
      </w:r>
    </w:p>
    <w:p>
      <w:pPr>
        <w:spacing w:after="80"/>
      </w:pPr>
      <w:r>
        <w:rPr>
          <w:sz w:val="16"/>
          <w:szCs w:val="16"/>
        </w:rPr>
        <w:t xml:space="preserve"/>
      </w:r>
    </w:p>
    <w:p>
      <w:pPr>
        <w:pStyle w:val="Heading2"/>
        <w:bidi/>
        <w:spacing w:after="160" w:before="280"/>
        <w:jc w:val="right"/>
      </w:pPr>
      <w:r>
        <w:rPr>
          <w:rFonts w:ascii="Arial" w:cs="Arial" w:eastAsia="Arial" w:hAnsi="Arial"/>
          <w:b/>
          <w:bCs/>
          <w:color w:val="2E75B6"/>
          <w:sz w:val="30"/>
          <w:szCs w:val="30"/>
          <w:rtl/>
        </w:rPr>
        <w:t xml:space="preserve">المراجع والمصادر</w:t>
      </w:r>
    </w:p>
    <w:p>
      <w:pPr>
        <w:pStyle w:val="ListParagraph"/>
        <w:numPr>
          <w:ilvl w:val="0"/>
          <w:numId w:val="2"/>
        </w:numPr>
        <w:bidi/>
        <w:spacing w:after="100" w:line="300"/>
        <w:jc w:val="right"/>
      </w:pPr>
      <w:r>
        <w:rPr>
          <w:rFonts w:ascii="Arial" w:cs="Arial" w:eastAsia="Arial" w:hAnsi="Arial"/>
          <w:sz w:val="24"/>
          <w:szCs w:val="24"/>
          <w:rtl/>
        </w:rPr>
        <w:t xml:space="preserve">نظام الشركات السعودي ولائحته التنفيذية.</w:t>
      </w:r>
    </w:p>
    <w:p>
      <w:pPr>
        <w:pStyle w:val="ListParagraph"/>
        <w:numPr>
          <w:ilvl w:val="0"/>
          <w:numId w:val="2"/>
        </w:numPr>
        <w:bidi/>
        <w:spacing w:after="100" w:line="300"/>
        <w:jc w:val="right"/>
      </w:pPr>
      <w:r>
        <w:rPr>
          <w:rFonts w:ascii="Arial" w:cs="Arial" w:eastAsia="Arial" w:hAnsi="Arial"/>
          <w:sz w:val="24"/>
          <w:szCs w:val="24"/>
          <w:rtl/>
        </w:rPr>
        <w:t xml:space="preserve">اللائحة التنفيذية لنظام الشركات الخاصة بشركات المساهمة المدرجة.</w:t>
      </w:r>
    </w:p>
    <w:p>
      <w:pPr>
        <w:pStyle w:val="ListParagraph"/>
        <w:numPr>
          <w:ilvl w:val="0"/>
          <w:numId w:val="2"/>
        </w:numPr>
        <w:bidi/>
        <w:spacing w:after="100" w:line="300"/>
        <w:jc w:val="right"/>
      </w:pPr>
      <w:r>
        <w:rPr>
          <w:rFonts w:ascii="Arial" w:cs="Arial" w:eastAsia="Arial" w:hAnsi="Arial"/>
          <w:sz w:val="24"/>
          <w:szCs w:val="24"/>
          <w:rtl/>
        </w:rPr>
        <w:t xml:space="preserve">لائحة حوكمة الشركات، هيئة السوق المالية.</w:t>
      </w:r>
    </w:p>
    <w:p>
      <w:pPr>
        <w:pStyle w:val="ListParagraph"/>
        <w:numPr>
          <w:ilvl w:val="0"/>
          <w:numId w:val="2"/>
        </w:numPr>
        <w:bidi/>
        <w:spacing w:after="100" w:line="300"/>
        <w:jc w:val="right"/>
      </w:pPr>
      <w:r>
        <w:rPr>
          <w:rFonts w:ascii="Arial" w:cs="Arial" w:eastAsia="Arial" w:hAnsi="Arial"/>
          <w:sz w:val="24"/>
          <w:szCs w:val="24"/>
          <w:rtl/>
        </w:rPr>
        <w:t xml:space="preserve">منصة "إحاطة الوزارة بقرارات الجمعية"، وزارة التجارة.</w:t>
      </w:r>
    </w:p>
    <w:p>
      <w:pPr>
        <w:pStyle w:val="ListParagraph"/>
        <w:numPr>
          <w:ilvl w:val="0"/>
          <w:numId w:val="2"/>
        </w:numPr>
        <w:bidi/>
        <w:spacing w:after="100" w:line="300"/>
        <w:jc w:val="right"/>
      </w:pPr>
      <w:r>
        <w:rPr>
          <w:rFonts w:ascii="Arial" w:cs="Arial" w:eastAsia="Arial" w:hAnsi="Arial"/>
          <w:sz w:val="24"/>
          <w:szCs w:val="24"/>
          <w:rtl/>
        </w:rPr>
        <w:t xml:space="preserve">الموقع الرسمي لشركة مركز إيداع الأوراق المالية (إيداع).</w:t>
      </w:r>
    </w:p>
    <w:p>
      <w:pPr>
        <w:pStyle w:val="ListParagraph"/>
        <w:numPr>
          <w:ilvl w:val="0"/>
          <w:numId w:val="2"/>
        </w:numPr>
        <w:bidi/>
        <w:spacing w:after="100" w:line="300"/>
        <w:jc w:val="right"/>
      </w:pPr>
      <w:r>
        <w:rPr>
          <w:rFonts w:ascii="Arial" w:cs="Arial" w:eastAsia="Arial" w:hAnsi="Arial"/>
          <w:sz w:val="24"/>
          <w:szCs w:val="24"/>
          <w:rtl/>
        </w:rPr>
        <w:t xml:space="preserve">منصة "تداول" - الإفصاح للشركات المدرجة.</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الصفحة </w:t>
      <w:fldChar w:fldCharType="begin"/>
      <w:instrText xml:space="preserve">PAGE</w:instrText>
      <w:fldChar w:fldCharType="separate"/>
      <w:fldChar w:fldCharType="end"/>
      <w:t xml:space="preserve"> من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bidi/>
      <w:jc w:val="center"/>
    </w:pPr>
    <w:r>
      <w:rPr>
        <w:rFonts w:ascii="Arial" w:cs="Arial" w:eastAsia="Arial" w:hAnsi="Arial"/>
        <w:i/>
        <w:iCs/>
        <w:color w:val="808080"/>
        <w:sz w:val="18"/>
        <w:szCs w:val="18"/>
        <w:rtl/>
      </w:rPr>
      <w:t xml:space="preserve">تنفيذ القرارات | المحور الثاني - الجمعيات العمومية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lvl>
    <w:lvl w:ilvl="1" w15:tentative="1">
      <w:start w:val="1"/>
      <w:numFmt w:val="bullet"/>
      <w:lvlText w:val="◦"/>
      <w:lvlJc w:val="right"/>
      <w:pPr>
        <w:ind w:right="1080" w:hanging="360"/>
      </w:pPr>
    </w:lvl>
  </w:abstractNum>
  <w:abstractNum w:abstractNumId="3" w15:restartNumberingAfterBreak="0">
    <w:multiLevelType w:val="hybridMultilevel"/>
    <w:lvl w:ilvl="0" w15:tentative="1">
      <w:start w:val="1"/>
      <w:numFmt w:val="decimal"/>
      <w:lvlText w:val="%1."/>
      <w:lvlJc w:val="right"/>
      <w:pPr>
        <w:ind w:righ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تنفيذ قرارات الجمعية العمومية</dc:title>
  <dc:creator>Corporate Governance Knowledge Base</dc:creator>
  <cp:lastModifiedBy>Un-named</cp:lastModifiedBy>
  <cp:revision>1</cp:revision>
  <dcterms:created xsi:type="dcterms:W3CDTF">2026-05-16T09:31:23.534Z</dcterms:created>
  <dcterms:modified xsi:type="dcterms:W3CDTF">2026-05-16T09:31:23.534Z</dcterms:modified>
</cp:coreProperties>
</file>

<file path=docProps/custom.xml><?xml version="1.0" encoding="utf-8"?>
<Properties xmlns="http://schemas.openxmlformats.org/officeDocument/2006/custom-properties" xmlns:vt="http://schemas.openxmlformats.org/officeDocument/2006/docPropsVTypes"/>
</file>